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B999" w14:textId="3ABEC154" w:rsidR="005E2342" w:rsidRDefault="00000000" w:rsidP="001846CE">
      <w:pPr>
        <w:jc w:val="center"/>
      </w:pPr>
      <w:r>
        <w:pict w14:anchorId="2BEF3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75.45pt">
            <v:imagedata r:id="rId8" o:title="crest"/>
          </v:shape>
        </w:pict>
      </w:r>
    </w:p>
    <w:p w14:paraId="6C1CEB21" w14:textId="77777777" w:rsidR="001846CE" w:rsidRDefault="001846CE">
      <w:pPr>
        <w:jc w:val="center"/>
      </w:pPr>
    </w:p>
    <w:p w14:paraId="57B8FE25" w14:textId="57139A4E" w:rsidR="005E2342" w:rsidRDefault="005E2342">
      <w:pPr>
        <w:pStyle w:val="CoverText"/>
        <w:jc w:val="left"/>
        <w:rPr>
          <w:bCs/>
          <w:sz w:val="20"/>
          <w:u w:val="none"/>
        </w:rPr>
      </w:pPr>
      <w:r>
        <w:rPr>
          <w:bCs/>
        </w:rPr>
        <w:t xml:space="preserve">Neutral Citation Number: </w:t>
      </w:r>
      <w:r w:rsidR="00980AA4">
        <w:rPr>
          <w:bCs/>
        </w:rPr>
        <w:t xml:space="preserve">[2023] EWHC </w:t>
      </w:r>
      <w:r w:rsidR="00872FA3">
        <w:rPr>
          <w:bCs/>
        </w:rPr>
        <w:t>2099</w:t>
      </w:r>
      <w:r w:rsidR="00980AA4">
        <w:rPr>
          <w:bCs/>
        </w:rPr>
        <w:t xml:space="preserve"> (Comm)</w:t>
      </w:r>
      <w:r>
        <w:rPr>
          <w:bCs/>
        </w:rPr>
        <w:br/>
      </w:r>
    </w:p>
    <w:p w14:paraId="6EFAA9EE" w14:textId="7A67A4F9" w:rsidR="005E2342" w:rsidRDefault="005E2342">
      <w:pPr>
        <w:pStyle w:val="CoverText"/>
        <w:rPr>
          <w:b/>
          <w:spacing w:val="-3"/>
        </w:rPr>
      </w:pPr>
      <w:r>
        <w:t xml:space="preserve">Case No: </w:t>
      </w:r>
      <w:r w:rsidR="00980AA4">
        <w:t>CC-2023-MAN-000031</w:t>
      </w:r>
    </w:p>
    <w:p w14:paraId="2155FD28"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ADDBE5F" w14:textId="13AAEED2" w:rsidR="005E2342" w:rsidRDefault="00980AA4">
      <w:pPr>
        <w:suppressAutoHyphens/>
        <w:rPr>
          <w:b/>
          <w:spacing w:val="-3"/>
          <w:u w:val="single"/>
        </w:rPr>
      </w:pPr>
      <w:r>
        <w:rPr>
          <w:b/>
          <w:spacing w:val="-3"/>
          <w:u w:val="single"/>
        </w:rPr>
        <w:t>BUSINESS AND PROPERTY COURTS IN MANCHESTER</w:t>
      </w:r>
    </w:p>
    <w:p w14:paraId="40F2464D" w14:textId="0E038708" w:rsidR="00980AA4" w:rsidRDefault="00980AA4">
      <w:pPr>
        <w:suppressAutoHyphens/>
        <w:rPr>
          <w:b/>
          <w:spacing w:val="-3"/>
          <w:u w:val="single"/>
        </w:rPr>
      </w:pPr>
      <w:r>
        <w:rPr>
          <w:b/>
          <w:spacing w:val="-3"/>
          <w:u w:val="single"/>
        </w:rPr>
        <w:t>CIRCUIT COMMERCIAL COURT (KBD)</w:t>
      </w:r>
    </w:p>
    <w:p w14:paraId="27DD305C" w14:textId="77777777" w:rsidR="005E2342" w:rsidRDefault="005E2342">
      <w:pPr>
        <w:suppressAutoHyphens/>
        <w:rPr>
          <w:b/>
          <w:spacing w:val="-3"/>
          <w:u w:val="single"/>
        </w:rPr>
      </w:pPr>
    </w:p>
    <w:p w14:paraId="78D710EE" w14:textId="77777777" w:rsidR="00980AA4" w:rsidRPr="006971EE" w:rsidRDefault="00980AA4" w:rsidP="00980AA4">
      <w:pPr>
        <w:suppressAutoHyphens/>
        <w:jc w:val="right"/>
        <w:rPr>
          <w:szCs w:val="20"/>
          <w:u w:val="single"/>
        </w:rPr>
      </w:pPr>
      <w:r w:rsidRPr="006971EE">
        <w:rPr>
          <w:szCs w:val="20"/>
          <w:u w:val="single"/>
        </w:rPr>
        <w:t>Manchester Civil Justice Centre</w:t>
      </w:r>
    </w:p>
    <w:p w14:paraId="6DB185AD" w14:textId="77777777" w:rsidR="00980AA4" w:rsidRPr="006971EE" w:rsidRDefault="00980AA4" w:rsidP="00980AA4">
      <w:pPr>
        <w:suppressAutoHyphens/>
        <w:jc w:val="right"/>
        <w:rPr>
          <w:szCs w:val="20"/>
          <w:u w:val="single"/>
        </w:rPr>
      </w:pPr>
      <w:r w:rsidRPr="006971EE">
        <w:rPr>
          <w:szCs w:val="20"/>
          <w:u w:val="single"/>
        </w:rPr>
        <w:t>1 Bridge Street West,</w:t>
      </w:r>
    </w:p>
    <w:p w14:paraId="3EF7936E" w14:textId="4E622A91" w:rsidR="005E2342" w:rsidRDefault="00980AA4" w:rsidP="00980AA4">
      <w:pPr>
        <w:suppressAutoHyphens/>
        <w:jc w:val="right"/>
        <w:rPr>
          <w:szCs w:val="20"/>
          <w:u w:val="single"/>
        </w:rPr>
      </w:pPr>
      <w:r w:rsidRPr="006971EE">
        <w:rPr>
          <w:szCs w:val="20"/>
          <w:u w:val="single"/>
        </w:rPr>
        <w:t>Manchester M60 9DJ</w:t>
      </w:r>
    </w:p>
    <w:p w14:paraId="4BDCC0A7" w14:textId="77777777" w:rsidR="00980AA4" w:rsidRDefault="00980AA4" w:rsidP="00980AA4">
      <w:pPr>
        <w:suppressAutoHyphens/>
        <w:jc w:val="right"/>
        <w:rPr>
          <w:spacing w:val="-3"/>
          <w:u w:val="single"/>
        </w:rPr>
      </w:pPr>
    </w:p>
    <w:p w14:paraId="3ADFA9D8" w14:textId="34B9DCDE" w:rsidR="005E2342" w:rsidRDefault="005E2342">
      <w:pPr>
        <w:pStyle w:val="CoverText"/>
        <w:rPr>
          <w:b/>
        </w:rPr>
      </w:pPr>
      <w:r>
        <w:t xml:space="preserve">Date: </w:t>
      </w:r>
      <w:r w:rsidR="00980AA4">
        <w:t>1</w:t>
      </w:r>
      <w:r w:rsidR="0040217A">
        <w:t>8</w:t>
      </w:r>
      <w:r w:rsidR="00980AA4">
        <w:t>/08/2023</w:t>
      </w:r>
    </w:p>
    <w:p w14:paraId="318396DD" w14:textId="77777777" w:rsidR="005E2342" w:rsidRDefault="005E2342">
      <w:pPr>
        <w:suppressAutoHyphens/>
        <w:rPr>
          <w:spacing w:val="-3"/>
        </w:rPr>
      </w:pPr>
    </w:p>
    <w:p w14:paraId="203F7C7F" w14:textId="01FE6BA8" w:rsidR="005E2342" w:rsidRDefault="005E2342">
      <w:pPr>
        <w:suppressAutoHyphens/>
        <w:jc w:val="center"/>
        <w:rPr>
          <w:spacing w:val="-3"/>
        </w:rPr>
      </w:pPr>
      <w:r>
        <w:rPr>
          <w:b/>
          <w:spacing w:val="-3"/>
        </w:rPr>
        <w:t>Before</w:t>
      </w:r>
      <w:r>
        <w:rPr>
          <w:spacing w:val="-3"/>
        </w:rPr>
        <w:t>:</w:t>
      </w:r>
    </w:p>
    <w:p w14:paraId="3E97D04E" w14:textId="77777777" w:rsidR="005E2342" w:rsidRDefault="005E2342">
      <w:pPr>
        <w:suppressAutoHyphens/>
        <w:jc w:val="center"/>
        <w:rPr>
          <w:spacing w:val="-3"/>
        </w:rPr>
      </w:pPr>
    </w:p>
    <w:p w14:paraId="611F14B4" w14:textId="372B3B69" w:rsidR="005E2342" w:rsidRDefault="00980AA4">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HHJ CAWSON KC</w:t>
      </w:r>
    </w:p>
    <w:p w14:paraId="746F3AFD" w14:textId="5077FD6E" w:rsidR="00980AA4" w:rsidRDefault="00980AA4">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SITTING AS A JUDGE OF THE HIGH COURT</w:t>
      </w:r>
    </w:p>
    <w:p w14:paraId="006A2B77" w14:textId="77777777" w:rsidR="005E2342" w:rsidRDefault="005E2342">
      <w:pPr>
        <w:suppressAutoHyphens/>
        <w:jc w:val="center"/>
        <w:rPr>
          <w:spacing w:val="-3"/>
        </w:rPr>
      </w:pPr>
      <w:r>
        <w:rPr>
          <w:spacing w:val="-3"/>
        </w:rPr>
        <w:t>- - - - - - - - - - - - - - - - - - - - -</w:t>
      </w:r>
    </w:p>
    <w:p w14:paraId="04122131" w14:textId="77777777" w:rsidR="005E2342" w:rsidRDefault="005E2342">
      <w:pPr>
        <w:suppressAutoHyphens/>
        <w:jc w:val="center"/>
        <w:rPr>
          <w:b/>
          <w:spacing w:val="-3"/>
        </w:rPr>
      </w:pPr>
      <w:r>
        <w:rPr>
          <w:b/>
          <w:spacing w:val="-3"/>
        </w:rPr>
        <w:t>Between :</w:t>
      </w:r>
    </w:p>
    <w:p w14:paraId="469007AE"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431C39EA" w14:textId="77777777">
        <w:trPr>
          <w:jc w:val="center"/>
        </w:trPr>
        <w:tc>
          <w:tcPr>
            <w:tcW w:w="1701" w:type="dxa"/>
          </w:tcPr>
          <w:p w14:paraId="1E836A00" w14:textId="77777777" w:rsidR="005E2342" w:rsidRDefault="005E2342">
            <w:pPr>
              <w:suppressAutoHyphens/>
              <w:rPr>
                <w:b/>
                <w:spacing w:val="-3"/>
              </w:rPr>
            </w:pPr>
          </w:p>
        </w:tc>
        <w:tc>
          <w:tcPr>
            <w:tcW w:w="5333" w:type="dxa"/>
          </w:tcPr>
          <w:p w14:paraId="328636AD" w14:textId="412D3318" w:rsidR="005E2342" w:rsidRDefault="00980AA4">
            <w:pPr>
              <w:suppressAutoHyphens/>
              <w:jc w:val="center"/>
              <w:rPr>
                <w:b/>
                <w:spacing w:val="-3"/>
              </w:rPr>
            </w:pPr>
            <w:r>
              <w:rPr>
                <w:b/>
                <w:spacing w:val="-3"/>
              </w:rPr>
              <w:t>DIAMOND BUS LIMITED</w:t>
            </w:r>
          </w:p>
        </w:tc>
        <w:tc>
          <w:tcPr>
            <w:tcW w:w="1707" w:type="dxa"/>
          </w:tcPr>
          <w:p w14:paraId="61EC58EC" w14:textId="2AC1BA50" w:rsidR="005E2342" w:rsidRDefault="0027512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w:t>
            </w:r>
          </w:p>
        </w:tc>
      </w:tr>
      <w:tr w:rsidR="005E2342" w14:paraId="580F63A1" w14:textId="77777777">
        <w:trPr>
          <w:jc w:val="center"/>
        </w:trPr>
        <w:tc>
          <w:tcPr>
            <w:tcW w:w="1701" w:type="dxa"/>
          </w:tcPr>
          <w:p w14:paraId="2CE69A3B" w14:textId="77777777" w:rsidR="005E2342" w:rsidRDefault="005E2342">
            <w:pPr>
              <w:suppressAutoHyphens/>
              <w:rPr>
                <w:b/>
                <w:spacing w:val="-3"/>
              </w:rPr>
            </w:pPr>
          </w:p>
        </w:tc>
        <w:tc>
          <w:tcPr>
            <w:tcW w:w="5333" w:type="dxa"/>
          </w:tcPr>
          <w:p w14:paraId="25B78335" w14:textId="77777777" w:rsidR="005E2342" w:rsidRDefault="005E2342">
            <w:pPr>
              <w:suppressAutoHyphens/>
              <w:jc w:val="center"/>
              <w:rPr>
                <w:b/>
                <w:spacing w:val="-3"/>
              </w:rPr>
            </w:pPr>
            <w:r>
              <w:rPr>
                <w:b/>
                <w:spacing w:val="-3"/>
              </w:rPr>
              <w:t>- and -</w:t>
            </w:r>
          </w:p>
        </w:tc>
        <w:tc>
          <w:tcPr>
            <w:tcW w:w="1707" w:type="dxa"/>
          </w:tcPr>
          <w:p w14:paraId="0C313D75"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41797F9" w14:textId="77777777">
        <w:trPr>
          <w:jc w:val="center"/>
        </w:trPr>
        <w:tc>
          <w:tcPr>
            <w:tcW w:w="1701" w:type="dxa"/>
          </w:tcPr>
          <w:p w14:paraId="616E052E" w14:textId="77777777" w:rsidR="005E2342" w:rsidRDefault="005E2342">
            <w:pPr>
              <w:suppressAutoHyphens/>
              <w:rPr>
                <w:b/>
                <w:spacing w:val="-3"/>
              </w:rPr>
            </w:pPr>
          </w:p>
        </w:tc>
        <w:tc>
          <w:tcPr>
            <w:tcW w:w="5333" w:type="dxa"/>
          </w:tcPr>
          <w:p w14:paraId="54C9B2EA" w14:textId="7036C35C" w:rsidR="005E2342" w:rsidRDefault="00980AA4">
            <w:pPr>
              <w:suppressAutoHyphens/>
              <w:jc w:val="center"/>
              <w:rPr>
                <w:b/>
                <w:spacing w:val="-3"/>
              </w:rPr>
            </w:pPr>
            <w:r>
              <w:rPr>
                <w:b/>
                <w:spacing w:val="-3"/>
              </w:rPr>
              <w:t>TRANSPORT FOR WEST MIDLANDS</w:t>
            </w:r>
          </w:p>
        </w:tc>
        <w:tc>
          <w:tcPr>
            <w:tcW w:w="1707" w:type="dxa"/>
          </w:tcPr>
          <w:p w14:paraId="58E1A8DA" w14:textId="740FAD04" w:rsidR="005E2342" w:rsidRDefault="0027512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w:t>
            </w:r>
          </w:p>
        </w:tc>
      </w:tr>
    </w:tbl>
    <w:p w14:paraId="782E110F" w14:textId="77777777" w:rsidR="005E2342" w:rsidRDefault="005E2342">
      <w:pPr>
        <w:suppressAutoHyphens/>
        <w:rPr>
          <w:b/>
          <w:spacing w:val="-3"/>
        </w:rPr>
      </w:pPr>
    </w:p>
    <w:p w14:paraId="1A5151FB" w14:textId="77777777" w:rsidR="005E2342" w:rsidRDefault="005E2342">
      <w:pPr>
        <w:suppressAutoHyphens/>
        <w:jc w:val="center"/>
        <w:rPr>
          <w:spacing w:val="-3"/>
        </w:rPr>
      </w:pPr>
      <w:r>
        <w:rPr>
          <w:spacing w:val="-3"/>
        </w:rPr>
        <w:t>- - - - - - - - - - - - - - - - - - - - -</w:t>
      </w:r>
    </w:p>
    <w:p w14:paraId="3CC2C275" w14:textId="77777777" w:rsidR="005E2342" w:rsidRDefault="005E2342">
      <w:pPr>
        <w:suppressAutoHyphens/>
        <w:jc w:val="center"/>
        <w:rPr>
          <w:spacing w:val="-3"/>
        </w:rPr>
      </w:pPr>
      <w:r>
        <w:rPr>
          <w:spacing w:val="-3"/>
        </w:rPr>
        <w:t>- - - - - - - - - - - - - - - - - - - - -</w:t>
      </w:r>
    </w:p>
    <w:p w14:paraId="16AAC5CB" w14:textId="77777777" w:rsidR="005E2342" w:rsidRDefault="005E2342">
      <w:pPr>
        <w:suppressAutoHyphens/>
        <w:jc w:val="center"/>
        <w:rPr>
          <w:spacing w:val="-3"/>
        </w:rPr>
      </w:pPr>
    </w:p>
    <w:p w14:paraId="3072B492" w14:textId="2020F3BB" w:rsidR="005E2342" w:rsidRDefault="00980AA4">
      <w:pPr>
        <w:suppressAutoHyphens/>
        <w:jc w:val="center"/>
        <w:rPr>
          <w:b/>
          <w:spacing w:val="-3"/>
        </w:rPr>
      </w:pPr>
      <w:r>
        <w:rPr>
          <w:b/>
          <w:spacing w:val="-3"/>
        </w:rPr>
        <w:t>Stephen Connolly</w:t>
      </w:r>
      <w:r w:rsidR="005E2342">
        <w:rPr>
          <w:b/>
          <w:spacing w:val="-3"/>
        </w:rPr>
        <w:t xml:space="preserve"> </w:t>
      </w:r>
      <w:r w:rsidR="005E2342">
        <w:rPr>
          <w:bCs/>
          <w:spacing w:val="-3"/>
        </w:rPr>
        <w:t>(instructed by</w:t>
      </w:r>
      <w:r w:rsidR="005E2342">
        <w:rPr>
          <w:b/>
          <w:spacing w:val="-3"/>
        </w:rPr>
        <w:t xml:space="preserve"> </w:t>
      </w:r>
      <w:r>
        <w:rPr>
          <w:b/>
          <w:spacing w:val="-3"/>
        </w:rPr>
        <w:t>Backhouse Jones</w:t>
      </w:r>
      <w:r w:rsidR="005E2342">
        <w:rPr>
          <w:bCs/>
          <w:spacing w:val="-3"/>
        </w:rPr>
        <w:t>) for the</w:t>
      </w:r>
      <w:r w:rsidR="005E2342">
        <w:rPr>
          <w:spacing w:val="-3"/>
        </w:rPr>
        <w:t xml:space="preserve"> </w:t>
      </w:r>
      <w:r w:rsidR="003D5F80">
        <w:rPr>
          <w:b/>
          <w:bCs/>
          <w:spacing w:val="-3"/>
        </w:rPr>
        <w:t>Applicant</w:t>
      </w:r>
      <w:r>
        <w:rPr>
          <w:spacing w:val="-3"/>
        </w:rPr>
        <w:t xml:space="preserve"> </w:t>
      </w:r>
    </w:p>
    <w:p w14:paraId="3B8604E1" w14:textId="17DB98EF" w:rsidR="005E2342" w:rsidRDefault="00C319A7">
      <w:pPr>
        <w:suppressAutoHyphens/>
        <w:jc w:val="center"/>
        <w:rPr>
          <w:bCs/>
          <w:spacing w:val="-3"/>
        </w:rPr>
      </w:pPr>
      <w:r>
        <w:rPr>
          <w:b/>
          <w:spacing w:val="-3"/>
        </w:rPr>
        <w:t>Giles Maynard-Connor</w:t>
      </w:r>
      <w:r w:rsidR="00980AA4">
        <w:rPr>
          <w:b/>
          <w:spacing w:val="-3"/>
        </w:rPr>
        <w:t xml:space="preserve"> KC</w:t>
      </w:r>
      <w:r w:rsidR="005E2342">
        <w:rPr>
          <w:bCs/>
          <w:spacing w:val="-3"/>
        </w:rPr>
        <w:t xml:space="preserve"> (instructed by </w:t>
      </w:r>
      <w:r w:rsidR="00980AA4" w:rsidRPr="00980AA4">
        <w:rPr>
          <w:b/>
          <w:spacing w:val="-3"/>
        </w:rPr>
        <w:t>Addleshaw Goddard LLP</w:t>
      </w:r>
      <w:r w:rsidR="005E2342">
        <w:rPr>
          <w:bCs/>
          <w:spacing w:val="-3"/>
        </w:rPr>
        <w:t xml:space="preserve">) for the </w:t>
      </w:r>
      <w:r w:rsidR="00207EAA">
        <w:rPr>
          <w:b/>
          <w:spacing w:val="-3"/>
        </w:rPr>
        <w:t>Respondent</w:t>
      </w:r>
    </w:p>
    <w:p w14:paraId="1F75FC4A" w14:textId="77777777" w:rsidR="005E2342" w:rsidRDefault="005E2342">
      <w:pPr>
        <w:suppressAutoHyphens/>
        <w:jc w:val="center"/>
        <w:rPr>
          <w:b/>
          <w:spacing w:val="-3"/>
        </w:rPr>
      </w:pPr>
    </w:p>
    <w:p w14:paraId="0C5C607A" w14:textId="79931EF9" w:rsidR="005E2342" w:rsidRDefault="005E2342">
      <w:pPr>
        <w:suppressAutoHyphens/>
        <w:jc w:val="center"/>
        <w:rPr>
          <w:spacing w:val="-3"/>
        </w:rPr>
      </w:pPr>
      <w:r>
        <w:rPr>
          <w:spacing w:val="-3"/>
        </w:rPr>
        <w:t xml:space="preserve">Hearing date: </w:t>
      </w:r>
      <w:r w:rsidR="002D1D0B">
        <w:rPr>
          <w:spacing w:val="-3"/>
        </w:rPr>
        <w:t>27 July 2023</w:t>
      </w:r>
    </w:p>
    <w:p w14:paraId="4EEDE7A2" w14:textId="77777777" w:rsidR="005E2342" w:rsidRDefault="005E2342">
      <w:pPr>
        <w:suppressAutoHyphens/>
        <w:jc w:val="center"/>
        <w:rPr>
          <w:spacing w:val="-3"/>
        </w:rPr>
      </w:pPr>
      <w:r>
        <w:rPr>
          <w:spacing w:val="-3"/>
        </w:rPr>
        <w:t>- - - - - - - - - - - - - - - - - - - - -</w:t>
      </w:r>
    </w:p>
    <w:p w14:paraId="17DC1E5A" w14:textId="32F0CD6D" w:rsidR="005E2342" w:rsidRDefault="001846CE" w:rsidP="001846CE">
      <w:pPr>
        <w:pStyle w:val="CoverDesc"/>
      </w:pPr>
      <w:r>
        <w:t>Approved Judgment</w:t>
      </w:r>
    </w:p>
    <w:p w14:paraId="1E345D7F" w14:textId="77777777" w:rsidR="00F925FC" w:rsidRDefault="00F925FC" w:rsidP="001846CE">
      <w:pPr>
        <w:jc w:val="center"/>
      </w:pPr>
    </w:p>
    <w:p w14:paraId="3E0B74F1" w14:textId="21CC0214" w:rsidR="00F925FC" w:rsidRPr="00F925FC" w:rsidRDefault="00F925FC" w:rsidP="00F925FC">
      <w:pPr>
        <w:jc w:val="center"/>
      </w:pPr>
      <w:r w:rsidRPr="00F925FC">
        <w:t xml:space="preserve">Remote hand-down: This judgment was handed down remotely at 10.30 am on </w:t>
      </w:r>
      <w:r>
        <w:t xml:space="preserve">Friday </w:t>
      </w:r>
      <w:r w:rsidR="00222C22">
        <w:t xml:space="preserve">18 August 2023 </w:t>
      </w:r>
      <w:r w:rsidRPr="00F925FC">
        <w:t>by circulation to the parties or their representatives by email and by release to</w:t>
      </w:r>
    </w:p>
    <w:p w14:paraId="58920CC7" w14:textId="77777777" w:rsidR="00F925FC" w:rsidRPr="00F925FC" w:rsidRDefault="00F925FC" w:rsidP="00F925FC">
      <w:pPr>
        <w:jc w:val="center"/>
      </w:pPr>
      <w:r w:rsidRPr="00F925FC">
        <w:t>The National Archives.</w:t>
      </w:r>
    </w:p>
    <w:p w14:paraId="3E297332" w14:textId="77777777" w:rsidR="001846CE" w:rsidRDefault="001846CE" w:rsidP="001846CE">
      <w:pPr>
        <w:jc w:val="center"/>
      </w:pPr>
    </w:p>
    <w:p w14:paraId="2BCAFCD9" w14:textId="77777777" w:rsidR="001846CE" w:rsidRDefault="001846CE" w:rsidP="001846CE">
      <w:pPr>
        <w:jc w:val="center"/>
      </w:pPr>
      <w:r>
        <w:t>.............................</w:t>
      </w:r>
    </w:p>
    <w:p w14:paraId="76163BC7" w14:textId="77777777" w:rsidR="001846CE" w:rsidRDefault="001846CE" w:rsidP="001846CE">
      <w:pPr>
        <w:jc w:val="center"/>
      </w:pPr>
    </w:p>
    <w:p w14:paraId="014157B4" w14:textId="4E003E59" w:rsidR="001846CE" w:rsidRPr="001846CE" w:rsidRDefault="001846CE" w:rsidP="001846CE">
      <w:pPr>
        <w:jc w:val="center"/>
      </w:pPr>
      <w:r>
        <w:t>HHJ CAWSON KC</w:t>
      </w:r>
    </w:p>
    <w:p w14:paraId="728516C5" w14:textId="77777777" w:rsidR="005E2342" w:rsidRDefault="005E2342">
      <w:pPr>
        <w:pStyle w:val="CoverDesc"/>
        <w:rPr>
          <w:sz w:val="24"/>
        </w:rPr>
      </w:pPr>
    </w:p>
    <w:p w14:paraId="5AB8C0B2" w14:textId="77777777" w:rsidR="005E2342" w:rsidRDefault="005E2342"/>
    <w:p w14:paraId="7CC54BE5" w14:textId="77777777" w:rsidR="005E2342" w:rsidRDefault="005E2342">
      <w:pPr>
        <w:sectPr w:rsidR="005E2342">
          <w:pgSz w:w="11909" w:h="16834" w:code="9"/>
          <w:pgMar w:top="720" w:right="1440" w:bottom="720" w:left="1440" w:header="720" w:footer="720" w:gutter="0"/>
          <w:pgNumType w:start="1"/>
          <w:cols w:space="720"/>
        </w:sectPr>
      </w:pPr>
    </w:p>
    <w:p w14:paraId="05DB1E3C" w14:textId="77777777" w:rsidR="002D1D0B" w:rsidRDefault="002D1D0B" w:rsidP="001846CE">
      <w:pPr>
        <w:spacing w:after="240"/>
        <w:rPr>
          <w:b/>
        </w:rPr>
      </w:pPr>
    </w:p>
    <w:p w14:paraId="68C288C3" w14:textId="77777777" w:rsidR="00222C22" w:rsidRDefault="00222C22" w:rsidP="001846CE">
      <w:pPr>
        <w:spacing w:after="240"/>
        <w:rPr>
          <w:b/>
          <w:u w:val="single"/>
        </w:rPr>
      </w:pPr>
    </w:p>
    <w:p w14:paraId="1350C812" w14:textId="77777777" w:rsidR="00222C22" w:rsidRDefault="00222C22" w:rsidP="001846CE">
      <w:pPr>
        <w:spacing w:after="240"/>
        <w:rPr>
          <w:b/>
          <w:u w:val="single"/>
        </w:rPr>
      </w:pPr>
    </w:p>
    <w:p w14:paraId="37FD8B39" w14:textId="0A0595CE" w:rsidR="005E2342" w:rsidRPr="002D1D0B" w:rsidRDefault="002D1D0B" w:rsidP="001846CE">
      <w:pPr>
        <w:spacing w:after="240"/>
        <w:rPr>
          <w:u w:val="single"/>
        </w:rPr>
      </w:pPr>
      <w:r w:rsidRPr="002D1D0B">
        <w:rPr>
          <w:b/>
          <w:u w:val="single"/>
        </w:rPr>
        <w:lastRenderedPageBreak/>
        <w:t>HHJ C</w:t>
      </w:r>
      <w:r w:rsidR="00764F1B">
        <w:rPr>
          <w:b/>
          <w:u w:val="single"/>
        </w:rPr>
        <w:t xml:space="preserve">awson </w:t>
      </w:r>
      <w:r w:rsidRPr="002D1D0B">
        <w:rPr>
          <w:b/>
          <w:u w:val="single"/>
        </w:rPr>
        <w:t>KC</w:t>
      </w:r>
      <w:r w:rsidR="005E2342" w:rsidRPr="002D1D0B">
        <w:rPr>
          <w:b/>
          <w:u w:val="single"/>
        </w:rPr>
        <w:t>:</w:t>
      </w:r>
      <w:r w:rsidR="005E2342" w:rsidRPr="002D1D0B">
        <w:rPr>
          <w:u w:val="single"/>
        </w:rPr>
        <w:t xml:space="preserve"> </w:t>
      </w:r>
    </w:p>
    <w:p w14:paraId="40B04325" w14:textId="1E23B7BC" w:rsidR="005E2342" w:rsidRDefault="002D1D0B" w:rsidP="001846CE">
      <w:pPr>
        <w:pStyle w:val="ParaHeading"/>
        <w:rPr>
          <w:b/>
          <w:bCs/>
          <w:u w:val="single"/>
        </w:rPr>
      </w:pPr>
      <w:r w:rsidRPr="002D1D0B">
        <w:rPr>
          <w:b/>
          <w:bCs/>
          <w:u w:val="single"/>
        </w:rPr>
        <w:t>C</w:t>
      </w:r>
      <w:r w:rsidR="005A4B48">
        <w:rPr>
          <w:b/>
          <w:bCs/>
          <w:u w:val="single"/>
        </w:rPr>
        <w:t>ontents</w:t>
      </w:r>
    </w:p>
    <w:p w14:paraId="571E864F" w14:textId="2F4DDE03" w:rsidR="00430293" w:rsidRDefault="00000000" w:rsidP="001846CE">
      <w:pPr>
        <w:pStyle w:val="ParaLevel1"/>
        <w:numPr>
          <w:ilvl w:val="0"/>
          <w:numId w:val="0"/>
        </w:numPr>
        <w:contextualSpacing/>
      </w:pPr>
      <w:hyperlink w:anchor="A" w:history="1">
        <w:r w:rsidR="000F2DD8" w:rsidRPr="00300D9E">
          <w:rPr>
            <w:rStyle w:val="Hyperlink"/>
          </w:rPr>
          <w:t>Introduction</w:t>
        </w:r>
      </w:hyperlink>
      <w:r w:rsidR="000F2DD8">
        <w:tab/>
      </w:r>
      <w:r w:rsidR="000F2DD8">
        <w:tab/>
      </w:r>
      <w:r w:rsidR="000F2DD8">
        <w:tab/>
      </w:r>
      <w:r w:rsidR="000F2DD8">
        <w:tab/>
      </w:r>
      <w:r w:rsidR="000F2DD8">
        <w:tab/>
      </w:r>
      <w:r w:rsidR="000F2DD8">
        <w:tab/>
      </w:r>
      <w:r w:rsidR="000F2DD8">
        <w:tab/>
      </w:r>
      <w:r w:rsidR="000F2DD8">
        <w:tab/>
      </w:r>
      <w:r w:rsidR="000F2DD8">
        <w:tab/>
      </w:r>
      <w:r w:rsidR="000F2DD8">
        <w:tab/>
      </w:r>
      <w:r w:rsidR="000F2DD8">
        <w:tab/>
      </w:r>
      <w:r w:rsidR="000F2DD8">
        <w:tab/>
        <w:t>1</w:t>
      </w:r>
    </w:p>
    <w:p w14:paraId="17955D60" w14:textId="00EB290D" w:rsidR="0048313E" w:rsidRDefault="00000000" w:rsidP="001846CE">
      <w:pPr>
        <w:pStyle w:val="ParaLevel1"/>
        <w:numPr>
          <w:ilvl w:val="0"/>
          <w:numId w:val="0"/>
        </w:numPr>
        <w:contextualSpacing/>
      </w:pPr>
      <w:hyperlink w:anchor="B" w:history="1">
        <w:r w:rsidR="0048313E" w:rsidRPr="00300D9E">
          <w:rPr>
            <w:rStyle w:val="Hyperlink"/>
          </w:rPr>
          <w:t>Evidence</w:t>
        </w:r>
      </w:hyperlink>
      <w:r w:rsidR="0048313E">
        <w:tab/>
      </w:r>
      <w:r w:rsidR="0048313E">
        <w:tab/>
      </w:r>
      <w:r w:rsidR="0048313E">
        <w:tab/>
      </w:r>
      <w:r w:rsidR="0048313E">
        <w:tab/>
      </w:r>
      <w:r w:rsidR="0048313E">
        <w:tab/>
      </w:r>
      <w:r w:rsidR="0048313E">
        <w:tab/>
      </w:r>
      <w:r w:rsidR="0048313E">
        <w:tab/>
      </w:r>
      <w:r w:rsidR="0048313E">
        <w:tab/>
      </w:r>
      <w:r w:rsidR="0048313E">
        <w:tab/>
      </w:r>
      <w:r w:rsidR="0048313E">
        <w:tab/>
      </w:r>
      <w:r w:rsidR="0048313E">
        <w:tab/>
      </w:r>
      <w:r w:rsidR="0048313E">
        <w:tab/>
      </w:r>
      <w:r w:rsidR="0048313E">
        <w:tab/>
      </w:r>
      <w:r w:rsidR="00345A13">
        <w:t>8</w:t>
      </w:r>
    </w:p>
    <w:p w14:paraId="1AC44F6A" w14:textId="01EB414B" w:rsidR="00345A13" w:rsidRDefault="00000000" w:rsidP="001846CE">
      <w:pPr>
        <w:pStyle w:val="ParaLevel1"/>
        <w:numPr>
          <w:ilvl w:val="0"/>
          <w:numId w:val="0"/>
        </w:numPr>
        <w:contextualSpacing/>
      </w:pPr>
      <w:hyperlink w:anchor="C" w:history="1">
        <w:r w:rsidR="00345A13" w:rsidRPr="00300D9E">
          <w:rPr>
            <w:rStyle w:val="Hyperlink"/>
          </w:rPr>
          <w:t>The Statutory and Regulatory Framework</w:t>
        </w:r>
      </w:hyperlink>
      <w:r w:rsidR="00345A13">
        <w:tab/>
      </w:r>
      <w:r w:rsidR="00345A13">
        <w:tab/>
      </w:r>
      <w:r w:rsidR="00345A13">
        <w:tab/>
      </w:r>
      <w:r w:rsidR="00345A13">
        <w:tab/>
      </w:r>
      <w:r w:rsidR="00345A13">
        <w:tab/>
      </w:r>
      <w:r w:rsidR="00345A13">
        <w:tab/>
      </w:r>
      <w:r w:rsidR="00345A13">
        <w:tab/>
        <w:t>10</w:t>
      </w:r>
    </w:p>
    <w:p w14:paraId="3EC67FB8" w14:textId="58AD18E3" w:rsidR="00EA1A06" w:rsidRDefault="00000000" w:rsidP="001846CE">
      <w:pPr>
        <w:pStyle w:val="ParaLevel1"/>
        <w:numPr>
          <w:ilvl w:val="0"/>
          <w:numId w:val="0"/>
        </w:numPr>
        <w:contextualSpacing/>
      </w:pPr>
      <w:hyperlink w:anchor="D" w:history="1">
        <w:r w:rsidR="00EA1A06" w:rsidRPr="00300D9E">
          <w:rPr>
            <w:rStyle w:val="Hyperlink"/>
          </w:rPr>
          <w:t>Diamond’s claim for reimbursement</w:t>
        </w:r>
      </w:hyperlink>
      <w:r w:rsidR="001A0275">
        <w:tab/>
      </w:r>
      <w:r w:rsidR="001A0275">
        <w:tab/>
      </w:r>
      <w:r w:rsidR="001A0275">
        <w:tab/>
      </w:r>
      <w:r w:rsidR="001A0275">
        <w:tab/>
      </w:r>
      <w:r w:rsidR="001A0275">
        <w:tab/>
      </w:r>
      <w:r w:rsidR="001A0275">
        <w:tab/>
      </w:r>
      <w:r w:rsidR="001A0275">
        <w:tab/>
      </w:r>
      <w:r w:rsidR="001A0275">
        <w:tab/>
      </w:r>
      <w:r w:rsidR="00C45936">
        <w:t>17</w:t>
      </w:r>
    </w:p>
    <w:p w14:paraId="11991D94" w14:textId="4CBB8DB9" w:rsidR="006119A6" w:rsidRDefault="00000000" w:rsidP="001846CE">
      <w:pPr>
        <w:pStyle w:val="ParaLevel1"/>
        <w:numPr>
          <w:ilvl w:val="0"/>
          <w:numId w:val="0"/>
        </w:numPr>
        <w:contextualSpacing/>
      </w:pPr>
      <w:hyperlink w:anchor="E" w:history="1">
        <w:r w:rsidR="005B3CDA" w:rsidRPr="00300D9E">
          <w:rPr>
            <w:rStyle w:val="Hyperlink"/>
          </w:rPr>
          <w:t>The documents and data sought</w:t>
        </w:r>
      </w:hyperlink>
      <w:r w:rsidR="005B3CDA">
        <w:tab/>
      </w:r>
      <w:r w:rsidR="005B3CDA">
        <w:tab/>
      </w:r>
      <w:r w:rsidR="005B3CDA">
        <w:tab/>
      </w:r>
      <w:r w:rsidR="005B3CDA">
        <w:tab/>
      </w:r>
      <w:r w:rsidR="005B3CDA">
        <w:tab/>
      </w:r>
      <w:r w:rsidR="005B3CDA">
        <w:tab/>
      </w:r>
      <w:r w:rsidR="005B3CDA">
        <w:tab/>
      </w:r>
      <w:r w:rsidR="005B3CDA">
        <w:tab/>
      </w:r>
      <w:r w:rsidR="005B3CDA">
        <w:tab/>
        <w:t>28</w:t>
      </w:r>
    </w:p>
    <w:p w14:paraId="760C07FB" w14:textId="767D3C99" w:rsidR="003525B8" w:rsidRDefault="00000000" w:rsidP="001846CE">
      <w:pPr>
        <w:pStyle w:val="ParaLevel1"/>
        <w:numPr>
          <w:ilvl w:val="0"/>
          <w:numId w:val="0"/>
        </w:numPr>
        <w:contextualSpacing/>
      </w:pPr>
      <w:hyperlink w:anchor="F" w:history="1">
        <w:r w:rsidR="0089050E" w:rsidRPr="00300D9E">
          <w:rPr>
            <w:rStyle w:val="Hyperlink"/>
          </w:rPr>
          <w:t>CPR 31.16 - Disclosure before proceedings start</w:t>
        </w:r>
      </w:hyperlink>
      <w:r w:rsidR="0089050E">
        <w:tab/>
      </w:r>
      <w:r w:rsidR="0089050E">
        <w:tab/>
      </w:r>
      <w:r w:rsidR="0089050E">
        <w:tab/>
      </w:r>
      <w:r w:rsidR="0089050E">
        <w:tab/>
      </w:r>
      <w:r w:rsidR="0089050E">
        <w:tab/>
      </w:r>
      <w:r w:rsidR="0089050E">
        <w:tab/>
      </w:r>
      <w:r w:rsidR="00D47DD3">
        <w:t>32</w:t>
      </w:r>
    </w:p>
    <w:p w14:paraId="120DD4A0" w14:textId="184149CF" w:rsidR="00D47DD3" w:rsidRDefault="00000000" w:rsidP="001846CE">
      <w:pPr>
        <w:pStyle w:val="ParaLevel1"/>
        <w:numPr>
          <w:ilvl w:val="0"/>
          <w:numId w:val="0"/>
        </w:numPr>
        <w:contextualSpacing/>
      </w:pPr>
      <w:hyperlink w:anchor="G" w:history="1">
        <w:r w:rsidR="00DE2FE1" w:rsidRPr="00300D9E">
          <w:rPr>
            <w:rStyle w:val="Hyperlink"/>
          </w:rPr>
          <w:t>Diamond’s case as to the application of CPR 31.16</w:t>
        </w:r>
      </w:hyperlink>
      <w:r w:rsidR="00DE2FE1">
        <w:tab/>
      </w:r>
      <w:r w:rsidR="00DE2FE1">
        <w:tab/>
      </w:r>
      <w:r w:rsidR="00DE2FE1">
        <w:tab/>
      </w:r>
      <w:r w:rsidR="00DE2FE1">
        <w:tab/>
      </w:r>
      <w:r w:rsidR="00DE2FE1">
        <w:tab/>
      </w:r>
      <w:r w:rsidR="00DE2FE1">
        <w:tab/>
      </w:r>
      <w:r w:rsidR="00EB745D">
        <w:t>36</w:t>
      </w:r>
    </w:p>
    <w:p w14:paraId="5B1542CD" w14:textId="0AB33422" w:rsidR="00EB745D" w:rsidRDefault="00EB745D" w:rsidP="001846CE">
      <w:pPr>
        <w:pStyle w:val="ParaLevel1"/>
        <w:numPr>
          <w:ilvl w:val="0"/>
          <w:numId w:val="0"/>
        </w:numPr>
        <w:contextualSpacing/>
      </w:pPr>
      <w:r>
        <w:tab/>
      </w:r>
      <w:hyperlink w:anchor="G1" w:history="1">
        <w:r w:rsidRPr="00300D9E">
          <w:rPr>
            <w:rStyle w:val="Hyperlink"/>
          </w:rPr>
          <w:t>Jurisdictional Threshold</w:t>
        </w:r>
      </w:hyperlink>
      <w:r>
        <w:tab/>
      </w:r>
      <w:r>
        <w:tab/>
      </w:r>
      <w:r>
        <w:tab/>
      </w:r>
      <w:r>
        <w:tab/>
      </w:r>
      <w:r>
        <w:tab/>
      </w:r>
      <w:r>
        <w:tab/>
      </w:r>
      <w:r>
        <w:tab/>
      </w:r>
      <w:r>
        <w:tab/>
      </w:r>
      <w:r>
        <w:tab/>
        <w:t>36</w:t>
      </w:r>
    </w:p>
    <w:p w14:paraId="3BC318EB" w14:textId="501E84AA" w:rsidR="00EB745D" w:rsidRDefault="00EB745D" w:rsidP="001846CE">
      <w:pPr>
        <w:pStyle w:val="ParaLevel1"/>
        <w:numPr>
          <w:ilvl w:val="0"/>
          <w:numId w:val="0"/>
        </w:numPr>
        <w:contextualSpacing/>
      </w:pPr>
      <w:r>
        <w:tab/>
      </w:r>
      <w:hyperlink w:anchor="G2" w:history="1">
        <w:r w:rsidR="00077D30" w:rsidRPr="00300D9E">
          <w:rPr>
            <w:rStyle w:val="Hyperlink"/>
          </w:rPr>
          <w:t>Discretion</w:t>
        </w:r>
      </w:hyperlink>
      <w:r w:rsidR="00077D30">
        <w:tab/>
      </w:r>
      <w:r w:rsidR="00077D30">
        <w:tab/>
      </w:r>
      <w:r w:rsidR="00077D30">
        <w:tab/>
      </w:r>
      <w:r w:rsidR="00077D30">
        <w:tab/>
      </w:r>
      <w:r w:rsidR="00077D30">
        <w:tab/>
      </w:r>
      <w:r w:rsidR="00077D30">
        <w:tab/>
      </w:r>
      <w:r w:rsidR="00077D30">
        <w:tab/>
      </w:r>
      <w:r w:rsidR="00077D30">
        <w:tab/>
      </w:r>
      <w:r w:rsidR="00077D30">
        <w:tab/>
      </w:r>
      <w:r w:rsidR="00077D30">
        <w:tab/>
      </w:r>
      <w:r w:rsidR="00077D30">
        <w:tab/>
      </w:r>
      <w:r w:rsidR="00077D30">
        <w:tab/>
        <w:t>41</w:t>
      </w:r>
    </w:p>
    <w:p w14:paraId="792C3363" w14:textId="1DC60B21" w:rsidR="00077D30" w:rsidRDefault="00000000" w:rsidP="001846CE">
      <w:pPr>
        <w:pStyle w:val="ParaLevel1"/>
        <w:numPr>
          <w:ilvl w:val="0"/>
          <w:numId w:val="0"/>
        </w:numPr>
        <w:contextualSpacing/>
      </w:pPr>
      <w:hyperlink w:anchor="H" w:history="1">
        <w:r w:rsidR="00AB707D" w:rsidRPr="0012348F">
          <w:rPr>
            <w:rStyle w:val="Hyperlink"/>
          </w:rPr>
          <w:t xml:space="preserve">TfWM’s </w:t>
        </w:r>
        <w:r w:rsidR="00E34BD9" w:rsidRPr="0012348F">
          <w:rPr>
            <w:rStyle w:val="Hyperlink"/>
          </w:rPr>
          <w:t>response to the Application</w:t>
        </w:r>
      </w:hyperlink>
      <w:r w:rsidR="00E34BD9">
        <w:tab/>
      </w:r>
      <w:r w:rsidR="00E34BD9">
        <w:tab/>
      </w:r>
      <w:r w:rsidR="00E34BD9">
        <w:tab/>
      </w:r>
      <w:r w:rsidR="00E34BD9">
        <w:tab/>
      </w:r>
      <w:r w:rsidR="00E34BD9">
        <w:tab/>
      </w:r>
      <w:r w:rsidR="00E34BD9">
        <w:tab/>
      </w:r>
      <w:r w:rsidR="00E34BD9">
        <w:tab/>
      </w:r>
      <w:r w:rsidR="00E34BD9">
        <w:tab/>
        <w:t>52</w:t>
      </w:r>
    </w:p>
    <w:p w14:paraId="06607733" w14:textId="67ECB3AC" w:rsidR="0023170F" w:rsidRDefault="0023170F" w:rsidP="001846CE">
      <w:pPr>
        <w:pStyle w:val="ParaLevel1"/>
        <w:numPr>
          <w:ilvl w:val="0"/>
          <w:numId w:val="0"/>
        </w:numPr>
        <w:contextualSpacing/>
      </w:pPr>
      <w:r>
        <w:tab/>
      </w:r>
      <w:hyperlink w:anchor="H1" w:history="1">
        <w:r w:rsidRPr="0012348F">
          <w:rPr>
            <w:rStyle w:val="Hyperlink"/>
          </w:rPr>
          <w:t>Preliminary considerations</w:t>
        </w:r>
      </w:hyperlink>
      <w:r>
        <w:tab/>
      </w:r>
      <w:r>
        <w:tab/>
      </w:r>
      <w:r>
        <w:tab/>
      </w:r>
      <w:r>
        <w:tab/>
      </w:r>
      <w:r>
        <w:tab/>
      </w:r>
      <w:r>
        <w:tab/>
      </w:r>
      <w:r>
        <w:tab/>
      </w:r>
      <w:r>
        <w:tab/>
      </w:r>
      <w:r>
        <w:tab/>
        <w:t>52</w:t>
      </w:r>
    </w:p>
    <w:p w14:paraId="0437B3CB" w14:textId="7F682DB6" w:rsidR="0023170F" w:rsidRDefault="00DF448D" w:rsidP="001846CE">
      <w:pPr>
        <w:pStyle w:val="ParaLevel1"/>
        <w:numPr>
          <w:ilvl w:val="0"/>
          <w:numId w:val="0"/>
        </w:numPr>
        <w:contextualSpacing/>
      </w:pPr>
      <w:r>
        <w:tab/>
      </w:r>
      <w:hyperlink w:anchor="H2" w:history="1">
        <w:r w:rsidRPr="0012348F">
          <w:rPr>
            <w:rStyle w:val="Hyperlink"/>
          </w:rPr>
          <w:t>Jurisdictional Thresholds</w:t>
        </w:r>
      </w:hyperlink>
      <w:r w:rsidR="00C77272">
        <w:tab/>
      </w:r>
      <w:r w:rsidR="00C77272">
        <w:tab/>
      </w:r>
      <w:r w:rsidR="00C77272">
        <w:tab/>
      </w:r>
      <w:r w:rsidR="00C77272">
        <w:tab/>
      </w:r>
      <w:r w:rsidR="00C77272">
        <w:tab/>
      </w:r>
      <w:r w:rsidR="00C77272">
        <w:tab/>
      </w:r>
      <w:r w:rsidR="00C77272">
        <w:tab/>
      </w:r>
      <w:r w:rsidR="00C77272">
        <w:tab/>
      </w:r>
      <w:r w:rsidR="00C77272">
        <w:tab/>
      </w:r>
      <w:r>
        <w:t>55</w:t>
      </w:r>
    </w:p>
    <w:p w14:paraId="3CFBE63A" w14:textId="7510AC00" w:rsidR="00C77272" w:rsidRDefault="00ED006F" w:rsidP="001846CE">
      <w:pPr>
        <w:pStyle w:val="ParaLevel1"/>
        <w:numPr>
          <w:ilvl w:val="0"/>
          <w:numId w:val="0"/>
        </w:numPr>
        <w:contextualSpacing/>
      </w:pPr>
      <w:r>
        <w:tab/>
      </w:r>
      <w:hyperlink w:anchor="H3" w:history="1">
        <w:r w:rsidRPr="0012348F">
          <w:rPr>
            <w:rStyle w:val="Hyperlink"/>
          </w:rPr>
          <w:t>Discretion</w:t>
        </w:r>
      </w:hyperlink>
      <w:r w:rsidR="00C77272">
        <w:tab/>
      </w:r>
      <w:r w:rsidR="00C77272">
        <w:tab/>
      </w:r>
      <w:r w:rsidR="00C77272">
        <w:tab/>
      </w:r>
      <w:r w:rsidR="00C77272">
        <w:tab/>
      </w:r>
      <w:r w:rsidR="00C77272">
        <w:tab/>
      </w:r>
      <w:r w:rsidR="00C77272">
        <w:tab/>
      </w:r>
      <w:r w:rsidR="00C77272">
        <w:tab/>
      </w:r>
      <w:r w:rsidR="00C77272">
        <w:tab/>
      </w:r>
      <w:r w:rsidR="00C77272">
        <w:tab/>
      </w:r>
      <w:r w:rsidR="00C77272">
        <w:tab/>
      </w:r>
      <w:r w:rsidR="00C77272">
        <w:tab/>
      </w:r>
      <w:r w:rsidR="00C77272">
        <w:tab/>
      </w:r>
      <w:r w:rsidR="0055745E">
        <w:t>63</w:t>
      </w:r>
    </w:p>
    <w:p w14:paraId="725AC8AD" w14:textId="747365BC" w:rsidR="00657EF9" w:rsidRDefault="0055745E" w:rsidP="001846CE">
      <w:pPr>
        <w:pStyle w:val="ParaLevel1"/>
        <w:numPr>
          <w:ilvl w:val="0"/>
          <w:numId w:val="0"/>
        </w:numPr>
        <w:contextualSpacing/>
      </w:pPr>
      <w:r>
        <w:tab/>
      </w:r>
      <w:hyperlink w:anchor="H4" w:history="1">
        <w:r w:rsidR="00B666C6" w:rsidRPr="0012348F">
          <w:rPr>
            <w:rStyle w:val="Hyperlink"/>
          </w:rPr>
          <w:t>Conclusion</w:t>
        </w:r>
        <w:r w:rsidR="00B666C6" w:rsidRPr="0012348F">
          <w:rPr>
            <w:rStyle w:val="Hyperlink"/>
          </w:rPr>
          <w:tab/>
        </w:r>
      </w:hyperlink>
      <w:r w:rsidR="00B666C6">
        <w:tab/>
      </w:r>
      <w:r w:rsidR="00B666C6">
        <w:tab/>
      </w:r>
      <w:r w:rsidR="00B666C6">
        <w:tab/>
      </w:r>
      <w:r w:rsidR="00B666C6">
        <w:tab/>
      </w:r>
      <w:r w:rsidR="00B666C6">
        <w:tab/>
      </w:r>
      <w:r w:rsidR="00B666C6">
        <w:tab/>
      </w:r>
      <w:r w:rsidR="00B666C6">
        <w:tab/>
      </w:r>
      <w:r w:rsidR="00B666C6">
        <w:tab/>
      </w:r>
      <w:r w:rsidR="00B666C6">
        <w:tab/>
      </w:r>
      <w:r w:rsidR="00B666C6">
        <w:tab/>
      </w:r>
      <w:r w:rsidR="00C34C32">
        <w:t xml:space="preserve">         </w:t>
      </w:r>
      <w:r w:rsidR="00657EF9">
        <w:t>79</w:t>
      </w:r>
    </w:p>
    <w:p w14:paraId="68573ECA" w14:textId="5205171C" w:rsidR="00551706" w:rsidRDefault="00000000" w:rsidP="001846CE">
      <w:pPr>
        <w:pStyle w:val="ParaLevel1"/>
        <w:numPr>
          <w:ilvl w:val="0"/>
          <w:numId w:val="0"/>
        </w:numPr>
        <w:contextualSpacing/>
      </w:pPr>
      <w:hyperlink w:anchor="I" w:history="1">
        <w:r w:rsidR="00657EF9" w:rsidRPr="0012348F">
          <w:rPr>
            <w:rStyle w:val="Hyperlink"/>
          </w:rPr>
          <w:t>Determination</w:t>
        </w:r>
      </w:hyperlink>
      <w:r w:rsidR="00551706">
        <w:tab/>
      </w:r>
      <w:r w:rsidR="00551706">
        <w:tab/>
      </w:r>
      <w:r w:rsidR="00551706">
        <w:tab/>
      </w:r>
      <w:r w:rsidR="00551706">
        <w:tab/>
      </w:r>
      <w:r w:rsidR="00551706">
        <w:tab/>
      </w:r>
      <w:r w:rsidR="00551706">
        <w:tab/>
      </w:r>
      <w:r w:rsidR="00551706">
        <w:tab/>
      </w:r>
      <w:r w:rsidR="00551706">
        <w:tab/>
      </w:r>
      <w:r w:rsidR="00551706">
        <w:tab/>
      </w:r>
      <w:r w:rsidR="00551706">
        <w:tab/>
      </w:r>
      <w:r w:rsidR="00551706">
        <w:tab/>
      </w:r>
      <w:r w:rsidR="00551706">
        <w:tab/>
      </w:r>
      <w:r w:rsidR="000F694C">
        <w:t>80</w:t>
      </w:r>
    </w:p>
    <w:p w14:paraId="6D804A2D" w14:textId="5FEBFFFD" w:rsidR="00A15E1E" w:rsidRDefault="004E73E3" w:rsidP="001846CE">
      <w:pPr>
        <w:pStyle w:val="ParaLevel1"/>
        <w:numPr>
          <w:ilvl w:val="0"/>
          <w:numId w:val="0"/>
        </w:numPr>
        <w:contextualSpacing/>
      </w:pPr>
      <w:r>
        <w:tab/>
      </w:r>
      <w:hyperlink w:anchor="I1" w:history="1">
        <w:r w:rsidRPr="0012348F">
          <w:rPr>
            <w:rStyle w:val="Hyperlink"/>
          </w:rPr>
          <w:t>Introduction</w:t>
        </w:r>
      </w:hyperlink>
      <w:r>
        <w:tab/>
      </w:r>
      <w:r>
        <w:tab/>
      </w:r>
      <w:r>
        <w:tab/>
      </w:r>
      <w:r>
        <w:tab/>
      </w:r>
      <w:r>
        <w:tab/>
      </w:r>
      <w:r>
        <w:tab/>
      </w:r>
      <w:r>
        <w:tab/>
      </w:r>
      <w:r>
        <w:tab/>
      </w:r>
      <w:r>
        <w:tab/>
        <w:t xml:space="preserve">                  </w:t>
      </w:r>
      <w:r w:rsidR="00476207">
        <w:t xml:space="preserve"> </w:t>
      </w:r>
      <w:r w:rsidR="00A15E1E">
        <w:t>80</w:t>
      </w:r>
    </w:p>
    <w:p w14:paraId="41820DB8" w14:textId="2D456352" w:rsidR="00A57450" w:rsidRDefault="00A15E1E" w:rsidP="001846CE">
      <w:pPr>
        <w:pStyle w:val="ParaLevel1"/>
        <w:numPr>
          <w:ilvl w:val="0"/>
          <w:numId w:val="0"/>
        </w:numPr>
        <w:contextualSpacing/>
      </w:pPr>
      <w:r>
        <w:tab/>
      </w:r>
      <w:hyperlink w:anchor="I2" w:history="1">
        <w:r w:rsidR="00A57450" w:rsidRPr="0012348F">
          <w:rPr>
            <w:rStyle w:val="Hyperlink"/>
          </w:rPr>
          <w:t>Jurisdictional Threshold</w:t>
        </w:r>
      </w:hyperlink>
      <w:r w:rsidR="00551706">
        <w:tab/>
      </w:r>
      <w:r w:rsidR="00551706">
        <w:tab/>
      </w:r>
      <w:r w:rsidR="00551706">
        <w:tab/>
      </w:r>
      <w:r w:rsidR="00551706">
        <w:tab/>
      </w:r>
      <w:r w:rsidR="00551706">
        <w:tab/>
      </w:r>
      <w:r w:rsidR="00551706">
        <w:tab/>
      </w:r>
      <w:r w:rsidR="00551706">
        <w:tab/>
      </w:r>
      <w:r w:rsidR="00551706">
        <w:tab/>
      </w:r>
      <w:r w:rsidR="00551706">
        <w:tab/>
      </w:r>
      <w:r w:rsidR="00A57450">
        <w:t>83</w:t>
      </w:r>
    </w:p>
    <w:p w14:paraId="2F1D2717" w14:textId="185B6984" w:rsidR="00655EDF" w:rsidRDefault="00A57450" w:rsidP="001846CE">
      <w:pPr>
        <w:pStyle w:val="ParaLevel1"/>
        <w:numPr>
          <w:ilvl w:val="0"/>
          <w:numId w:val="0"/>
        </w:numPr>
        <w:contextualSpacing/>
      </w:pPr>
      <w:r>
        <w:tab/>
      </w:r>
      <w:hyperlink w:anchor="I3" w:history="1">
        <w:r w:rsidR="00707651" w:rsidRPr="0012348F">
          <w:rPr>
            <w:rStyle w:val="Hyperlink"/>
          </w:rPr>
          <w:t>Disc</w:t>
        </w:r>
        <w:r w:rsidR="00707651" w:rsidRPr="0012348F">
          <w:rPr>
            <w:rStyle w:val="Hyperlink"/>
          </w:rPr>
          <w:t>r</w:t>
        </w:r>
        <w:r w:rsidR="00707651" w:rsidRPr="0012348F">
          <w:rPr>
            <w:rStyle w:val="Hyperlink"/>
          </w:rPr>
          <w:t>etion</w:t>
        </w:r>
        <w:r w:rsidR="00551706" w:rsidRPr="0012348F">
          <w:rPr>
            <w:rStyle w:val="Hyperlink"/>
          </w:rPr>
          <w:tab/>
        </w:r>
      </w:hyperlink>
      <w:r w:rsidR="00551706">
        <w:tab/>
      </w:r>
      <w:r w:rsidR="00551706">
        <w:tab/>
      </w:r>
      <w:r w:rsidR="00551706">
        <w:tab/>
      </w:r>
      <w:r w:rsidR="00551706">
        <w:tab/>
      </w:r>
      <w:r w:rsidR="00551706">
        <w:tab/>
      </w:r>
      <w:r w:rsidR="00551706">
        <w:tab/>
      </w:r>
      <w:r w:rsidR="00551706">
        <w:tab/>
      </w:r>
      <w:r w:rsidR="00551706">
        <w:tab/>
      </w:r>
      <w:r w:rsidR="00551706">
        <w:tab/>
      </w:r>
      <w:r w:rsidR="00551706">
        <w:tab/>
      </w:r>
      <w:r w:rsidR="00551706">
        <w:tab/>
        <w:t>1</w:t>
      </w:r>
      <w:r w:rsidR="00707651">
        <w:t>03</w:t>
      </w:r>
    </w:p>
    <w:p w14:paraId="160DB193" w14:textId="5C4EC763" w:rsidR="00C45936" w:rsidRDefault="00000000" w:rsidP="001846CE">
      <w:pPr>
        <w:pStyle w:val="ParaLevel1"/>
        <w:numPr>
          <w:ilvl w:val="0"/>
          <w:numId w:val="0"/>
        </w:numPr>
        <w:contextualSpacing/>
      </w:pPr>
      <w:hyperlink w:anchor="J" w:history="1">
        <w:r w:rsidR="00655EDF" w:rsidRPr="0012348F">
          <w:rPr>
            <w:rStyle w:val="Hyperlink"/>
          </w:rPr>
          <w:t>Overall</w:t>
        </w:r>
        <w:r w:rsidR="008A62C0" w:rsidRPr="0012348F">
          <w:rPr>
            <w:rStyle w:val="Hyperlink"/>
          </w:rPr>
          <w:t xml:space="preserve"> conclusion</w:t>
        </w:r>
      </w:hyperlink>
      <w:r w:rsidR="00F466E4">
        <w:tab/>
      </w:r>
      <w:r w:rsidR="00F466E4">
        <w:tab/>
      </w:r>
      <w:r w:rsidR="00F466E4">
        <w:tab/>
      </w:r>
      <w:r w:rsidR="00F466E4">
        <w:tab/>
      </w:r>
      <w:r w:rsidR="00F466E4">
        <w:tab/>
      </w:r>
      <w:r w:rsidR="00F466E4">
        <w:tab/>
      </w:r>
      <w:r w:rsidR="00F466E4">
        <w:tab/>
      </w:r>
      <w:r w:rsidR="00F466E4">
        <w:tab/>
      </w:r>
      <w:r w:rsidR="00F466E4">
        <w:tab/>
      </w:r>
      <w:r w:rsidR="00F466E4">
        <w:tab/>
      </w:r>
      <w:r w:rsidR="00F466E4">
        <w:tab/>
      </w:r>
      <w:r w:rsidR="00551706">
        <w:t>1</w:t>
      </w:r>
      <w:r w:rsidR="00063E75">
        <w:t>32</w:t>
      </w:r>
    </w:p>
    <w:p w14:paraId="28BB43C8" w14:textId="77777777" w:rsidR="00665E0F" w:rsidRDefault="00665E0F" w:rsidP="001846CE">
      <w:pPr>
        <w:pStyle w:val="ParaLevel1"/>
        <w:numPr>
          <w:ilvl w:val="0"/>
          <w:numId w:val="0"/>
        </w:numPr>
        <w:ind w:left="720" w:hanging="720"/>
        <w:rPr>
          <w:b/>
          <w:bCs/>
          <w:u w:val="single"/>
        </w:rPr>
      </w:pPr>
    </w:p>
    <w:p w14:paraId="50D8CFBF" w14:textId="0804519A" w:rsidR="002D1D0B" w:rsidRPr="002D1D0B" w:rsidRDefault="002D1D0B" w:rsidP="001846CE">
      <w:pPr>
        <w:pStyle w:val="ParaLevel1"/>
        <w:numPr>
          <w:ilvl w:val="0"/>
          <w:numId w:val="0"/>
        </w:numPr>
        <w:ind w:left="720" w:hanging="720"/>
        <w:rPr>
          <w:b/>
          <w:bCs/>
          <w:u w:val="single"/>
        </w:rPr>
      </w:pPr>
      <w:bookmarkStart w:id="0" w:name="A"/>
      <w:r w:rsidRPr="002D1D0B">
        <w:rPr>
          <w:b/>
          <w:bCs/>
          <w:u w:val="single"/>
        </w:rPr>
        <w:t>I</w:t>
      </w:r>
      <w:r w:rsidR="005A4B48">
        <w:rPr>
          <w:b/>
          <w:bCs/>
          <w:u w:val="single"/>
        </w:rPr>
        <w:t>ntroduction</w:t>
      </w:r>
    </w:p>
    <w:bookmarkEnd w:id="0"/>
    <w:p w14:paraId="2E35C177" w14:textId="6E011367" w:rsidR="0020687B" w:rsidRDefault="00A60F27" w:rsidP="001846CE">
      <w:pPr>
        <w:pStyle w:val="ParaLevel1"/>
      </w:pPr>
      <w:r>
        <w:t>By its application dated 24 April 2023</w:t>
      </w:r>
      <w:r w:rsidR="0036288A">
        <w:t xml:space="preserve"> (“</w:t>
      </w:r>
      <w:r w:rsidR="0036288A" w:rsidRPr="00BA118D">
        <w:rPr>
          <w:b/>
          <w:bCs/>
        </w:rPr>
        <w:t>the Application</w:t>
      </w:r>
      <w:r w:rsidR="0036288A">
        <w:t>”)</w:t>
      </w:r>
      <w:r>
        <w:t>, the Applicant</w:t>
      </w:r>
      <w:r w:rsidR="00AD0B49">
        <w:t>, Diamond Bus Limited (“</w:t>
      </w:r>
      <w:r w:rsidR="00AD0B49" w:rsidRPr="00AD0B49">
        <w:rPr>
          <w:b/>
          <w:bCs/>
        </w:rPr>
        <w:t>Diamond</w:t>
      </w:r>
      <w:r w:rsidR="00AD0B49">
        <w:t>”)</w:t>
      </w:r>
      <w:r w:rsidR="00CC59AC">
        <w:t xml:space="preserve">, </w:t>
      </w:r>
      <w:r w:rsidR="003E72A3">
        <w:t>seeks an order for pre-action disclosure</w:t>
      </w:r>
      <w:r w:rsidR="00AA5BD0">
        <w:t xml:space="preserve"> pursuant to CPR 31.16</w:t>
      </w:r>
      <w:r w:rsidR="00BA118D">
        <w:t xml:space="preserve"> against</w:t>
      </w:r>
      <w:r w:rsidR="006D6E18">
        <w:t xml:space="preserve"> Transport For West Midlands (“</w:t>
      </w:r>
      <w:r w:rsidR="007F2516">
        <w:rPr>
          <w:b/>
          <w:bCs/>
        </w:rPr>
        <w:t>TfWM</w:t>
      </w:r>
      <w:r w:rsidR="00CC7E39">
        <w:t>”)</w:t>
      </w:r>
      <w:r w:rsidR="00AA5BD0">
        <w:t>.</w:t>
      </w:r>
    </w:p>
    <w:p w14:paraId="655DE81A" w14:textId="77777777" w:rsidR="001D53BD" w:rsidRDefault="0061768F" w:rsidP="001846CE">
      <w:pPr>
        <w:pStyle w:val="ParaLevel1"/>
      </w:pPr>
      <w:r>
        <w:t xml:space="preserve">Diamond </w:t>
      </w:r>
      <w:r w:rsidR="0087669A" w:rsidRPr="0087669A">
        <w:t xml:space="preserve">is a bus operator which provides bus services to the </w:t>
      </w:r>
      <w:proofErr w:type="gramStart"/>
      <w:r w:rsidR="0087669A" w:rsidRPr="0087669A">
        <w:t>general public</w:t>
      </w:r>
      <w:proofErr w:type="gramEnd"/>
      <w:r w:rsidR="0087669A" w:rsidRPr="0087669A">
        <w:t xml:space="preserve"> in and around the West Midlands comprising the administrative areas of Birmingham City Council, Coventry City Council, Wolverhampton City Council and the Metropolitan Districts of Dudley, Sandwell, Solihull and Walsall (“</w:t>
      </w:r>
      <w:r w:rsidR="0087669A" w:rsidRPr="0087669A">
        <w:rPr>
          <w:b/>
          <w:bCs/>
        </w:rPr>
        <w:t>the Principal Area</w:t>
      </w:r>
      <w:r w:rsidR="0087669A" w:rsidRPr="0087669A">
        <w:t>”).</w:t>
      </w:r>
    </w:p>
    <w:p w14:paraId="64E5C4F2" w14:textId="7370867B" w:rsidR="00055C09" w:rsidRDefault="007F2516" w:rsidP="001846CE">
      <w:pPr>
        <w:pStyle w:val="ParaLevel1"/>
      </w:pPr>
      <w:r>
        <w:t>TfWM</w:t>
      </w:r>
      <w:r w:rsidR="0087669A" w:rsidRPr="0087669A">
        <w:t xml:space="preserve"> </w:t>
      </w:r>
      <w:r w:rsidR="00D17EC2">
        <w:t>is part of the West Midlands Combined Authority</w:t>
      </w:r>
      <w:r w:rsidR="00B06C61">
        <w:t xml:space="preserve"> and is responsible for</w:t>
      </w:r>
      <w:r w:rsidR="006149D9">
        <w:t xml:space="preserve"> </w:t>
      </w:r>
      <w:r w:rsidR="006149D9" w:rsidRPr="006149D9">
        <w:t>the making, implementation and operation of travel concession reimbursement arrangements for the Principal Area under the Transport Act 1985 (“</w:t>
      </w:r>
      <w:r w:rsidR="006149D9" w:rsidRPr="006149D9">
        <w:rPr>
          <w:b/>
          <w:bCs/>
        </w:rPr>
        <w:t>the 1985 Act</w:t>
      </w:r>
      <w:r w:rsidR="006149D9" w:rsidRPr="006149D9">
        <w:t>”) and the Transport Act 2000 (“</w:t>
      </w:r>
      <w:r w:rsidR="006149D9" w:rsidRPr="006149D9">
        <w:rPr>
          <w:b/>
          <w:bCs/>
        </w:rPr>
        <w:t>the 2000 Act</w:t>
      </w:r>
      <w:r w:rsidR="006149D9" w:rsidRPr="006149D9">
        <w:t>”) (collectively “</w:t>
      </w:r>
      <w:r w:rsidR="006149D9" w:rsidRPr="006149D9">
        <w:rPr>
          <w:b/>
          <w:bCs/>
        </w:rPr>
        <w:t>the Acts</w:t>
      </w:r>
      <w:r w:rsidR="006149D9" w:rsidRPr="006149D9">
        <w:t>”) and the Travel Concession Schemes Regulations 1986/77 (“</w:t>
      </w:r>
      <w:r w:rsidR="006149D9" w:rsidRPr="006149D9">
        <w:rPr>
          <w:b/>
          <w:bCs/>
        </w:rPr>
        <w:t>the 1986 Regulations</w:t>
      </w:r>
      <w:r w:rsidR="006149D9" w:rsidRPr="006149D9">
        <w:t>”) and the Mandatory Travel Concession (England) Regulations 2011/1121 (“</w:t>
      </w:r>
      <w:r w:rsidR="006149D9" w:rsidRPr="006149D9">
        <w:rPr>
          <w:b/>
          <w:bCs/>
        </w:rPr>
        <w:t>the 2011 Regulations</w:t>
      </w:r>
      <w:r w:rsidR="006149D9" w:rsidRPr="006149D9">
        <w:t>”) (collectively “</w:t>
      </w:r>
      <w:r w:rsidR="006149D9" w:rsidRPr="006149D9">
        <w:rPr>
          <w:b/>
          <w:bCs/>
        </w:rPr>
        <w:t>the Regulations</w:t>
      </w:r>
      <w:r w:rsidR="006149D9" w:rsidRPr="006149D9">
        <w:t>”).</w:t>
      </w:r>
    </w:p>
    <w:p w14:paraId="5E552CA4" w14:textId="65828FD7" w:rsidR="006149D9" w:rsidRDefault="0072588A" w:rsidP="001846CE">
      <w:pPr>
        <w:pStyle w:val="ParaLevel1"/>
      </w:pPr>
      <w:r>
        <w:t>Diamond and</w:t>
      </w:r>
      <w:r w:rsidR="00DC5933">
        <w:t xml:space="preserve"> </w:t>
      </w:r>
      <w:r w:rsidR="007F2516">
        <w:t>TfWM</w:t>
      </w:r>
      <w:r w:rsidR="00DC5933">
        <w:t xml:space="preserve"> have been in dispute for </w:t>
      </w:r>
      <w:proofErr w:type="gramStart"/>
      <w:r w:rsidR="00DC5933">
        <w:t>a number of</w:t>
      </w:r>
      <w:proofErr w:type="gramEnd"/>
      <w:r w:rsidR="00DC5933">
        <w:t xml:space="preserve"> years over sums which </w:t>
      </w:r>
      <w:r w:rsidR="007D6FD9">
        <w:t>D</w:t>
      </w:r>
      <w:r w:rsidR="00DC5933">
        <w:t>iamond claims should have been</w:t>
      </w:r>
      <w:r w:rsidR="007D6FD9">
        <w:t xml:space="preserve"> reimbursed to it</w:t>
      </w:r>
      <w:r w:rsidR="006149D9" w:rsidRPr="006149D9">
        <w:t xml:space="preserve"> </w:t>
      </w:r>
      <w:r w:rsidR="007D6FD9">
        <w:t>in respect of the provision by it</w:t>
      </w:r>
      <w:r w:rsidR="00BA06CE">
        <w:t xml:space="preserve"> of concessionary services for the periods 1 April 2018 to 31 March 2019,</w:t>
      </w:r>
      <w:r w:rsidR="00E23461">
        <w:t xml:space="preserve"> and 1 April 2019 to 31 March 2020. The sums in question fall into two categories, namely:</w:t>
      </w:r>
    </w:p>
    <w:p w14:paraId="06E859AD" w14:textId="045918AF" w:rsidR="00E23461" w:rsidRDefault="001B7F40" w:rsidP="001846CE">
      <w:pPr>
        <w:pStyle w:val="ParaLevel2"/>
      </w:pPr>
      <w:r>
        <w:lastRenderedPageBreak/>
        <w:t>Additional costs that Diamond alleges that it incurred in the provision of concessionary services</w:t>
      </w:r>
      <w:r w:rsidR="00A1534C">
        <w:t xml:space="preserve"> that Diamond alleges fal</w:t>
      </w:r>
      <w:r w:rsidR="009E4800">
        <w:t xml:space="preserve">l </w:t>
      </w:r>
      <w:r w:rsidR="00CF463D">
        <w:t xml:space="preserve">to be reimbursed </w:t>
      </w:r>
      <w:r>
        <w:t>(“</w:t>
      </w:r>
      <w:r w:rsidRPr="001B7F40">
        <w:rPr>
          <w:b/>
          <w:bCs/>
        </w:rPr>
        <w:t>the Additional Costs Claim</w:t>
      </w:r>
      <w:r>
        <w:t>”); and</w:t>
      </w:r>
    </w:p>
    <w:p w14:paraId="5DB9DE04" w14:textId="1DA23570" w:rsidR="001B7F40" w:rsidRPr="006149D9" w:rsidRDefault="003B1824" w:rsidP="001846CE">
      <w:pPr>
        <w:pStyle w:val="ParaLevel2"/>
      </w:pPr>
      <w:r>
        <w:t>Fa</w:t>
      </w:r>
      <w:r w:rsidR="00A37E5B">
        <w:t>re</w:t>
      </w:r>
      <w:r>
        <w:t xml:space="preserve"> income that Diamond alleges that it has foregone by reason of its provision of</w:t>
      </w:r>
      <w:r w:rsidR="000428EA">
        <w:t xml:space="preserve"> concessionary services</w:t>
      </w:r>
      <w:r w:rsidR="00CF463D">
        <w:t xml:space="preserve"> that Diamond alleges falls to be reimbursed</w:t>
      </w:r>
      <w:r w:rsidR="000428EA">
        <w:t xml:space="preserve"> (“</w:t>
      </w:r>
      <w:r w:rsidR="000428EA" w:rsidRPr="000428EA">
        <w:rPr>
          <w:b/>
          <w:bCs/>
        </w:rPr>
        <w:t>the Fares Foregone Claim</w:t>
      </w:r>
      <w:r w:rsidR="000428EA">
        <w:t>”).</w:t>
      </w:r>
    </w:p>
    <w:p w14:paraId="49BE3AD3" w14:textId="59FA8687" w:rsidR="0036288A" w:rsidRDefault="00C4432E" w:rsidP="001846CE">
      <w:pPr>
        <w:pStyle w:val="ParaLevel1"/>
      </w:pPr>
      <w:r>
        <w:t>The Application is brought in anticipation of proceedings by Diamond against T</w:t>
      </w:r>
      <w:r w:rsidR="007F2516">
        <w:t>fW</w:t>
      </w:r>
      <w:r>
        <w:t>M</w:t>
      </w:r>
      <w:r w:rsidR="00BA118D">
        <w:t xml:space="preserve"> </w:t>
      </w:r>
      <w:r w:rsidR="00A37E5B">
        <w:t>to recover the sums</w:t>
      </w:r>
      <w:r w:rsidR="00690FFE">
        <w:t xml:space="preserve"> the subject matter of the Fares Foregone Claim</w:t>
      </w:r>
      <w:r w:rsidR="00A37E5B">
        <w:t>.</w:t>
      </w:r>
      <w:r w:rsidR="009A1DAE">
        <w:t xml:space="preserve"> Diamond maintains that the jurisdictional thresholds under CPR 31.16 are satisfied, and that the Court ought, in the exercise of its discretion,</w:t>
      </w:r>
      <w:r w:rsidR="007D04B2">
        <w:t xml:space="preserve"> to make an order for pre-action disclosure in the terms sought.</w:t>
      </w:r>
    </w:p>
    <w:p w14:paraId="33D8C1AA" w14:textId="29C953B2" w:rsidR="00366471" w:rsidRDefault="00366471" w:rsidP="001846CE">
      <w:pPr>
        <w:pStyle w:val="ParaLevel1"/>
      </w:pPr>
      <w:r>
        <w:t>The Application is opposed by T</w:t>
      </w:r>
      <w:r w:rsidR="007F2516">
        <w:t>fW</w:t>
      </w:r>
      <w:r>
        <w:t xml:space="preserve">M, </w:t>
      </w:r>
      <w:r w:rsidR="0044457E">
        <w:t>whose case</w:t>
      </w:r>
      <w:r w:rsidR="007D04B2">
        <w:t xml:space="preserve"> i</w:t>
      </w:r>
      <w:r w:rsidR="0044457E">
        <w:t>s that</w:t>
      </w:r>
      <w:r w:rsidR="002E1E01">
        <w:t xml:space="preserve"> the jurisdictional thresholds under CPR 31.16 </w:t>
      </w:r>
      <w:r w:rsidR="007D04B2">
        <w:t xml:space="preserve">are </w:t>
      </w:r>
      <w:r w:rsidR="002E1E01">
        <w:t>not satisfied on the facts of the present case, and that the Court ought not, in any event, to exercise its discretion in favour of making</w:t>
      </w:r>
      <w:r w:rsidR="007E08F0">
        <w:t xml:space="preserve"> an </w:t>
      </w:r>
      <w:r w:rsidR="000C3C42">
        <w:t>order for pre-action disclosure</w:t>
      </w:r>
      <w:r w:rsidR="007E08F0">
        <w:t>.</w:t>
      </w:r>
    </w:p>
    <w:p w14:paraId="045D6DD3" w14:textId="46EB9901" w:rsidR="008F0C6C" w:rsidRDefault="008F0C6C" w:rsidP="001846CE">
      <w:pPr>
        <w:pStyle w:val="ParaLevel1"/>
      </w:pPr>
      <w:r>
        <w:t>Stephen Connolly of Counsel appear</w:t>
      </w:r>
      <w:r w:rsidR="00D82F3B">
        <w:t>ed</w:t>
      </w:r>
      <w:r>
        <w:t xml:space="preserve"> on behalf of Diamond, and Giles Maynard-Connor KC appear</w:t>
      </w:r>
      <w:r w:rsidR="00D82F3B">
        <w:t>ed</w:t>
      </w:r>
      <w:r>
        <w:t xml:space="preserve"> on behalf of</w:t>
      </w:r>
      <w:r w:rsidR="00135997">
        <w:t xml:space="preserve"> </w:t>
      </w:r>
      <w:r w:rsidR="007F2516">
        <w:t>TfWM</w:t>
      </w:r>
      <w:r w:rsidR="00135997">
        <w:t xml:space="preserve">. I am grateful to them both for their </w:t>
      </w:r>
      <w:r w:rsidR="000F49E7">
        <w:t xml:space="preserve">very </w:t>
      </w:r>
      <w:r w:rsidR="00135997">
        <w:t>helpful written and oral submissions.</w:t>
      </w:r>
    </w:p>
    <w:p w14:paraId="359A5335" w14:textId="0CE217E1" w:rsidR="00135997" w:rsidRPr="00135997" w:rsidRDefault="00ED1FDD" w:rsidP="001846CE">
      <w:pPr>
        <w:pStyle w:val="ParaLevel1"/>
        <w:numPr>
          <w:ilvl w:val="0"/>
          <w:numId w:val="0"/>
        </w:numPr>
        <w:ind w:left="720" w:hanging="720"/>
        <w:rPr>
          <w:b/>
          <w:bCs/>
          <w:u w:val="single"/>
        </w:rPr>
      </w:pPr>
      <w:bookmarkStart w:id="1" w:name="B"/>
      <w:r>
        <w:rPr>
          <w:b/>
          <w:bCs/>
          <w:u w:val="single"/>
        </w:rPr>
        <w:t>Evidence</w:t>
      </w:r>
    </w:p>
    <w:bookmarkEnd w:id="1"/>
    <w:p w14:paraId="62A3470B" w14:textId="5220192A" w:rsidR="005B4895" w:rsidRDefault="008405EB" w:rsidP="001846CE">
      <w:pPr>
        <w:pStyle w:val="ParaLevel1"/>
      </w:pPr>
      <w:r>
        <w:t>The Application is supported by</w:t>
      </w:r>
      <w:r w:rsidR="00BB61D0">
        <w:t xml:space="preserve"> two </w:t>
      </w:r>
      <w:r w:rsidR="00470D8C">
        <w:t>witness state</w:t>
      </w:r>
      <w:r w:rsidR="00712E0A">
        <w:t xml:space="preserve">ments, dated </w:t>
      </w:r>
      <w:r w:rsidR="00BB61D0">
        <w:t xml:space="preserve">respectively 28 April 2023 </w:t>
      </w:r>
      <w:r w:rsidR="000F49E7">
        <w:t xml:space="preserve">and </w:t>
      </w:r>
      <w:r w:rsidR="00BB61D0">
        <w:t>9 June 2023</w:t>
      </w:r>
      <w:r w:rsidR="00712E0A">
        <w:t>,</w:t>
      </w:r>
      <w:r w:rsidR="00BB61D0">
        <w:t xml:space="preserve"> of Simon </w:t>
      </w:r>
      <w:r w:rsidR="006F36E0">
        <w:t>Lee Dunn</w:t>
      </w:r>
      <w:r w:rsidR="000165D0">
        <w:t xml:space="preserve"> (“</w:t>
      </w:r>
      <w:r w:rsidR="000165D0" w:rsidRPr="000165D0">
        <w:rPr>
          <w:b/>
          <w:bCs/>
        </w:rPr>
        <w:t>Mr Dunn</w:t>
      </w:r>
      <w:r w:rsidR="000165D0">
        <w:t>”)</w:t>
      </w:r>
      <w:r w:rsidR="006F36E0">
        <w:t>, a director of Diamond</w:t>
      </w:r>
      <w:r w:rsidR="000165D0">
        <w:t xml:space="preserve"> </w:t>
      </w:r>
      <w:r w:rsidR="006F36E0">
        <w:t>(“</w:t>
      </w:r>
      <w:r w:rsidR="006F36E0" w:rsidRPr="000165D0">
        <w:rPr>
          <w:b/>
          <w:bCs/>
        </w:rPr>
        <w:t>Dunn 1</w:t>
      </w:r>
      <w:r w:rsidR="006F36E0">
        <w:t>”</w:t>
      </w:r>
      <w:r w:rsidR="00712E0A">
        <w:t>)</w:t>
      </w:r>
      <w:r w:rsidR="006F36E0">
        <w:t xml:space="preserve"> and (“</w:t>
      </w:r>
      <w:r w:rsidR="006F36E0" w:rsidRPr="000165D0">
        <w:rPr>
          <w:b/>
          <w:bCs/>
        </w:rPr>
        <w:t>Dunn 2</w:t>
      </w:r>
      <w:r w:rsidR="006F36E0">
        <w:t>”)</w:t>
      </w:r>
      <w:r w:rsidR="000165D0">
        <w:t xml:space="preserve">. </w:t>
      </w:r>
      <w:r w:rsidR="00AA2191">
        <w:t xml:space="preserve">In addition, </w:t>
      </w:r>
      <w:r w:rsidR="002D5B04">
        <w:t xml:space="preserve">Diamond </w:t>
      </w:r>
      <w:r w:rsidR="00AA2191">
        <w:t>relies upon the witness statement of Andrew Mean</w:t>
      </w:r>
      <w:r w:rsidR="00D87910">
        <w:t>e</w:t>
      </w:r>
      <w:r w:rsidR="00AA2191">
        <w:t xml:space="preserve">y </w:t>
      </w:r>
      <w:r w:rsidR="00D87910">
        <w:t>(“</w:t>
      </w:r>
      <w:r w:rsidR="00D87910" w:rsidRPr="00D87910">
        <w:rPr>
          <w:b/>
          <w:bCs/>
        </w:rPr>
        <w:t>Mr Meaney</w:t>
      </w:r>
      <w:r w:rsidR="00D87910">
        <w:t xml:space="preserve">”) of Oxera Consulting </w:t>
      </w:r>
      <w:r w:rsidR="00515B99">
        <w:t>LLP (“</w:t>
      </w:r>
      <w:r w:rsidR="00515B99" w:rsidRPr="00515B99">
        <w:rPr>
          <w:b/>
          <w:bCs/>
        </w:rPr>
        <w:t>Oxera</w:t>
      </w:r>
      <w:r w:rsidR="00515B99">
        <w:t>”)</w:t>
      </w:r>
      <w:r w:rsidR="00D45F86">
        <w:t>, an economics and</w:t>
      </w:r>
      <w:r w:rsidR="00CC41EF">
        <w:t xml:space="preserve"> </w:t>
      </w:r>
      <w:r w:rsidR="00A34CFA">
        <w:t>f</w:t>
      </w:r>
      <w:r w:rsidR="00CC41EF">
        <w:t>inance consult</w:t>
      </w:r>
      <w:r w:rsidR="00865F9C">
        <w:t>ant</w:t>
      </w:r>
      <w:r w:rsidR="00CC41EF">
        <w:t>,</w:t>
      </w:r>
      <w:r w:rsidR="00455F28">
        <w:t xml:space="preserve"> dated 26 April 2023</w:t>
      </w:r>
      <w:r w:rsidR="00515B99">
        <w:t>, and the witness statement of Philip Timothy Lashford (“</w:t>
      </w:r>
      <w:r w:rsidR="00515B99" w:rsidRPr="00515B99">
        <w:rPr>
          <w:b/>
          <w:bCs/>
        </w:rPr>
        <w:t>Mr Lashford</w:t>
      </w:r>
      <w:r w:rsidR="00515B99">
        <w:t>”)</w:t>
      </w:r>
      <w:r w:rsidR="000A433A">
        <w:t xml:space="preserve"> of Phinancial Consulting </w:t>
      </w:r>
      <w:r w:rsidR="00455F28">
        <w:t>Limited</w:t>
      </w:r>
      <w:r w:rsidR="00895C7D">
        <w:t>, an expert in concessionary fare</w:t>
      </w:r>
      <w:r w:rsidR="00D15471">
        <w:t xml:space="preserve"> reimbursement</w:t>
      </w:r>
      <w:r w:rsidR="00865F9C">
        <w:t xml:space="preserve">, </w:t>
      </w:r>
      <w:r w:rsidR="00384913">
        <w:t xml:space="preserve">dated 26 April 2023. </w:t>
      </w:r>
    </w:p>
    <w:p w14:paraId="0BF2DB14" w14:textId="3B2FC596" w:rsidR="00724C58" w:rsidRDefault="007F2516" w:rsidP="001846CE">
      <w:pPr>
        <w:pStyle w:val="ParaLevel1"/>
      </w:pPr>
      <w:r>
        <w:t>T</w:t>
      </w:r>
      <w:r w:rsidR="001756C3">
        <w:t>f</w:t>
      </w:r>
      <w:r>
        <w:t>WM</w:t>
      </w:r>
      <w:r w:rsidR="005B4895">
        <w:t xml:space="preserve"> relies upon the witness statement of Matthew Lewis</w:t>
      </w:r>
      <w:r w:rsidR="0097598C">
        <w:t xml:space="preserve"> </w:t>
      </w:r>
      <w:r w:rsidR="00724C58">
        <w:t>(“</w:t>
      </w:r>
      <w:r w:rsidR="00724C58" w:rsidRPr="00724C58">
        <w:rPr>
          <w:b/>
          <w:bCs/>
        </w:rPr>
        <w:t>Mr Lewis</w:t>
      </w:r>
      <w:r w:rsidR="00724C58">
        <w:t>”)</w:t>
      </w:r>
      <w:r w:rsidR="005B4895">
        <w:t xml:space="preserve">, </w:t>
      </w:r>
      <w:r w:rsidR="0097598C">
        <w:t xml:space="preserve">a Technical Director responsible for Swift at </w:t>
      </w:r>
      <w:r>
        <w:t>TfWM</w:t>
      </w:r>
      <w:r w:rsidR="00724C58">
        <w:t>.</w:t>
      </w:r>
    </w:p>
    <w:p w14:paraId="70359834" w14:textId="50FE3F08" w:rsidR="007D1399" w:rsidRPr="00EA2FE5" w:rsidRDefault="00EA2FE5" w:rsidP="001846CE">
      <w:pPr>
        <w:pStyle w:val="ParaLevel1"/>
        <w:numPr>
          <w:ilvl w:val="0"/>
          <w:numId w:val="0"/>
        </w:numPr>
        <w:ind w:left="720" w:hanging="720"/>
        <w:rPr>
          <w:b/>
          <w:bCs/>
          <w:u w:val="single"/>
        </w:rPr>
      </w:pPr>
      <w:bookmarkStart w:id="2" w:name="C"/>
      <w:r w:rsidRPr="00EA2FE5">
        <w:rPr>
          <w:b/>
          <w:bCs/>
          <w:u w:val="single"/>
        </w:rPr>
        <w:t xml:space="preserve">The </w:t>
      </w:r>
      <w:r w:rsidR="007D1399" w:rsidRPr="00EA2FE5">
        <w:rPr>
          <w:b/>
          <w:bCs/>
          <w:u w:val="single"/>
        </w:rPr>
        <w:t>Stat</w:t>
      </w:r>
      <w:r w:rsidRPr="00EA2FE5">
        <w:rPr>
          <w:b/>
          <w:bCs/>
          <w:u w:val="single"/>
        </w:rPr>
        <w:t>utory and Regulatory Framework</w:t>
      </w:r>
    </w:p>
    <w:bookmarkEnd w:id="2"/>
    <w:p w14:paraId="12A0574A" w14:textId="71247870" w:rsidR="00D9025B" w:rsidRDefault="00D9025B" w:rsidP="001846CE">
      <w:pPr>
        <w:pStyle w:val="ParaLevel1"/>
      </w:pPr>
      <w:r w:rsidRPr="00D9025B">
        <w:t>By section 93 of the 1985 Act and section 149 of the 2000 Act</w:t>
      </w:r>
      <w:r w:rsidR="00F07E7E">
        <w:t>,</w:t>
      </w:r>
      <w:r w:rsidRPr="00D9025B">
        <w:t xml:space="preserve"> </w:t>
      </w:r>
      <w:r w:rsidR="007F2516">
        <w:t>TfWM</w:t>
      </w:r>
      <w:r w:rsidRPr="00D9025B">
        <w:t xml:space="preserve"> was obliged</w:t>
      </w:r>
      <w:r>
        <w:t>:</w:t>
      </w:r>
    </w:p>
    <w:p w14:paraId="2C2A4EF9" w14:textId="77777777" w:rsidR="00F603B1" w:rsidRDefault="00360D9F" w:rsidP="001846CE">
      <w:pPr>
        <w:pStyle w:val="ParaLevel2"/>
      </w:pPr>
      <w:r>
        <w:t>T</w:t>
      </w:r>
      <w:r w:rsidR="00D9025B" w:rsidRPr="00D9025B">
        <w:t xml:space="preserve">o reimburse </w:t>
      </w:r>
      <w:r>
        <w:t xml:space="preserve">Diamond </w:t>
      </w:r>
      <w:r w:rsidR="00D9025B" w:rsidRPr="00D9025B">
        <w:t>for free or subsidised bus travel that it provided to eligible passengers</w:t>
      </w:r>
      <w:r w:rsidR="00F603B1">
        <w:t>;</w:t>
      </w:r>
      <w:r w:rsidR="00D9025B" w:rsidRPr="00D9025B">
        <w:t xml:space="preserve"> and</w:t>
      </w:r>
    </w:p>
    <w:p w14:paraId="4B4BE88F" w14:textId="1BFB4D9E" w:rsidR="00D9025B" w:rsidRPr="00D9025B" w:rsidRDefault="00F603B1" w:rsidP="001846CE">
      <w:pPr>
        <w:pStyle w:val="ParaLevel2"/>
      </w:pPr>
      <w:r>
        <w:t>S</w:t>
      </w:r>
      <w:r w:rsidR="00D9025B" w:rsidRPr="00D9025B">
        <w:t>ubject to any regulations made by the Secretary of State, to formulate arrangements for such reimbursement</w:t>
      </w:r>
      <w:r w:rsidR="00D9025B">
        <w:t>.</w:t>
      </w:r>
      <w:r w:rsidR="00D9025B" w:rsidRPr="00D9025B">
        <w:t xml:space="preserve"> </w:t>
      </w:r>
    </w:p>
    <w:p w14:paraId="194A29B1" w14:textId="23F2E1D5" w:rsidR="00DC7653" w:rsidRDefault="004868BE" w:rsidP="001846CE">
      <w:pPr>
        <w:pStyle w:val="ParaLevel1"/>
      </w:pPr>
      <w:r w:rsidRPr="004868BE">
        <w:t xml:space="preserve">By paragraph 4 of the 1986 Regulations and paragraph 6 of the 2011 Regulations, </w:t>
      </w:r>
      <w:r w:rsidR="007F2516">
        <w:t>TfWM</w:t>
      </w:r>
      <w:r w:rsidRPr="004868BE">
        <w:t xml:space="preserve"> was required to have as its objective in formulating such arrangements that the providers of free or subsidised bus travel to eligible passengers (such as </w:t>
      </w:r>
      <w:r w:rsidR="00D145A7">
        <w:t>Diamond</w:t>
      </w:r>
      <w:r w:rsidRPr="004868BE">
        <w:t xml:space="preserve">) were </w:t>
      </w:r>
      <w:r w:rsidR="00D145A7" w:rsidRPr="00D145A7">
        <w:rPr>
          <w:i/>
          <w:iCs/>
        </w:rPr>
        <w:t>“</w:t>
      </w:r>
      <w:r w:rsidRPr="00D145A7">
        <w:rPr>
          <w:i/>
          <w:iCs/>
        </w:rPr>
        <w:t>no better or worse off</w:t>
      </w:r>
      <w:r w:rsidR="00D145A7" w:rsidRPr="00D145A7">
        <w:rPr>
          <w:i/>
          <w:iCs/>
        </w:rPr>
        <w:t>”</w:t>
      </w:r>
      <w:r w:rsidRPr="004868BE">
        <w:t xml:space="preserve"> from providing such free or subsidised bus travel and that they were reimbursed for the costs incurred in so doing</w:t>
      </w:r>
      <w:r w:rsidR="00E05FD6">
        <w:t>.</w:t>
      </w:r>
    </w:p>
    <w:p w14:paraId="02E082BD" w14:textId="256CB83E" w:rsidR="00482916" w:rsidRDefault="00CE5324" w:rsidP="001846CE">
      <w:pPr>
        <w:pStyle w:val="ParaLevel1"/>
      </w:pPr>
      <w:r>
        <w:lastRenderedPageBreak/>
        <w:t xml:space="preserve">The </w:t>
      </w:r>
      <w:r w:rsidR="005F71E1" w:rsidRPr="005F71E1">
        <w:t xml:space="preserve">arrangements that </w:t>
      </w:r>
      <w:r w:rsidR="007F2516">
        <w:t>TfWM</w:t>
      </w:r>
      <w:r w:rsidR="005F71E1" w:rsidRPr="005F71E1">
        <w:t xml:space="preserve"> formulated </w:t>
      </w:r>
      <w:r w:rsidR="00482916">
        <w:t>that are relevant for present purposes are:</w:t>
      </w:r>
    </w:p>
    <w:p w14:paraId="6A3F64FE" w14:textId="14D43E3F" w:rsidR="00E30425" w:rsidRDefault="005F71E1" w:rsidP="001846CE">
      <w:pPr>
        <w:pStyle w:val="ParaLevel2"/>
      </w:pPr>
      <w:r w:rsidRPr="005F71E1">
        <w:t>Transport Act 1985</w:t>
      </w:r>
      <w:r w:rsidR="008C7DFB">
        <w:t>,</w:t>
      </w:r>
      <w:r w:rsidRPr="005F71E1">
        <w:t xml:space="preserve"> Older and Disabled Persons Travel (Bus) Concession Scheme (“</w:t>
      </w:r>
      <w:r w:rsidRPr="00E30425">
        <w:rPr>
          <w:b/>
          <w:bCs/>
        </w:rPr>
        <w:t>the 1985 Act Arrangements</w:t>
      </w:r>
      <w:r w:rsidRPr="005F71E1">
        <w:t>”)</w:t>
      </w:r>
      <w:r w:rsidR="00E30425">
        <w:t>;</w:t>
      </w:r>
      <w:r w:rsidR="001B3F0E">
        <w:t xml:space="preserve"> and</w:t>
      </w:r>
    </w:p>
    <w:p w14:paraId="4CF96A03" w14:textId="334C19B0" w:rsidR="00F201A5" w:rsidRDefault="005F71E1" w:rsidP="001846CE">
      <w:pPr>
        <w:pStyle w:val="ParaLevel2"/>
      </w:pPr>
      <w:r w:rsidRPr="005F71E1">
        <w:t>Transport Act 2000</w:t>
      </w:r>
      <w:r w:rsidR="00E30425">
        <w:t>,</w:t>
      </w:r>
      <w:r w:rsidRPr="005F71E1">
        <w:t xml:space="preserve"> Travel Concession Reimbursement Arrangements (“</w:t>
      </w:r>
      <w:r w:rsidRPr="00E30425">
        <w:rPr>
          <w:b/>
          <w:bCs/>
        </w:rPr>
        <w:t>the 2000 Act Arrangements</w:t>
      </w:r>
      <w:r w:rsidRPr="005F71E1">
        <w:t>”)</w:t>
      </w:r>
      <w:r w:rsidR="001B3F0E">
        <w:t>;</w:t>
      </w:r>
    </w:p>
    <w:p w14:paraId="6EE77B57" w14:textId="1764C857" w:rsidR="00F201A5" w:rsidRDefault="005F71E1" w:rsidP="001846CE">
      <w:pPr>
        <w:pStyle w:val="ParaLevel2"/>
        <w:numPr>
          <w:ilvl w:val="0"/>
          <w:numId w:val="0"/>
        </w:numPr>
        <w:ind w:left="709"/>
      </w:pPr>
      <w:r w:rsidRPr="005F71E1">
        <w:t>(collectively “</w:t>
      </w:r>
      <w:r w:rsidRPr="00F201A5">
        <w:rPr>
          <w:b/>
          <w:bCs/>
        </w:rPr>
        <w:t>the Arrangements</w:t>
      </w:r>
      <w:r w:rsidRPr="005F71E1">
        <w:t xml:space="preserve">”). </w:t>
      </w:r>
    </w:p>
    <w:p w14:paraId="3F7CD62F" w14:textId="2C23A23C" w:rsidR="00E05FD6" w:rsidRDefault="00F54C02" w:rsidP="001846CE">
      <w:pPr>
        <w:pStyle w:val="ParaLevel1"/>
      </w:pPr>
      <w:r>
        <w:t xml:space="preserve">There are two sets of the </w:t>
      </w:r>
      <w:r w:rsidR="005F71E1" w:rsidRPr="005F71E1">
        <w:t>Arrangements</w:t>
      </w:r>
      <w:r>
        <w:t xml:space="preserve">, one valid from </w:t>
      </w:r>
      <w:r w:rsidR="00437160">
        <w:t>1 April 2018 and the other valid from 1 April 2019. They are in similar form</w:t>
      </w:r>
      <w:r w:rsidR="005968DA">
        <w:t xml:space="preserve">, and so for the purposes of the Application </w:t>
      </w:r>
      <w:r w:rsidR="00152B71">
        <w:t xml:space="preserve">it is sufficient </w:t>
      </w:r>
      <w:r w:rsidR="00B029CA">
        <w:t xml:space="preserve">to </w:t>
      </w:r>
      <w:r w:rsidR="00A11089">
        <w:t xml:space="preserve">work </w:t>
      </w:r>
      <w:r w:rsidR="00B029CA">
        <w:t xml:space="preserve">from </w:t>
      </w:r>
      <w:r w:rsidR="00A11089">
        <w:t xml:space="preserve">just </w:t>
      </w:r>
      <w:r w:rsidR="00B029CA">
        <w:t xml:space="preserve">one of the Arrangements, namely those </w:t>
      </w:r>
      <w:r w:rsidR="005F71E1" w:rsidRPr="005F71E1">
        <w:t>from 1 April 2018</w:t>
      </w:r>
      <w:r w:rsidR="00A11089">
        <w:t>.</w:t>
      </w:r>
    </w:p>
    <w:p w14:paraId="202C256C" w14:textId="5C3B19D6" w:rsidR="00567DC8" w:rsidRDefault="003022EA" w:rsidP="001846CE">
      <w:pPr>
        <w:pStyle w:val="ParaLevel1"/>
      </w:pPr>
      <w:r w:rsidRPr="003022EA">
        <w:t xml:space="preserve">In outline, the Arrangements were a scheme promulgated by </w:t>
      </w:r>
      <w:r w:rsidR="007F2516">
        <w:t>TfWM</w:t>
      </w:r>
      <w:r w:rsidRPr="003022EA">
        <w:t xml:space="preserve"> pursuant to which bus operators, such as </w:t>
      </w:r>
      <w:r w:rsidR="002A555F">
        <w:t>Diamond</w:t>
      </w:r>
      <w:r w:rsidR="00DC54D2">
        <w:t>,</w:t>
      </w:r>
      <w:r w:rsidR="002A555F">
        <w:t xml:space="preserve"> </w:t>
      </w:r>
      <w:r w:rsidRPr="003022EA">
        <w:t xml:space="preserve">obtained reimbursement from </w:t>
      </w:r>
      <w:r w:rsidR="007F2516">
        <w:t>TfWM</w:t>
      </w:r>
      <w:r w:rsidRPr="003022EA">
        <w:t xml:space="preserve"> for free or subsidised bus travel (</w:t>
      </w:r>
      <w:r w:rsidR="00C75EE8" w:rsidRPr="003022EA">
        <w:t>i.e.,</w:t>
      </w:r>
      <w:r w:rsidRPr="003022EA">
        <w:t xml:space="preserve"> concessionary fares) which pursuant to, inter alia, the Acts and the Regulations</w:t>
      </w:r>
      <w:r w:rsidR="00B331FD">
        <w:t>,</w:t>
      </w:r>
      <w:r w:rsidRPr="003022EA">
        <w:t xml:space="preserve"> they were obliged to provide to certain categories </w:t>
      </w:r>
      <w:r w:rsidR="001F5220">
        <w:t xml:space="preserve">older (persons of pensionable age) and disabled </w:t>
      </w:r>
      <w:r w:rsidRPr="003022EA">
        <w:t>passengers in the Principal Area</w:t>
      </w:r>
      <w:r w:rsidR="00567DC8">
        <w:t xml:space="preserve">. </w:t>
      </w:r>
    </w:p>
    <w:p w14:paraId="556F5E17" w14:textId="5A26E5AB" w:rsidR="00A11089" w:rsidRDefault="00567DC8" w:rsidP="001846CE">
      <w:pPr>
        <w:pStyle w:val="ParaLevel1"/>
      </w:pPr>
      <w:r>
        <w:t>The</w:t>
      </w:r>
      <w:r w:rsidR="00F920CA">
        <w:t xml:space="preserve"> provisions of the Arrangements of </w:t>
      </w:r>
      <w:proofErr w:type="gramStart"/>
      <w:r w:rsidR="00F920CA">
        <w:t>particular relevance</w:t>
      </w:r>
      <w:proofErr w:type="gramEnd"/>
      <w:r w:rsidR="00F920CA">
        <w:t xml:space="preserve"> for present purposes are the following:</w:t>
      </w:r>
    </w:p>
    <w:p w14:paraId="0A20F802" w14:textId="502535F1" w:rsidR="00F920CA" w:rsidRDefault="00527C8D" w:rsidP="001846CE">
      <w:pPr>
        <w:pStyle w:val="ParaLevel2"/>
      </w:pPr>
      <w:r w:rsidRPr="00527C8D">
        <w:t>By paragraphs 8 of the 1985 Act Arrangements and paragraph 9 of the 2000 Act Arrangements,</w:t>
      </w:r>
      <w:r w:rsidR="0064539D">
        <w:t xml:space="preserve"> Diamond</w:t>
      </w:r>
      <w:r w:rsidRPr="00527C8D">
        <w:t xml:space="preserve"> was required to provide, and did provide, travel concessions to eligible passengers as set out in Schedule 1 </w:t>
      </w:r>
      <w:r w:rsidR="00CC5F3D">
        <w:t xml:space="preserve">to the 2000 Act </w:t>
      </w:r>
      <w:r w:rsidRPr="00527C8D">
        <w:t xml:space="preserve">Arrangements on the eligible services that </w:t>
      </w:r>
      <w:r w:rsidR="0064539D">
        <w:t>it</w:t>
      </w:r>
      <w:r w:rsidRPr="00527C8D">
        <w:t xml:space="preserve"> operated</w:t>
      </w:r>
      <w:r w:rsidR="00733377">
        <w:t>.</w:t>
      </w:r>
    </w:p>
    <w:p w14:paraId="6CD965C3" w14:textId="3051ACBA" w:rsidR="0064539D" w:rsidRDefault="00A05494" w:rsidP="001846CE">
      <w:pPr>
        <w:pStyle w:val="ParaLevel2"/>
      </w:pPr>
      <w:r w:rsidRPr="00A05494">
        <w:t xml:space="preserve">By paragraph 2 of the 1985 Act Arrangements and paragraphs 2 and 3 of the 2000 Act Arrangements, </w:t>
      </w:r>
      <w:r w:rsidR="007F2516">
        <w:t>TfWM</w:t>
      </w:r>
      <w:r w:rsidRPr="00A05494">
        <w:t xml:space="preserve"> was obliged to reimburse </w:t>
      </w:r>
      <w:r>
        <w:t xml:space="preserve">Diamond </w:t>
      </w:r>
      <w:r w:rsidRPr="00A05494">
        <w:t>for the provision of those travel concessions in accordance with the terms of the Arrangements</w:t>
      </w:r>
      <w:r w:rsidR="00733377">
        <w:t>.</w:t>
      </w:r>
    </w:p>
    <w:p w14:paraId="73FB1116" w14:textId="4A755EB2" w:rsidR="00657CC3" w:rsidRDefault="00AF0BB8" w:rsidP="001846CE">
      <w:pPr>
        <w:pStyle w:val="ParaLevel2"/>
      </w:pPr>
      <w:r>
        <w:t>Paragraph 15</w:t>
      </w:r>
      <w:r w:rsidR="000D5D9C">
        <w:t xml:space="preserve"> of the 1985 Act Arrangements</w:t>
      </w:r>
      <w:r w:rsidR="004E03F9">
        <w:t xml:space="preserve"> provided that the objective of the Arrangements in relation to the reimbursement of operators under the 1985 Act was: </w:t>
      </w:r>
      <w:r w:rsidR="004E03F9" w:rsidRPr="00F73B48">
        <w:rPr>
          <w:i/>
          <w:iCs/>
        </w:rPr>
        <w:t>“to provide such that</w:t>
      </w:r>
      <w:r w:rsidR="00980889" w:rsidRPr="00F73B48">
        <w:rPr>
          <w:i/>
          <w:iCs/>
        </w:rPr>
        <w:t xml:space="preserve"> operators both individually and collectively are no better and no worse off financially than they would be if they did not participate in the [Arrangements] in accordance</w:t>
      </w:r>
      <w:r w:rsidR="00E37E6B" w:rsidRPr="00F73B48">
        <w:rPr>
          <w:i/>
          <w:iCs/>
        </w:rPr>
        <w:t xml:space="preserve"> with the principles set out in the [Regulations]”</w:t>
      </w:r>
      <w:r w:rsidR="00E37E6B">
        <w:t xml:space="preserve">, </w:t>
      </w:r>
      <w:r w:rsidR="00194360">
        <w:t xml:space="preserve">subject to </w:t>
      </w:r>
      <w:r w:rsidR="007F2516">
        <w:t>TFWM</w:t>
      </w:r>
      <w:r w:rsidR="00194360">
        <w:t xml:space="preserve"> not being liable for any failure to achieve such objective</w:t>
      </w:r>
      <w:r w:rsidR="00F73B48">
        <w:t>.</w:t>
      </w:r>
    </w:p>
    <w:p w14:paraId="0A59F3D9" w14:textId="28B9D62F" w:rsidR="00F73B48" w:rsidRDefault="00375026" w:rsidP="001846CE">
      <w:pPr>
        <w:pStyle w:val="ParaLevel2"/>
      </w:pPr>
      <w:r>
        <w:t>Paragraph 16 of the</w:t>
      </w:r>
      <w:r w:rsidR="00566735">
        <w:t xml:space="preserve"> 2000 Act Arrangements provided that:</w:t>
      </w:r>
    </w:p>
    <w:p w14:paraId="314D108C" w14:textId="7CED6101" w:rsidR="00566735" w:rsidRDefault="00E02D11" w:rsidP="00363F07">
      <w:pPr>
        <w:autoSpaceDE w:val="0"/>
        <w:autoSpaceDN w:val="0"/>
        <w:adjustRightInd w:val="0"/>
        <w:spacing w:after="240"/>
        <w:ind w:left="2268" w:right="654"/>
        <w:jc w:val="both"/>
      </w:pPr>
      <w:r>
        <w:t>“</w:t>
      </w:r>
      <w:r w:rsidR="001D024D">
        <w:t xml:space="preserve">The standard method for assessing the total number of journeys made by eligible persons under the Arrangements is set out in Schedule 2. The standard method for assessing the fares value to be attributed to those journeys is set out in Schedule 3. The standard method for calculating the reimbursement for revenue forgone due to the operator will be </w:t>
      </w:r>
      <w:proofErr w:type="gramStart"/>
      <w:r w:rsidR="001D024D">
        <w:t>on the basis of</w:t>
      </w:r>
      <w:proofErr w:type="gramEnd"/>
      <w:r w:rsidR="001D024D">
        <w:t xml:space="preserve"> the formula and parameters set out in Schedule </w:t>
      </w:r>
      <w:r w:rsidR="001D024D">
        <w:lastRenderedPageBreak/>
        <w:t>4. The standard method for</w:t>
      </w:r>
      <w:r>
        <w:t xml:space="preserve"> </w:t>
      </w:r>
      <w:r w:rsidR="001D024D">
        <w:t>calculating any costs additional to basic operating costs is set out in Schedule</w:t>
      </w:r>
      <w:r>
        <w:t xml:space="preserve"> 6.”</w:t>
      </w:r>
    </w:p>
    <w:p w14:paraId="39DE5710" w14:textId="04B10C51" w:rsidR="00566735" w:rsidRDefault="003F53E4" w:rsidP="001846CE">
      <w:pPr>
        <w:pStyle w:val="ParaLevel2"/>
      </w:pPr>
      <w:r>
        <w:t>Paragraph 17 of the 2000 Act Arrangements then provided that:</w:t>
      </w:r>
    </w:p>
    <w:p w14:paraId="3C5500BB" w14:textId="122E53DE" w:rsidR="003F53E4" w:rsidRDefault="007936EE" w:rsidP="00363F07">
      <w:pPr>
        <w:autoSpaceDE w:val="0"/>
        <w:autoSpaceDN w:val="0"/>
        <w:adjustRightInd w:val="0"/>
        <w:spacing w:after="240"/>
        <w:ind w:left="2268" w:right="654"/>
        <w:jc w:val="both"/>
      </w:pPr>
      <w:r>
        <w:t>“</w:t>
      </w:r>
      <w:r w:rsidR="00264684">
        <w:t xml:space="preserve">In calculating the reimbursement due to the operator, the Authority will </w:t>
      </w:r>
      <w:proofErr w:type="gramStart"/>
      <w:r w:rsidR="00264684">
        <w:t>take into account</w:t>
      </w:r>
      <w:proofErr w:type="gramEnd"/>
      <w:r w:rsidR="00264684">
        <w:t xml:space="preserve"> any</w:t>
      </w:r>
      <w:r w:rsidR="00F11149">
        <w:t xml:space="preserve"> data supplied by the operator</w:t>
      </w:r>
      <w:r w:rsidR="00264684">
        <w:t xml:space="preserve"> if it can be shown that the data</w:t>
      </w:r>
      <w:r w:rsidR="00F11149">
        <w:t xml:space="preserve"> </w:t>
      </w:r>
      <w:r w:rsidR="00264684">
        <w:t>supplied is more accurate than the standard method and is more likely to</w:t>
      </w:r>
      <w:r w:rsidR="003F5E17">
        <w:t xml:space="preserve"> </w:t>
      </w:r>
      <w:r w:rsidR="003F5E17" w:rsidRPr="003F5E17">
        <w:t>enable the Authority to meet the applicable, ‘no better, no worse’ objectives</w:t>
      </w:r>
      <w:r w:rsidR="003F5E17">
        <w:t xml:space="preserve"> </w:t>
      </w:r>
      <w:r w:rsidR="003F5E17" w:rsidRPr="003F5E17">
        <w:t xml:space="preserve">for reimbursement set out in the </w:t>
      </w:r>
      <w:r w:rsidR="003F5E17">
        <w:t xml:space="preserve">[Regulations] </w:t>
      </w:r>
      <w:r w:rsidR="003F5E17" w:rsidRPr="003F5E17">
        <w:t>and EU Regulation 1370/2007.</w:t>
      </w:r>
      <w:r>
        <w:t>”</w:t>
      </w:r>
    </w:p>
    <w:p w14:paraId="7D89A60F" w14:textId="6E560708" w:rsidR="003F53E4" w:rsidRDefault="003D06CB" w:rsidP="001846CE">
      <w:pPr>
        <w:pStyle w:val="ParaLevel2"/>
      </w:pPr>
      <w:r>
        <w:t>Schedule</w:t>
      </w:r>
      <w:r w:rsidR="009D389F">
        <w:t xml:space="preserve"> 3 to the 2000 Act Arrangements sets out the </w:t>
      </w:r>
      <w:r w:rsidR="000C2EFD" w:rsidRPr="000C2EFD">
        <w:rPr>
          <w:i/>
          <w:iCs/>
        </w:rPr>
        <w:t>“</w:t>
      </w:r>
      <w:r w:rsidR="009D389F" w:rsidRPr="000C2EFD">
        <w:rPr>
          <w:i/>
          <w:iCs/>
        </w:rPr>
        <w:t>standard method</w:t>
      </w:r>
      <w:r w:rsidR="000C2EFD" w:rsidRPr="000C2EFD">
        <w:rPr>
          <w:i/>
          <w:iCs/>
        </w:rPr>
        <w:t>”</w:t>
      </w:r>
      <w:r w:rsidR="009D389F">
        <w:t xml:space="preserve"> of determining the average fare that would be paid in the absence of the concession.</w:t>
      </w:r>
      <w:r w:rsidR="001F4D17">
        <w:t xml:space="preserve"> This involves</w:t>
      </w:r>
      <w:r w:rsidR="003D1A15">
        <w:t xml:space="preserve"> determining the </w:t>
      </w:r>
      <w:r w:rsidR="003D1A15" w:rsidRPr="000018EC">
        <w:rPr>
          <w:i/>
          <w:iCs/>
        </w:rPr>
        <w:t>“Average Cash Fa</w:t>
      </w:r>
      <w:r w:rsidR="000715A7">
        <w:rPr>
          <w:i/>
          <w:iCs/>
        </w:rPr>
        <w:t>re</w:t>
      </w:r>
      <w:r w:rsidR="003D1A15" w:rsidRPr="000018EC">
        <w:rPr>
          <w:i/>
          <w:iCs/>
        </w:rPr>
        <w:t>”</w:t>
      </w:r>
      <w:r w:rsidR="000018EC">
        <w:t xml:space="preserve">, </w:t>
      </w:r>
      <w:r w:rsidR="00C75EE8">
        <w:t>i.e.,</w:t>
      </w:r>
      <w:r w:rsidR="005E069C">
        <w:t xml:space="preserve"> what passengers would have paid in cash for each journey, and to then apply a </w:t>
      </w:r>
      <w:r w:rsidR="005E069C" w:rsidRPr="0082668A">
        <w:rPr>
          <w:i/>
          <w:iCs/>
        </w:rPr>
        <w:t>“Discount Factor”</w:t>
      </w:r>
      <w:r w:rsidR="004B463B">
        <w:t xml:space="preserve">, the principal determinants of which are the relative prices of cash fares, daily </w:t>
      </w:r>
      <w:proofErr w:type="gramStart"/>
      <w:r w:rsidR="004B463B">
        <w:t>tickets</w:t>
      </w:r>
      <w:proofErr w:type="gramEnd"/>
      <w:r w:rsidR="004B463B">
        <w:t xml:space="preserve"> and weekly tickets as described in </w:t>
      </w:r>
      <w:r w:rsidR="000A20B9">
        <w:t xml:space="preserve">Department of Transport </w:t>
      </w:r>
      <w:r w:rsidR="00B95304">
        <w:t>g</w:t>
      </w:r>
      <w:r w:rsidR="000A20B9">
        <w:t>uidance (“</w:t>
      </w:r>
      <w:r w:rsidR="004B463B" w:rsidRPr="000A20B9">
        <w:rPr>
          <w:b/>
          <w:bCs/>
        </w:rPr>
        <w:t>DfT</w:t>
      </w:r>
      <w:r w:rsidR="000A20B9" w:rsidRPr="000A20B9">
        <w:rPr>
          <w:b/>
          <w:bCs/>
        </w:rPr>
        <w:t xml:space="preserve"> Guidance</w:t>
      </w:r>
      <w:r w:rsidR="000A20B9">
        <w:t>”).</w:t>
      </w:r>
      <w:r w:rsidR="00D924F5">
        <w:t xml:space="preserve"> </w:t>
      </w:r>
      <w:r w:rsidR="00B61123">
        <w:t xml:space="preserve">Operators </w:t>
      </w:r>
      <w:r w:rsidR="00087420">
        <w:t xml:space="preserve">are required to provide </w:t>
      </w:r>
      <w:r w:rsidR="00034B1C">
        <w:t>fo</w:t>
      </w:r>
      <w:r w:rsidR="00CE070A">
        <w:t>u</w:t>
      </w:r>
      <w:r w:rsidR="00034B1C">
        <w:t xml:space="preserve">r </w:t>
      </w:r>
      <w:r w:rsidR="00B01F0D">
        <w:t xml:space="preserve">specified values </w:t>
      </w:r>
      <w:r w:rsidR="00034B1C">
        <w:t xml:space="preserve">of </w:t>
      </w:r>
      <w:r w:rsidR="00087420">
        <w:t>data</w:t>
      </w:r>
      <w:r w:rsidR="00B61123">
        <w:t xml:space="preserve"> </w:t>
      </w:r>
      <w:proofErr w:type="gramStart"/>
      <w:r w:rsidR="00B61123">
        <w:t>with regard to</w:t>
      </w:r>
      <w:proofErr w:type="gramEnd"/>
      <w:r w:rsidR="008D32EB">
        <w:t xml:space="preserve"> cash fares, daily tickets and weekly tickets</w:t>
      </w:r>
      <w:r w:rsidR="00713A50">
        <w:t xml:space="preserve"> to be used to estimate the average </w:t>
      </w:r>
      <w:r w:rsidR="00B95634">
        <w:t xml:space="preserve">cash fare </w:t>
      </w:r>
      <w:r w:rsidR="00713A50">
        <w:t>paid by commercial passengers for each journey, and the average price per ticket of daily and weekly tickets respectively (</w:t>
      </w:r>
      <w:r w:rsidR="000D5B65">
        <w:t xml:space="preserve">paragraph 4 of Schedule </w:t>
      </w:r>
      <w:r w:rsidR="00E45994">
        <w:t>3</w:t>
      </w:r>
      <w:r w:rsidR="000D5B65">
        <w:t>)</w:t>
      </w:r>
      <w:r w:rsidR="00713A50">
        <w:t>.</w:t>
      </w:r>
      <w:r w:rsidR="000D5B65">
        <w:t xml:space="preserve"> Paragraph 5.1 of Schedule </w:t>
      </w:r>
      <w:r w:rsidR="00D2641D">
        <w:t>3</w:t>
      </w:r>
      <w:r w:rsidR="000D5B65">
        <w:t xml:space="preserve"> then provides that the four values</w:t>
      </w:r>
      <w:r w:rsidR="002B18A2">
        <w:t xml:space="preserve"> are to be input into a spreadsheet which draws on the data included in </w:t>
      </w:r>
      <w:r w:rsidR="00D2641D">
        <w:t>the</w:t>
      </w:r>
      <w:r w:rsidR="002B18A2">
        <w:t xml:space="preserve"> DfT model or other local data if more applicable</w:t>
      </w:r>
      <w:r w:rsidR="00D8339D">
        <w:t xml:space="preserve"> (</w:t>
      </w:r>
      <w:r w:rsidR="00D8339D" w:rsidRPr="00DA1A2A">
        <w:rPr>
          <w:i/>
          <w:iCs/>
        </w:rPr>
        <w:t xml:space="preserve">“the </w:t>
      </w:r>
      <w:r w:rsidR="00111FF1">
        <w:rPr>
          <w:i/>
          <w:iCs/>
        </w:rPr>
        <w:t>Look-up</w:t>
      </w:r>
      <w:r w:rsidR="00D8339D" w:rsidRPr="00DA1A2A">
        <w:rPr>
          <w:i/>
          <w:iCs/>
        </w:rPr>
        <w:t xml:space="preserve"> table”</w:t>
      </w:r>
      <w:r w:rsidR="00D8339D">
        <w:t>)</w:t>
      </w:r>
      <w:r w:rsidR="0071166F">
        <w:t xml:space="preserve"> to populate a DfT Discount Factor calculation.</w:t>
      </w:r>
      <w:r w:rsidR="004839EE">
        <w:t xml:space="preserve"> Paragraph 5.1 provides that the specific values in the </w:t>
      </w:r>
      <w:r w:rsidR="00111FF1">
        <w:t>Look-up</w:t>
      </w:r>
      <w:r w:rsidR="004839EE">
        <w:t xml:space="preserve"> table are locally derived from all smart</w:t>
      </w:r>
      <w:r w:rsidR="00B95304">
        <w:t xml:space="preserve"> </w:t>
      </w:r>
      <w:r w:rsidR="004839EE">
        <w:t>card</w:t>
      </w:r>
      <w:r w:rsidR="00BA34C4">
        <w:t xml:space="preserve"> concessionary journeys originating in the Principal Area over a representative </w:t>
      </w:r>
      <w:proofErr w:type="gramStart"/>
      <w:r w:rsidR="00BA34C4">
        <w:t>time period</w:t>
      </w:r>
      <w:proofErr w:type="gramEnd"/>
      <w:r w:rsidR="00BA34C4">
        <w:t>.</w:t>
      </w:r>
      <w:r w:rsidR="00E8553D">
        <w:t xml:space="preserve"> </w:t>
      </w:r>
      <w:r w:rsidR="003A47BF">
        <w:t>In this way</w:t>
      </w:r>
      <w:r w:rsidR="0099393E">
        <w:t xml:space="preserve"> the Discount Factor is arrived at</w:t>
      </w:r>
      <w:r w:rsidR="005F0241">
        <w:t>, which is then appl</w:t>
      </w:r>
      <w:r w:rsidR="000C2EFD">
        <w:t xml:space="preserve">ied to </w:t>
      </w:r>
      <w:r w:rsidR="0099393E">
        <w:t xml:space="preserve">the Average Cash Fare </w:t>
      </w:r>
      <w:r w:rsidR="0082668A">
        <w:t>to arrive at the</w:t>
      </w:r>
      <w:r w:rsidR="00C831AF">
        <w:t xml:space="preserve"> </w:t>
      </w:r>
      <w:r w:rsidR="00C831AF" w:rsidRPr="00C831AF">
        <w:rPr>
          <w:i/>
          <w:iCs/>
        </w:rPr>
        <w:t>“Average Fare Forgone”</w:t>
      </w:r>
      <w:r w:rsidR="00C831AF">
        <w:t>.</w:t>
      </w:r>
    </w:p>
    <w:p w14:paraId="078207B5" w14:textId="17A10555" w:rsidR="000A66AA" w:rsidRDefault="00C831AF" w:rsidP="001846CE">
      <w:pPr>
        <w:pStyle w:val="ParaLevel2"/>
      </w:pPr>
      <w:r>
        <w:t xml:space="preserve">Schedule </w:t>
      </w:r>
      <w:r w:rsidR="00165BCD">
        <w:t xml:space="preserve">4 </w:t>
      </w:r>
      <w:r>
        <w:t>to the</w:t>
      </w:r>
      <w:r w:rsidR="00165BCD">
        <w:t xml:space="preserve"> 2000 Act Arrangements then sets out</w:t>
      </w:r>
      <w:r w:rsidR="002E6B45">
        <w:t xml:space="preserve"> the </w:t>
      </w:r>
      <w:r w:rsidR="000C2EFD" w:rsidRPr="000C2EFD">
        <w:rPr>
          <w:i/>
          <w:iCs/>
        </w:rPr>
        <w:t>“</w:t>
      </w:r>
      <w:r w:rsidR="002E6B45" w:rsidRPr="000C2EFD">
        <w:rPr>
          <w:i/>
          <w:iCs/>
        </w:rPr>
        <w:t>standard method</w:t>
      </w:r>
      <w:r w:rsidR="000C2EFD" w:rsidRPr="000C2EFD">
        <w:rPr>
          <w:i/>
          <w:iCs/>
        </w:rPr>
        <w:t>”</w:t>
      </w:r>
      <w:r w:rsidR="002E6B45">
        <w:t xml:space="preserve"> for determining </w:t>
      </w:r>
      <w:r w:rsidR="002E6B45" w:rsidRPr="002E6B45">
        <w:rPr>
          <w:i/>
          <w:iCs/>
        </w:rPr>
        <w:t>“Revenue Forgone”</w:t>
      </w:r>
      <w:r w:rsidR="002E6B45">
        <w:t>. In essence,</w:t>
      </w:r>
      <w:r w:rsidR="006505C4">
        <w:t xml:space="preserve"> this involves multiplying the total number of passenger journeys</w:t>
      </w:r>
      <w:r w:rsidR="00394947">
        <w:t xml:space="preserve"> (which is not in dispute) by the Average Fare Forgone, and to then apply</w:t>
      </w:r>
      <w:r w:rsidR="00194F55">
        <w:t xml:space="preserve"> (</w:t>
      </w:r>
      <w:r w:rsidR="00C75EE8">
        <w:t>i.e.,</w:t>
      </w:r>
      <w:r w:rsidR="00194F55">
        <w:t xml:space="preserve"> multiply the total by)</w:t>
      </w:r>
      <w:r w:rsidR="00137834">
        <w:t xml:space="preserve"> a </w:t>
      </w:r>
      <w:r w:rsidR="00137834" w:rsidRPr="00FB0926">
        <w:rPr>
          <w:i/>
          <w:iCs/>
        </w:rPr>
        <w:t>“</w:t>
      </w:r>
      <w:r w:rsidR="00FB0926" w:rsidRPr="00FB0926">
        <w:rPr>
          <w:i/>
          <w:iCs/>
        </w:rPr>
        <w:t>Reimbursement Factor”</w:t>
      </w:r>
      <w:r w:rsidR="00CC4F80">
        <w:t>,</w:t>
      </w:r>
      <w:r w:rsidR="00FB0926">
        <w:t xml:space="preserve"> </w:t>
      </w:r>
      <w:r w:rsidR="00DA40D6">
        <w:t>being the ratio of the estimated concessionary journeys that would be made if commercial adult fares had to be paid, to the actual number of passenger journeys made using the concession.</w:t>
      </w:r>
      <w:r w:rsidR="00EC07C8">
        <w:t xml:space="preserve"> Paragraph 2 of Schedule</w:t>
      </w:r>
      <w:r w:rsidR="005F7187">
        <w:t xml:space="preserve"> 4 provides that the Reimbursement Factor is to be calculated in accordance with the DfT Guidance</w:t>
      </w:r>
      <w:r w:rsidR="00077711">
        <w:t xml:space="preserve"> using a specified spreadsheet</w:t>
      </w:r>
      <w:r w:rsidR="000A66AA">
        <w:t>, subject to adjustment as provided for.</w:t>
      </w:r>
    </w:p>
    <w:p w14:paraId="302961AD" w14:textId="7491C0B5" w:rsidR="00014AEC" w:rsidRDefault="00E92102" w:rsidP="001846CE">
      <w:pPr>
        <w:pStyle w:val="ParaLevel1"/>
      </w:pPr>
      <w:r>
        <w:t xml:space="preserve">So far as using the </w:t>
      </w:r>
      <w:r w:rsidRPr="00014AEC">
        <w:rPr>
          <w:i/>
          <w:iCs/>
        </w:rPr>
        <w:t>“standard method”</w:t>
      </w:r>
      <w:r>
        <w:t xml:space="preserve"> for determining the </w:t>
      </w:r>
      <w:r w:rsidR="0033615A" w:rsidRPr="0033615A">
        <w:rPr>
          <w:i/>
          <w:iCs/>
        </w:rPr>
        <w:t>“</w:t>
      </w:r>
      <w:r w:rsidRPr="0033615A">
        <w:rPr>
          <w:i/>
          <w:iCs/>
        </w:rPr>
        <w:t>Revenue Forgone</w:t>
      </w:r>
      <w:r w:rsidR="0033615A" w:rsidRPr="0033615A">
        <w:rPr>
          <w:i/>
          <w:iCs/>
        </w:rPr>
        <w:t xml:space="preserve">” </w:t>
      </w:r>
      <w:r w:rsidR="0033615A">
        <w:t xml:space="preserve">is concerned, </w:t>
      </w:r>
      <w:r w:rsidR="002451A9">
        <w:t>this is</w:t>
      </w:r>
      <w:r w:rsidR="00014AEC">
        <w:t xml:space="preserve">, as I have </w:t>
      </w:r>
      <w:r w:rsidR="00B54DDD">
        <w:t>a</w:t>
      </w:r>
      <w:r w:rsidR="00177D38">
        <w:t>l</w:t>
      </w:r>
      <w:r w:rsidR="00014AEC">
        <w:t>ready identified,</w:t>
      </w:r>
      <w:r w:rsidR="002451A9">
        <w:t xml:space="preserve"> subject </w:t>
      </w:r>
      <w:r w:rsidR="00CC4F80">
        <w:t xml:space="preserve">to </w:t>
      </w:r>
      <w:r w:rsidR="002451A9">
        <w:t xml:space="preserve">paragraph 17 of the 2000 Act Arrangements </w:t>
      </w:r>
      <w:r w:rsidR="00B24407">
        <w:t xml:space="preserve">requiring </w:t>
      </w:r>
      <w:r w:rsidR="007F2516">
        <w:t>TfWM</w:t>
      </w:r>
      <w:r w:rsidR="00B24407">
        <w:t xml:space="preserve"> to take into account any data supplied by Diamond</w:t>
      </w:r>
      <w:r w:rsidR="007F2516">
        <w:t>:</w:t>
      </w:r>
      <w:r w:rsidR="00B24407">
        <w:t xml:space="preserve"> </w:t>
      </w:r>
      <w:r w:rsidR="001C0139" w:rsidRPr="007F2516">
        <w:rPr>
          <w:i/>
          <w:iCs/>
        </w:rPr>
        <w:t xml:space="preserve">“if it can be shown that the data supplied is more accurate than the standard </w:t>
      </w:r>
      <w:bookmarkStart w:id="3" w:name="_Hlk142509178"/>
      <w:r w:rsidR="001C0139" w:rsidRPr="007F2516">
        <w:rPr>
          <w:i/>
          <w:iCs/>
        </w:rPr>
        <w:t>method and is more likely to enable [</w:t>
      </w:r>
      <w:r w:rsidR="007F2516" w:rsidRPr="007F2516">
        <w:rPr>
          <w:i/>
          <w:iCs/>
        </w:rPr>
        <w:t>TfWM</w:t>
      </w:r>
      <w:r w:rsidR="001C0139" w:rsidRPr="007F2516">
        <w:rPr>
          <w:i/>
          <w:iCs/>
        </w:rPr>
        <w:t>] to meet the applicable “no bette</w:t>
      </w:r>
      <w:r w:rsidR="001C0139" w:rsidRPr="00CC578B">
        <w:rPr>
          <w:i/>
          <w:iCs/>
        </w:rPr>
        <w:t>r, no worse” objectives for reimbursement</w:t>
      </w:r>
      <w:r w:rsidR="00CC578B" w:rsidRPr="00CC578B">
        <w:rPr>
          <w:i/>
          <w:iCs/>
        </w:rPr>
        <w:t>.”</w:t>
      </w:r>
      <w:bookmarkEnd w:id="3"/>
      <w:r w:rsidR="00CC578B">
        <w:t xml:space="preserve"> In the course of submissions,</w:t>
      </w:r>
      <w:r w:rsidR="00FE5B9E">
        <w:t xml:space="preserve"> </w:t>
      </w:r>
      <w:r w:rsidR="007F2516">
        <w:t xml:space="preserve">Mr Connolly </w:t>
      </w:r>
      <w:r w:rsidR="00FE5B9E">
        <w:t>took me to various paragraphs of the relevant DfT Guidance</w:t>
      </w:r>
      <w:r w:rsidR="00F24D29">
        <w:t xml:space="preserve"> </w:t>
      </w:r>
      <w:r w:rsidR="00A62359">
        <w:t xml:space="preserve">(published in </w:t>
      </w:r>
      <w:r w:rsidR="00A62359">
        <w:lastRenderedPageBreak/>
        <w:t xml:space="preserve">September 2017) </w:t>
      </w:r>
      <w:r w:rsidR="00F24D29">
        <w:t>emphasising that it may be appropriate to deviate</w:t>
      </w:r>
      <w:r w:rsidR="00A62359">
        <w:t xml:space="preserve"> from the standard methodology set out in the DfT Guidance</w:t>
      </w:r>
      <w:r w:rsidR="00C34D1F">
        <w:t xml:space="preserve"> in order to give effect to the </w:t>
      </w:r>
      <w:r w:rsidR="00C34D1F" w:rsidRPr="00C57488">
        <w:rPr>
          <w:i/>
          <w:iCs/>
        </w:rPr>
        <w:t>“no better, no worse”</w:t>
      </w:r>
      <w:r w:rsidR="00C34D1F">
        <w:t xml:space="preserve"> principle</w:t>
      </w:r>
      <w:r w:rsidR="001D54B0">
        <w:t>, if appropriate to do so having regard to more localised data</w:t>
      </w:r>
      <w:r w:rsidR="00C57488">
        <w:t xml:space="preserve"> – see </w:t>
      </w:r>
      <w:r w:rsidR="00A65D20">
        <w:t xml:space="preserve">e.g., </w:t>
      </w:r>
      <w:r w:rsidR="00C57488">
        <w:t>paragraphs 1.10,</w:t>
      </w:r>
      <w:r w:rsidR="0021608A">
        <w:t xml:space="preserve"> 2.1-2.5,</w:t>
      </w:r>
      <w:r w:rsidR="0034293B">
        <w:t xml:space="preserve"> 3.1, 3.10, </w:t>
      </w:r>
      <w:r w:rsidR="00644986">
        <w:t>3.17</w:t>
      </w:r>
      <w:r w:rsidR="008B162F">
        <w:t>, 5.11-5.12</w:t>
      </w:r>
      <w:r w:rsidR="00511C0C">
        <w:t>, and 5.19-5.20</w:t>
      </w:r>
      <w:r w:rsidR="00644986">
        <w:t>.</w:t>
      </w:r>
    </w:p>
    <w:p w14:paraId="077A2730" w14:textId="0179B5B9" w:rsidR="005B1B44" w:rsidRPr="005B1B44" w:rsidRDefault="002620E4" w:rsidP="001846CE">
      <w:pPr>
        <w:pStyle w:val="ParaLevel1"/>
        <w:numPr>
          <w:ilvl w:val="0"/>
          <w:numId w:val="0"/>
        </w:numPr>
        <w:ind w:left="720" w:hanging="720"/>
        <w:rPr>
          <w:b/>
          <w:bCs/>
          <w:u w:val="single"/>
        </w:rPr>
      </w:pPr>
      <w:bookmarkStart w:id="4" w:name="_Hlk142600668"/>
      <w:bookmarkStart w:id="5" w:name="D"/>
      <w:r>
        <w:rPr>
          <w:b/>
          <w:bCs/>
          <w:u w:val="single"/>
        </w:rPr>
        <w:t xml:space="preserve">Diamond’s claim for reimbursement </w:t>
      </w:r>
    </w:p>
    <w:bookmarkEnd w:id="4"/>
    <w:bookmarkEnd w:id="5"/>
    <w:p w14:paraId="3A5BB5E2" w14:textId="4F93159D" w:rsidR="005E32DA" w:rsidRDefault="00D957B9" w:rsidP="001846CE">
      <w:pPr>
        <w:pStyle w:val="ParaLevel1"/>
      </w:pPr>
      <w:r w:rsidRPr="00D957B9">
        <w:t xml:space="preserve">It is </w:t>
      </w:r>
      <w:r>
        <w:t xml:space="preserve">Diamond’s </w:t>
      </w:r>
      <w:r w:rsidRPr="00D957B9">
        <w:t xml:space="preserve">case </w:t>
      </w:r>
      <w:r w:rsidR="00202485">
        <w:t xml:space="preserve">that </w:t>
      </w:r>
      <w:r w:rsidRPr="00D957B9">
        <w:t xml:space="preserve">in its application of the Arrangements, </w:t>
      </w:r>
      <w:r w:rsidR="007F2516">
        <w:t>TfWM</w:t>
      </w:r>
      <w:r w:rsidRPr="00D957B9">
        <w:t xml:space="preserve"> has substantially under reimbursed</w:t>
      </w:r>
      <w:r w:rsidR="00202485">
        <w:t xml:space="preserve"> Diamond </w:t>
      </w:r>
      <w:r w:rsidRPr="00D957B9">
        <w:t>for the periods 1 April 2018 to 31 March 2019 and 1 April 2019 to 31 March 2020</w:t>
      </w:r>
      <w:r w:rsidR="00AE09A8">
        <w:t>, the under reimbursement</w:t>
      </w:r>
      <w:r w:rsidR="00BC5103">
        <w:t xml:space="preserve"> claims falling under the</w:t>
      </w:r>
      <w:r w:rsidR="009B1281">
        <w:t xml:space="preserve"> two heads of the Additional Costs Claim, and the F</w:t>
      </w:r>
      <w:r w:rsidR="00EC5E38">
        <w:t>ares</w:t>
      </w:r>
      <w:r w:rsidR="009B1281">
        <w:t xml:space="preserve"> Forgone Claim referred to in paragraph</w:t>
      </w:r>
      <w:r w:rsidR="005E32DA">
        <w:t xml:space="preserve"> 4 above</w:t>
      </w:r>
      <w:r w:rsidRPr="00D957B9">
        <w:t>.</w:t>
      </w:r>
    </w:p>
    <w:p w14:paraId="7FA703B1" w14:textId="56718FED" w:rsidR="00D957B9" w:rsidRPr="00D957B9" w:rsidRDefault="00FA4186" w:rsidP="001846CE">
      <w:pPr>
        <w:pStyle w:val="ParaLevel1"/>
      </w:pPr>
      <w:r w:rsidRPr="00FA4186">
        <w:t xml:space="preserve">So far as the Additional Costs Claim is concerned, </w:t>
      </w:r>
      <w:r w:rsidR="00F67E31">
        <w:t xml:space="preserve">this </w:t>
      </w:r>
      <w:r w:rsidRPr="00FA4186">
        <w:t xml:space="preserve">has been articulated in pre-action correspondence with </w:t>
      </w:r>
      <w:r w:rsidR="009407E7">
        <w:t xml:space="preserve">Diamond </w:t>
      </w:r>
      <w:r w:rsidRPr="00FA4186">
        <w:t>asserting claims to the value of £286,834 (2018/19) and £305,969 (2019/20) (totalling £592,803)</w:t>
      </w:r>
      <w:r w:rsidR="009407E7">
        <w:t xml:space="preserve">, and </w:t>
      </w:r>
      <w:r w:rsidR="007F2516">
        <w:t>TfWM</w:t>
      </w:r>
      <w:r w:rsidR="009407E7">
        <w:t xml:space="preserve">, </w:t>
      </w:r>
      <w:r w:rsidR="00672705">
        <w:t>in response,</w:t>
      </w:r>
      <w:r w:rsidRPr="00FA4186">
        <w:t xml:space="preserve"> asserting that it has a liability of no more than £15,936</w:t>
      </w:r>
      <w:r w:rsidR="00672705">
        <w:t xml:space="preserve"> and alleging that</w:t>
      </w:r>
      <w:r w:rsidR="002B3F17">
        <w:t xml:space="preserve"> Diamond has failed to produce the evidence to support its claim. Diamond does not seek p</w:t>
      </w:r>
      <w:r w:rsidRPr="00FA4186">
        <w:t xml:space="preserve">re-action disclosure in respect of the Additional Costs Claim and </w:t>
      </w:r>
      <w:r w:rsidR="00A21658">
        <w:t xml:space="preserve">is content that it is </w:t>
      </w:r>
      <w:r w:rsidRPr="00FA4186">
        <w:t>able to bring th</w:t>
      </w:r>
      <w:r w:rsidR="00A21658">
        <w:t>is</w:t>
      </w:r>
      <w:r w:rsidRPr="00FA4186">
        <w:t xml:space="preserve"> claim without pre-action disclosure from </w:t>
      </w:r>
      <w:r w:rsidR="007F2516">
        <w:t>TfWM</w:t>
      </w:r>
      <w:r w:rsidRPr="00FA4186">
        <w:t>.</w:t>
      </w:r>
      <w:r w:rsidR="00D957B9" w:rsidRPr="00D957B9">
        <w:t xml:space="preserve"> </w:t>
      </w:r>
    </w:p>
    <w:p w14:paraId="0B4A2D64" w14:textId="766BCDEF" w:rsidR="00C831AF" w:rsidRDefault="005E229E" w:rsidP="001846CE">
      <w:pPr>
        <w:pStyle w:val="ParaLevel1"/>
      </w:pPr>
      <w:r w:rsidRPr="005E229E">
        <w:t xml:space="preserve">So far as </w:t>
      </w:r>
      <w:r>
        <w:t xml:space="preserve">the </w:t>
      </w:r>
      <w:r w:rsidRPr="005E229E">
        <w:t xml:space="preserve">Fares Foregone Claim is concerned, </w:t>
      </w:r>
      <w:r w:rsidR="00CE4F0E">
        <w:t xml:space="preserve">it is Diamond’s case that it has not been possible for it to </w:t>
      </w:r>
      <w:r w:rsidRPr="005E229E">
        <w:t>establish the viability or value of its claim to a sufficient degree as the documents and data required to do so are</w:t>
      </w:r>
      <w:r w:rsidR="000A34FB">
        <w:t>, it says,</w:t>
      </w:r>
      <w:r w:rsidRPr="005E229E">
        <w:t xml:space="preserve"> within the sole control of </w:t>
      </w:r>
      <w:r w:rsidR="007F2516">
        <w:t>TfWM</w:t>
      </w:r>
      <w:r w:rsidRPr="005E229E">
        <w:t xml:space="preserve">. </w:t>
      </w:r>
      <w:r w:rsidR="00C86D20">
        <w:t xml:space="preserve">Diamond says that its </w:t>
      </w:r>
      <w:r w:rsidRPr="005E229E">
        <w:t xml:space="preserve">best estimate, based on its own data, and without reference to the data controlled by </w:t>
      </w:r>
      <w:r w:rsidR="007F2516">
        <w:t>TfWM</w:t>
      </w:r>
      <w:r w:rsidRPr="005E229E">
        <w:t xml:space="preserve">, is that </w:t>
      </w:r>
      <w:r w:rsidR="00C86D20">
        <w:t xml:space="preserve">its </w:t>
      </w:r>
      <w:r w:rsidRPr="005E229E">
        <w:t xml:space="preserve">claims are worth in the region of £629,856 (2018/19) and £474,262 (2019/2020) (totalling £1,104,118). </w:t>
      </w:r>
      <w:r w:rsidR="00DD6B60">
        <w:t xml:space="preserve">Diamond’s calculation of these amounts appears from a table </w:t>
      </w:r>
      <w:r w:rsidR="00FE74A1">
        <w:t xml:space="preserve">at </w:t>
      </w:r>
      <w:r w:rsidRPr="005E229E">
        <w:t>page 369</w:t>
      </w:r>
      <w:r w:rsidR="009373D0">
        <w:t xml:space="preserve"> of the hearing bundle</w:t>
      </w:r>
      <w:r w:rsidR="00D2633F">
        <w:t>.</w:t>
      </w:r>
      <w:r w:rsidRPr="005E229E">
        <w:t xml:space="preserve"> </w:t>
      </w:r>
      <w:r w:rsidR="009373D0">
        <w:t xml:space="preserve">It is in respect of </w:t>
      </w:r>
      <w:r w:rsidRPr="005E229E">
        <w:t xml:space="preserve">the Fares Foregone Claim </w:t>
      </w:r>
      <w:r w:rsidR="00C27899">
        <w:t xml:space="preserve">that pre-action disclosure is sought. </w:t>
      </w:r>
    </w:p>
    <w:p w14:paraId="5EE6E4D8" w14:textId="20BD368B" w:rsidR="00D62967" w:rsidRPr="00D62967" w:rsidRDefault="00410F5F" w:rsidP="001846CE">
      <w:pPr>
        <w:pStyle w:val="ParaLevel1"/>
      </w:pPr>
      <w:r>
        <w:t xml:space="preserve">Diamond identifies that one </w:t>
      </w:r>
      <w:r w:rsidR="00783456">
        <w:t xml:space="preserve">key </w:t>
      </w:r>
      <w:r w:rsidR="002B6249">
        <w:t xml:space="preserve">aspect </w:t>
      </w:r>
      <w:r w:rsidR="00FE670C">
        <w:t xml:space="preserve">of achieving the </w:t>
      </w:r>
      <w:r w:rsidR="00783456">
        <w:t xml:space="preserve">fundamental </w:t>
      </w:r>
      <w:r w:rsidR="00FE670C">
        <w:t xml:space="preserve">principle of putting </w:t>
      </w:r>
      <w:r w:rsidR="002B6249">
        <w:t xml:space="preserve">Diamond </w:t>
      </w:r>
      <w:r w:rsidR="00D62967" w:rsidRPr="00D62967">
        <w:t>back into the position of being no better</w:t>
      </w:r>
      <w:r w:rsidR="00310513">
        <w:t>, no</w:t>
      </w:r>
      <w:r w:rsidR="00D62967" w:rsidRPr="00D62967">
        <w:t xml:space="preserve"> worse off </w:t>
      </w:r>
      <w:r w:rsidR="00C76CF6">
        <w:t xml:space="preserve">in consequence of </w:t>
      </w:r>
      <w:r w:rsidR="00D62967" w:rsidRPr="00D62967">
        <w:t xml:space="preserve">providing free and subsidised travel </w:t>
      </w:r>
      <w:r w:rsidR="00C76CF6">
        <w:t xml:space="preserve">is to compensate </w:t>
      </w:r>
      <w:r w:rsidR="00783456">
        <w:t xml:space="preserve">it </w:t>
      </w:r>
      <w:r w:rsidR="00D62967" w:rsidRPr="00D62967">
        <w:t xml:space="preserve">in relation to fare income that it would have received but for the Arrangements implemented by </w:t>
      </w:r>
      <w:r w:rsidR="007F2516">
        <w:t>TfWM</w:t>
      </w:r>
      <w:r w:rsidR="00D62967" w:rsidRPr="00D62967">
        <w:t>, but which in consequence of those Arrangements it did not receive</w:t>
      </w:r>
      <w:r w:rsidR="00C67086">
        <w:t xml:space="preserve">, </w:t>
      </w:r>
      <w:r w:rsidR="00D62967" w:rsidRPr="00D62967">
        <w:t xml:space="preserve">i.e. fare income that DBL has foregone in consequence of the Arrangements as implemented by </w:t>
      </w:r>
      <w:r w:rsidR="007F2516">
        <w:t>TfWM</w:t>
      </w:r>
      <w:r w:rsidR="00D62967" w:rsidRPr="00D62967">
        <w:t xml:space="preserve">. </w:t>
      </w:r>
    </w:p>
    <w:p w14:paraId="55CD7E95" w14:textId="194875ED" w:rsidR="00071E40" w:rsidRDefault="007F2516" w:rsidP="001846CE">
      <w:pPr>
        <w:pStyle w:val="ParaLevel1"/>
      </w:pPr>
      <w:proofErr w:type="spellStart"/>
      <w:r>
        <w:t>TfWM</w:t>
      </w:r>
      <w:proofErr w:type="spellEnd"/>
      <w:r w:rsidR="003776B1">
        <w:t xml:space="preserve"> has applied the </w:t>
      </w:r>
      <w:r w:rsidR="00631BA0" w:rsidRPr="00631BA0">
        <w:rPr>
          <w:i/>
          <w:iCs/>
        </w:rPr>
        <w:t>“</w:t>
      </w:r>
      <w:r w:rsidR="001D17C0" w:rsidRPr="00631BA0">
        <w:rPr>
          <w:i/>
          <w:iCs/>
        </w:rPr>
        <w:t xml:space="preserve">standard </w:t>
      </w:r>
      <w:r w:rsidR="00192CD3" w:rsidRPr="00631BA0">
        <w:rPr>
          <w:i/>
          <w:iCs/>
        </w:rPr>
        <w:t>method</w:t>
      </w:r>
      <w:r w:rsidR="00631BA0" w:rsidRPr="00631BA0">
        <w:rPr>
          <w:i/>
          <w:iCs/>
        </w:rPr>
        <w:t>”</w:t>
      </w:r>
      <w:r w:rsidR="00192CD3">
        <w:t xml:space="preserve"> </w:t>
      </w:r>
      <w:r w:rsidR="00EE5962">
        <w:t xml:space="preserve">for assessing the average fare that would be paid in the absence of the concession </w:t>
      </w:r>
      <w:r w:rsidR="00631BA0">
        <w:t>as</w:t>
      </w:r>
      <w:r w:rsidR="00EE5962">
        <w:t xml:space="preserve"> provided for by paragraph 16 </w:t>
      </w:r>
      <w:r w:rsidR="000C40B0">
        <w:t>of, and Schedule 3 to the 2000 Act Arrangements, and i</w:t>
      </w:r>
      <w:r w:rsidR="00C9353A">
        <w:t xml:space="preserve">t has </w:t>
      </w:r>
      <w:r w:rsidR="000C40B0">
        <w:t xml:space="preserve">then used </w:t>
      </w:r>
      <w:r w:rsidR="00C9353A">
        <w:t>the</w:t>
      </w:r>
      <w:r w:rsidR="000C40B0">
        <w:t xml:space="preserve"> </w:t>
      </w:r>
      <w:r w:rsidR="00017B27" w:rsidRPr="00017B27">
        <w:rPr>
          <w:i/>
          <w:iCs/>
        </w:rPr>
        <w:t>“</w:t>
      </w:r>
      <w:r w:rsidR="000C40B0" w:rsidRPr="00017B27">
        <w:rPr>
          <w:i/>
          <w:iCs/>
        </w:rPr>
        <w:t>standard method</w:t>
      </w:r>
      <w:r w:rsidR="00017B27" w:rsidRPr="00017B27">
        <w:rPr>
          <w:i/>
          <w:iCs/>
        </w:rPr>
        <w:t>”</w:t>
      </w:r>
      <w:r w:rsidR="000C40B0">
        <w:t xml:space="preserve"> </w:t>
      </w:r>
      <w:r w:rsidR="00C62E35">
        <w:t xml:space="preserve">provided for by paragraph 16 of, and Schedule 4 to the 2000 Act Arrangements for calculating the </w:t>
      </w:r>
      <w:r w:rsidR="00510154">
        <w:t xml:space="preserve">appropriate figure </w:t>
      </w:r>
      <w:r w:rsidR="00AA1AC3">
        <w:t xml:space="preserve">for </w:t>
      </w:r>
      <w:r w:rsidR="002B1710" w:rsidRPr="002B1710">
        <w:rPr>
          <w:i/>
          <w:iCs/>
        </w:rPr>
        <w:t>“</w:t>
      </w:r>
      <w:r w:rsidR="00025777">
        <w:rPr>
          <w:i/>
          <w:iCs/>
        </w:rPr>
        <w:t xml:space="preserve">Revenue </w:t>
      </w:r>
      <w:r w:rsidR="002B1710" w:rsidRPr="002B1710">
        <w:rPr>
          <w:i/>
          <w:iCs/>
        </w:rPr>
        <w:t>For</w:t>
      </w:r>
      <w:r w:rsidR="006536DA">
        <w:rPr>
          <w:i/>
          <w:iCs/>
        </w:rPr>
        <w:t>e</w:t>
      </w:r>
      <w:r w:rsidR="002B1710" w:rsidRPr="002B1710">
        <w:rPr>
          <w:i/>
          <w:iCs/>
        </w:rPr>
        <w:t>gone”</w:t>
      </w:r>
      <w:r w:rsidR="002B1710">
        <w:t xml:space="preserve"> for the relevant periods. </w:t>
      </w:r>
      <w:r w:rsidR="001D17C0">
        <w:t xml:space="preserve"> </w:t>
      </w:r>
      <w:r w:rsidR="00AA1AC3">
        <w:t xml:space="preserve">As referred to in paragraph </w:t>
      </w:r>
      <w:r w:rsidR="00536E53">
        <w:t xml:space="preserve">15(vi) above, in calculating the </w:t>
      </w:r>
      <w:r w:rsidR="00FC1033">
        <w:t>Discount Factor</w:t>
      </w:r>
      <w:r w:rsidR="00765A77">
        <w:t xml:space="preserve"> to be</w:t>
      </w:r>
      <w:r w:rsidR="00DD768F">
        <w:t xml:space="preserve"> used as</w:t>
      </w:r>
      <w:r w:rsidR="00025777">
        <w:t xml:space="preserve"> a factor in the Re</w:t>
      </w:r>
      <w:r w:rsidR="00111FF1">
        <w:t xml:space="preserve">venue Foregone figure, </w:t>
      </w:r>
      <w:r>
        <w:t>TfWM</w:t>
      </w:r>
      <w:r w:rsidR="00FC1033">
        <w:t xml:space="preserve"> will have prepared a spreadsheet or </w:t>
      </w:r>
      <w:r w:rsidR="00111FF1">
        <w:t>Look-up</w:t>
      </w:r>
      <w:r w:rsidR="00071E40">
        <w:t xml:space="preserve"> table as therein referred to.</w:t>
      </w:r>
    </w:p>
    <w:p w14:paraId="7239E312" w14:textId="0C27F2A4" w:rsidR="007B4822" w:rsidRDefault="007B4822" w:rsidP="001846CE">
      <w:pPr>
        <w:pStyle w:val="ParaLevel1"/>
      </w:pPr>
      <w:r>
        <w:t xml:space="preserve">It is Diamond’s case that the </w:t>
      </w:r>
      <w:r w:rsidR="00DE05AD">
        <w:t>L</w:t>
      </w:r>
      <w:r>
        <w:t>ook</w:t>
      </w:r>
      <w:r w:rsidR="00DE05AD">
        <w:t>-</w:t>
      </w:r>
      <w:r>
        <w:t xml:space="preserve">up table used by </w:t>
      </w:r>
      <w:r w:rsidR="007F2516">
        <w:t>TfWM</w:t>
      </w:r>
      <w:r>
        <w:t xml:space="preserve"> is unrepresentative and does not represent the typicality of travel of passengers travelling on the buses of D</w:t>
      </w:r>
      <w:r w:rsidR="009D03D8">
        <w:t xml:space="preserve">iamond. </w:t>
      </w:r>
      <w:proofErr w:type="gramStart"/>
      <w:r>
        <w:t>In particular, it</w:t>
      </w:r>
      <w:proofErr w:type="gramEnd"/>
      <w:r>
        <w:t xml:space="preserve"> is D</w:t>
      </w:r>
      <w:r w:rsidR="009D03D8">
        <w:t xml:space="preserve">iamond’s </w:t>
      </w:r>
      <w:r>
        <w:t xml:space="preserve">case that the dominance of National Express as an operator in the Principal Area (where it operates 90% of all services) means that </w:t>
      </w:r>
      <w:r>
        <w:lastRenderedPageBreak/>
        <w:t xml:space="preserve">the </w:t>
      </w:r>
      <w:r w:rsidR="00111FF1">
        <w:t>Look-up</w:t>
      </w:r>
      <w:r>
        <w:t xml:space="preserve"> table formulated by </w:t>
      </w:r>
      <w:r w:rsidR="007F2516">
        <w:t>TfWM</w:t>
      </w:r>
      <w:r>
        <w:t xml:space="preserve"> is skewed out of favour to D</w:t>
      </w:r>
      <w:r w:rsidR="004E66D5">
        <w:t>iamond</w:t>
      </w:r>
      <w:r>
        <w:t xml:space="preserve"> and that, in consequence, it results in a substantial under calculation in the level of fare income that D</w:t>
      </w:r>
      <w:r w:rsidR="000E115C">
        <w:t>iamond</w:t>
      </w:r>
      <w:r>
        <w:t xml:space="preserve"> has foregone in consequence of the Arrangements</w:t>
      </w:r>
      <w:r w:rsidR="000E115C">
        <w:t xml:space="preserve">. </w:t>
      </w:r>
      <w:proofErr w:type="gramStart"/>
      <w:r w:rsidR="000E115C">
        <w:t>In the course of</w:t>
      </w:r>
      <w:proofErr w:type="gramEnd"/>
      <w:r w:rsidR="000E115C">
        <w:t xml:space="preserve"> submission Mr Connolly fu</w:t>
      </w:r>
      <w:r w:rsidR="009B5C2A">
        <w:t>r</w:t>
      </w:r>
      <w:r w:rsidR="000E115C">
        <w:t>ther</w:t>
      </w:r>
      <w:r w:rsidR="009B5C2A">
        <w:t xml:space="preserve"> explained this skewing as resulting from the fact that</w:t>
      </w:r>
      <w:r w:rsidR="00171DE9">
        <w:t xml:space="preserve"> it is Diamond’s </w:t>
      </w:r>
      <w:r w:rsidR="003467CC">
        <w:t>case</w:t>
      </w:r>
      <w:r w:rsidR="00171DE9">
        <w:t xml:space="preserve"> that </w:t>
      </w:r>
      <w:r w:rsidR="00CF084F">
        <w:t xml:space="preserve">passengers using </w:t>
      </w:r>
      <w:r w:rsidR="00171DE9">
        <w:t>National Express</w:t>
      </w:r>
      <w:r w:rsidR="00AB4E9A">
        <w:t xml:space="preserve"> </w:t>
      </w:r>
      <w:r w:rsidR="00CF084F">
        <w:t xml:space="preserve">are likely to use more discounted, </w:t>
      </w:r>
      <w:r w:rsidR="00C75EE8">
        <w:t>i.e.,</w:t>
      </w:r>
      <w:r w:rsidR="00CF084F">
        <w:t xml:space="preserve"> daily and weekly, tickets than passengers using Diamond’s services. </w:t>
      </w:r>
      <w:r w:rsidR="00733D84">
        <w:t xml:space="preserve">Consequently, </w:t>
      </w:r>
      <w:r w:rsidR="005350EE">
        <w:t xml:space="preserve">it is Diamond’s case that </w:t>
      </w:r>
      <w:r w:rsidR="00733D84">
        <w:t xml:space="preserve">if the </w:t>
      </w:r>
      <w:r w:rsidR="00111FF1">
        <w:t>Look-up</w:t>
      </w:r>
      <w:r w:rsidR="00733D84">
        <w:t xml:space="preserve"> table</w:t>
      </w:r>
      <w:r w:rsidR="00E064BF">
        <w:t xml:space="preserve"> is prepared using data from all operators across the Principal Area,</w:t>
      </w:r>
      <w:r w:rsidR="00A754C7">
        <w:t xml:space="preserve"> this is bound to result in a lower Average </w:t>
      </w:r>
      <w:r w:rsidR="007F2516">
        <w:t>Fare</w:t>
      </w:r>
      <w:r w:rsidR="00F6043C">
        <w:t xml:space="preserve"> </w:t>
      </w:r>
      <w:r w:rsidR="008F5475">
        <w:t xml:space="preserve">than if one had simply considered Diamond’s </w:t>
      </w:r>
      <w:r w:rsidR="00814C02">
        <w:t xml:space="preserve">own </w:t>
      </w:r>
      <w:r w:rsidR="000F5EC7">
        <w:t>fares</w:t>
      </w:r>
      <w:r w:rsidR="00F17DE7">
        <w:t xml:space="preserve">. This is </w:t>
      </w:r>
      <w:r w:rsidR="00F6043C">
        <w:t xml:space="preserve">because the Discount Factor </w:t>
      </w:r>
      <w:r w:rsidR="00C467A7">
        <w:t xml:space="preserve">applied </w:t>
      </w:r>
      <w:r w:rsidR="00A10F64">
        <w:t xml:space="preserve">is </w:t>
      </w:r>
      <w:r w:rsidR="00F17DE7">
        <w:t>based upon a consideration of</w:t>
      </w:r>
      <w:r w:rsidR="00A10F64">
        <w:t xml:space="preserve"> the data from all operators</w:t>
      </w:r>
      <w:r w:rsidR="00F17DE7">
        <w:t xml:space="preserve"> </w:t>
      </w:r>
      <w:r w:rsidR="002627AE">
        <w:t xml:space="preserve">across the Principal </w:t>
      </w:r>
      <w:r w:rsidR="007F2516">
        <w:t>Area and</w:t>
      </w:r>
      <w:r w:rsidR="0008388A">
        <w:t xml:space="preserve"> </w:t>
      </w:r>
      <w:r w:rsidR="00C467A7">
        <w:t>will</w:t>
      </w:r>
      <w:r w:rsidR="007F2516">
        <w:t xml:space="preserve">, it said, therefore </w:t>
      </w:r>
      <w:r w:rsidR="00C467A7">
        <w:t xml:space="preserve">be greater </w:t>
      </w:r>
      <w:r w:rsidR="00455B9D">
        <w:t xml:space="preserve">than if </w:t>
      </w:r>
      <w:r w:rsidR="007F2516">
        <w:t>based</w:t>
      </w:r>
      <w:r w:rsidR="00455B9D">
        <w:t xml:space="preserve"> simply upon a consideration of </w:t>
      </w:r>
      <w:r w:rsidR="005154B7">
        <w:t xml:space="preserve">data relating to </w:t>
      </w:r>
      <w:r w:rsidR="00455B9D">
        <w:t xml:space="preserve">Diamond’s </w:t>
      </w:r>
      <w:r w:rsidR="005154B7">
        <w:t xml:space="preserve">passengers and fares </w:t>
      </w:r>
      <w:r w:rsidR="00C467A7">
        <w:t>because</w:t>
      </w:r>
      <w:r w:rsidR="004D78CD">
        <w:t xml:space="preserve"> fewer of Diamond’s fares are discounted</w:t>
      </w:r>
      <w:r w:rsidR="00735338">
        <w:t xml:space="preserve"> than the average (of which National Express represents </w:t>
      </w:r>
      <w:r w:rsidR="00953FC2">
        <w:t>9</w:t>
      </w:r>
      <w:r w:rsidR="00735338">
        <w:t>0%).</w:t>
      </w:r>
      <w:r>
        <w:t xml:space="preserve"> </w:t>
      </w:r>
    </w:p>
    <w:p w14:paraId="5903E0BA" w14:textId="57E31EAB" w:rsidR="00771E79" w:rsidRDefault="002D7B95" w:rsidP="001846CE">
      <w:pPr>
        <w:pStyle w:val="ParaLevel1"/>
      </w:pPr>
      <w:r>
        <w:t xml:space="preserve">Diamond relies upon the </w:t>
      </w:r>
      <w:r w:rsidR="00E71B76">
        <w:t xml:space="preserve">considerations </w:t>
      </w:r>
      <w:r>
        <w:t>referred to in paragraph 16 above</w:t>
      </w:r>
      <w:r w:rsidR="006B3BC8">
        <w:t xml:space="preserve">, and upon the overriding imperative </w:t>
      </w:r>
      <w:r w:rsidR="00C64AB5">
        <w:t xml:space="preserve">underpinned by paragraph 4 of the 1985 Regulations and </w:t>
      </w:r>
      <w:r w:rsidR="0005268D">
        <w:t>paragraph 6 of the 2011 Regulations</w:t>
      </w:r>
      <w:r w:rsidR="00B57DB5">
        <w:t xml:space="preserve">, to the effect </w:t>
      </w:r>
      <w:r w:rsidR="007D4EB0">
        <w:t xml:space="preserve">that </w:t>
      </w:r>
      <w:r w:rsidR="0045751C" w:rsidRPr="00903843">
        <w:t>the</w:t>
      </w:r>
      <w:r w:rsidR="006B3BC8" w:rsidRPr="00903843">
        <w:rPr>
          <w:szCs w:val="24"/>
        </w:rPr>
        <w:t xml:space="preserve"> </w:t>
      </w:r>
      <w:r w:rsidR="006B3BC8" w:rsidRPr="00903843">
        <w:t>method</w:t>
      </w:r>
      <w:r w:rsidR="0045751C" w:rsidRPr="00903843">
        <w:t xml:space="preserve"> </w:t>
      </w:r>
      <w:r w:rsidR="007D4EB0">
        <w:t xml:space="preserve">used </w:t>
      </w:r>
      <w:r w:rsidR="0045751C" w:rsidRPr="00903843">
        <w:t>to</w:t>
      </w:r>
      <w:r w:rsidR="00672AFA" w:rsidRPr="00903843">
        <w:t xml:space="preserve"> arrive at the </w:t>
      </w:r>
      <w:r w:rsidR="00BC1BE6">
        <w:t xml:space="preserve">Revenue </w:t>
      </w:r>
      <w:r w:rsidR="00CA4E98">
        <w:t>Foregone</w:t>
      </w:r>
      <w:r w:rsidR="00903843" w:rsidRPr="00903843">
        <w:t xml:space="preserve"> </w:t>
      </w:r>
      <w:r w:rsidR="0048039A">
        <w:t xml:space="preserve">in Diamond’s case </w:t>
      </w:r>
      <w:r w:rsidR="00A93D85">
        <w:t xml:space="preserve">must </w:t>
      </w:r>
      <w:r w:rsidR="00BC1BE6">
        <w:t xml:space="preserve">ensure that </w:t>
      </w:r>
      <w:r w:rsidR="001D4E14">
        <w:t xml:space="preserve">Diamond was </w:t>
      </w:r>
      <w:r w:rsidR="00E14D29" w:rsidRPr="00E14D29">
        <w:rPr>
          <w:i/>
          <w:iCs/>
        </w:rPr>
        <w:t>“</w:t>
      </w:r>
      <w:r w:rsidR="001D4E14" w:rsidRPr="00E14D29">
        <w:rPr>
          <w:i/>
          <w:iCs/>
        </w:rPr>
        <w:t>no better</w:t>
      </w:r>
      <w:r w:rsidR="00E14D29" w:rsidRPr="00E14D29">
        <w:rPr>
          <w:i/>
          <w:iCs/>
        </w:rPr>
        <w:t xml:space="preserve">, </w:t>
      </w:r>
      <w:r w:rsidR="001D4E14" w:rsidRPr="00E14D29">
        <w:rPr>
          <w:i/>
          <w:iCs/>
        </w:rPr>
        <w:t>no worse off</w:t>
      </w:r>
      <w:r w:rsidR="00E14D29" w:rsidRPr="00E14D29">
        <w:rPr>
          <w:i/>
          <w:iCs/>
        </w:rPr>
        <w:t>”</w:t>
      </w:r>
      <w:r w:rsidR="001D4E14">
        <w:t xml:space="preserve"> </w:t>
      </w:r>
      <w:proofErr w:type="gramStart"/>
      <w:r w:rsidR="001D4E14">
        <w:t>as a result of</w:t>
      </w:r>
      <w:proofErr w:type="gramEnd"/>
      <w:r w:rsidR="001D4E14">
        <w:t xml:space="preserve"> providing concessio</w:t>
      </w:r>
      <w:r w:rsidR="00E14D29">
        <w:t xml:space="preserve">nary services, and that </w:t>
      </w:r>
      <w:r w:rsidR="006B3BC8" w:rsidRPr="00903843">
        <w:t xml:space="preserve">TfWM </w:t>
      </w:r>
      <w:r w:rsidR="00FC2C6C">
        <w:t xml:space="preserve">met such </w:t>
      </w:r>
      <w:r w:rsidR="006B3BC8" w:rsidRPr="00D978D9">
        <w:t>objectives for reimbursement.</w:t>
      </w:r>
      <w:r w:rsidR="00FC1033" w:rsidRPr="00D978D9">
        <w:t xml:space="preserve"> </w:t>
      </w:r>
      <w:r w:rsidR="001D17C0" w:rsidRPr="00D978D9">
        <w:t xml:space="preserve"> </w:t>
      </w:r>
      <w:r w:rsidR="00F97FAB">
        <w:t xml:space="preserve">On this basis, given what it says is the skewing effect of National Express on the TfWM </w:t>
      </w:r>
      <w:r w:rsidR="001219AE">
        <w:t>Look-up</w:t>
      </w:r>
      <w:r w:rsidR="00F97FAB">
        <w:t xml:space="preserve"> table,</w:t>
      </w:r>
      <w:r w:rsidR="000B1262">
        <w:t xml:space="preserve"> Diamond, using its own local data, has produced its own </w:t>
      </w:r>
      <w:r w:rsidR="00111FF1">
        <w:t>Look-up</w:t>
      </w:r>
      <w:r w:rsidR="000B1262">
        <w:t xml:space="preserve"> table, the application of which represent</w:t>
      </w:r>
      <w:r w:rsidR="00A4127D">
        <w:t>s</w:t>
      </w:r>
      <w:r w:rsidR="000B1262">
        <w:t xml:space="preserve"> the basis upon which</w:t>
      </w:r>
      <w:r w:rsidR="008E2127">
        <w:t xml:space="preserve"> </w:t>
      </w:r>
      <w:r w:rsidR="005A3E08">
        <w:t>its own calculation of the sums d</w:t>
      </w:r>
      <w:r w:rsidR="0023415E">
        <w:t xml:space="preserve">ue for Revenue Foregone </w:t>
      </w:r>
      <w:r w:rsidR="008E2127">
        <w:t>referred to in paragraph 19 above ha</w:t>
      </w:r>
      <w:r w:rsidR="001168D3">
        <w:t xml:space="preserve">s been prepared. </w:t>
      </w:r>
    </w:p>
    <w:p w14:paraId="59C6C459" w14:textId="00EDC778" w:rsidR="009D5B76" w:rsidRPr="009D5B76" w:rsidRDefault="008E2127" w:rsidP="001846CE">
      <w:pPr>
        <w:pStyle w:val="ParaLevel1"/>
      </w:pPr>
      <w:r>
        <w:t>TfWM has, itself, challenge</w:t>
      </w:r>
      <w:r w:rsidR="001168D3">
        <w:t>d</w:t>
      </w:r>
      <w:r>
        <w:t xml:space="preserve"> the accuracy of</w:t>
      </w:r>
      <w:r w:rsidR="000C6909">
        <w:t xml:space="preserve"> Diamond’s </w:t>
      </w:r>
      <w:r w:rsidR="00111FF1">
        <w:t>Look-up</w:t>
      </w:r>
      <w:r w:rsidR="000C6909">
        <w:t xml:space="preserve"> table on the basis that </w:t>
      </w:r>
      <w:r w:rsidR="00070E14">
        <w:t xml:space="preserve">the latter </w:t>
      </w:r>
      <w:r w:rsidR="000C6909">
        <w:t xml:space="preserve">has taken account only </w:t>
      </w:r>
      <w:r w:rsidR="00070E14">
        <w:t xml:space="preserve">of </w:t>
      </w:r>
      <w:r w:rsidR="000C6909">
        <w:t>travel on Diamond’s services and has taken no account of cross</w:t>
      </w:r>
      <w:r w:rsidR="009855D3">
        <w:t>-</w:t>
      </w:r>
      <w:r w:rsidR="000C6909">
        <w:t>operator travel and the reduction in average fare income</w:t>
      </w:r>
      <w:r w:rsidR="00C308B8">
        <w:t xml:space="preserve"> that such cross operator travel would result in. TfWM </w:t>
      </w:r>
      <w:r w:rsidR="00A94269">
        <w:t xml:space="preserve">has given the example of a passenger </w:t>
      </w:r>
      <w:r w:rsidR="0050780F">
        <w:t xml:space="preserve">who makes a single journey on a Diamond bus, </w:t>
      </w:r>
      <w:r w:rsidR="00011809">
        <w:t xml:space="preserve">but thereafter makes a further four journeys on non-Diamond buses. In that example, the Diamond </w:t>
      </w:r>
      <w:r w:rsidR="00111FF1">
        <w:t>Look-up</w:t>
      </w:r>
      <w:r w:rsidR="00011809">
        <w:t xml:space="preserve"> table would show that passenger as someone who was making only a single journey </w:t>
      </w:r>
      <w:r w:rsidR="001A4040">
        <w:t xml:space="preserve">and </w:t>
      </w:r>
      <w:r w:rsidR="00011809">
        <w:t>would pay a single f</w:t>
      </w:r>
      <w:r w:rsidR="001A4040">
        <w:t>are</w:t>
      </w:r>
      <w:r w:rsidR="00011809">
        <w:t>,</w:t>
      </w:r>
      <w:r w:rsidR="001A4040">
        <w:t xml:space="preserve"> but </w:t>
      </w:r>
      <w:proofErr w:type="gramStart"/>
      <w:r w:rsidR="001A4040">
        <w:t>taking into account</w:t>
      </w:r>
      <w:proofErr w:type="gramEnd"/>
      <w:r w:rsidR="001A4040">
        <w:t xml:space="preserve"> those </w:t>
      </w:r>
      <w:r w:rsidR="009D5B76" w:rsidRPr="009D5B76">
        <w:t xml:space="preserve">other journeys, the passenger would, more likely, purchase a lower cost multi-operator daily or weekly ticket rather than a single </w:t>
      </w:r>
      <w:r w:rsidR="009D5B76">
        <w:t xml:space="preserve">Diamond </w:t>
      </w:r>
      <w:r w:rsidR="00512DAA">
        <w:t>f</w:t>
      </w:r>
      <w:r w:rsidR="009D5B76" w:rsidRPr="009D5B76">
        <w:t>are. The effect of that example, says T</w:t>
      </w:r>
      <w:r w:rsidR="00512DAA">
        <w:t>f</w:t>
      </w:r>
      <w:r w:rsidR="009D5B76" w:rsidRPr="009D5B76">
        <w:t xml:space="preserve">WM, is that </w:t>
      </w:r>
      <w:r w:rsidR="00512DAA">
        <w:t>Diamond’</w:t>
      </w:r>
      <w:r w:rsidR="009D5B76" w:rsidRPr="009D5B76">
        <w:t xml:space="preserve">s </w:t>
      </w:r>
      <w:r w:rsidR="00111FF1">
        <w:t>Look-up</w:t>
      </w:r>
      <w:r w:rsidR="009D5B76" w:rsidRPr="009D5B76">
        <w:t xml:space="preserve"> table will not represent the typicality of travel of passengers travelling on </w:t>
      </w:r>
      <w:r w:rsidR="00512DAA">
        <w:t>Diamond’s bosses</w:t>
      </w:r>
      <w:r w:rsidR="00AF26C4">
        <w:t xml:space="preserve">, </w:t>
      </w:r>
      <w:r w:rsidR="009D5B76" w:rsidRPr="009D5B76">
        <w:t xml:space="preserve">will lead to </w:t>
      </w:r>
      <w:r w:rsidR="00AF26C4">
        <w:t xml:space="preserve">Diamond’s </w:t>
      </w:r>
      <w:r w:rsidR="00111FF1">
        <w:t>Look-up</w:t>
      </w:r>
      <w:r w:rsidR="009D5B76" w:rsidRPr="009D5B76">
        <w:t xml:space="preserve"> table overstating the average fare that it has foregone in consequence of the Arrangements implemented by T</w:t>
      </w:r>
      <w:r w:rsidR="001752CF">
        <w:t>f</w:t>
      </w:r>
      <w:r w:rsidR="009D5B76" w:rsidRPr="009D5B76">
        <w:t>WM</w:t>
      </w:r>
      <w:r w:rsidR="001752CF">
        <w:t>, and thus lead to Diamond be</w:t>
      </w:r>
      <w:r w:rsidR="009D5B76" w:rsidRPr="009D5B76">
        <w:t>ing overcompensated for the Fares Foregone Claim</w:t>
      </w:r>
      <w:r w:rsidR="009D5B76">
        <w:t>.</w:t>
      </w:r>
      <w:r w:rsidR="009D5B76" w:rsidRPr="009D5B76">
        <w:t xml:space="preserve"> </w:t>
      </w:r>
      <w:r w:rsidR="001F04A5">
        <w:t xml:space="preserve">I will call this issue </w:t>
      </w:r>
      <w:r w:rsidR="001F04A5" w:rsidRPr="00104C06">
        <w:rPr>
          <w:i/>
          <w:iCs/>
        </w:rPr>
        <w:t xml:space="preserve">“the </w:t>
      </w:r>
      <w:r w:rsidR="00104C06">
        <w:rPr>
          <w:i/>
          <w:iCs/>
        </w:rPr>
        <w:t>C</w:t>
      </w:r>
      <w:r w:rsidR="00104C06" w:rsidRPr="00104C06">
        <w:rPr>
          <w:i/>
          <w:iCs/>
        </w:rPr>
        <w:t>ross-</w:t>
      </w:r>
      <w:r w:rsidR="00104C06">
        <w:rPr>
          <w:i/>
          <w:iCs/>
        </w:rPr>
        <w:t>O</w:t>
      </w:r>
      <w:r w:rsidR="00104C06" w:rsidRPr="00104C06">
        <w:rPr>
          <w:i/>
          <w:iCs/>
        </w:rPr>
        <w:t xml:space="preserve">perator </w:t>
      </w:r>
      <w:r w:rsidR="00104C06">
        <w:rPr>
          <w:i/>
          <w:iCs/>
        </w:rPr>
        <w:t>I</w:t>
      </w:r>
      <w:r w:rsidR="00104C06" w:rsidRPr="00104C06">
        <w:rPr>
          <w:i/>
          <w:iCs/>
        </w:rPr>
        <w:t>ssue”</w:t>
      </w:r>
      <w:r w:rsidR="00104C06">
        <w:t>.</w:t>
      </w:r>
    </w:p>
    <w:p w14:paraId="5E346700" w14:textId="34DF4511" w:rsidR="001E6C50" w:rsidRDefault="00394537" w:rsidP="001846CE">
      <w:pPr>
        <w:pStyle w:val="ParaLevel1"/>
      </w:pPr>
      <w:r>
        <w:t xml:space="preserve">Diamond submits that </w:t>
      </w:r>
      <w:r w:rsidR="007E2890">
        <w:t>t</w:t>
      </w:r>
      <w:r w:rsidRPr="00394537">
        <w:t xml:space="preserve">here is a straightforward solution to this, </w:t>
      </w:r>
      <w:r w:rsidR="007E2890">
        <w:t xml:space="preserve">namely </w:t>
      </w:r>
      <w:r w:rsidRPr="00394537">
        <w:t>for T</w:t>
      </w:r>
      <w:r w:rsidR="007E2890">
        <w:t>f</w:t>
      </w:r>
      <w:r w:rsidRPr="00394537">
        <w:t xml:space="preserve">WM to disclose to </w:t>
      </w:r>
      <w:r w:rsidR="007E2890">
        <w:t xml:space="preserve">Diamond </w:t>
      </w:r>
      <w:r w:rsidRPr="00394537">
        <w:t xml:space="preserve">(or more specifically its </w:t>
      </w:r>
      <w:r w:rsidR="00C472D5">
        <w:t>experts/</w:t>
      </w:r>
      <w:r w:rsidRPr="00394537">
        <w:t xml:space="preserve">advisors) the anonymised passenger data for those passengers who have travelled on </w:t>
      </w:r>
      <w:r w:rsidR="00C472D5">
        <w:t xml:space="preserve">Diamond’s </w:t>
      </w:r>
      <w:r w:rsidRPr="00394537">
        <w:t xml:space="preserve">services so that their typicality of travel can be established and, so far as necessary, </w:t>
      </w:r>
      <w:r w:rsidR="00C472D5">
        <w:t xml:space="preserve">Diamond’s </w:t>
      </w:r>
      <w:r w:rsidR="00111FF1">
        <w:t>Look-up</w:t>
      </w:r>
      <w:r w:rsidRPr="00394537">
        <w:t xml:space="preserve"> table can be adjusted accordingly</w:t>
      </w:r>
      <w:r w:rsidR="001E6C50">
        <w:t>.</w:t>
      </w:r>
    </w:p>
    <w:p w14:paraId="1291230F" w14:textId="429DF4B3" w:rsidR="009C1CEF" w:rsidRDefault="001E6C50" w:rsidP="001846CE">
      <w:pPr>
        <w:pStyle w:val="ParaLevel1"/>
      </w:pPr>
      <w:r>
        <w:t>Diamond suggests that the provision of that data, and the re-casting of Diamond’s</w:t>
      </w:r>
      <w:r w:rsidR="009C1CEF">
        <w:t xml:space="preserve"> </w:t>
      </w:r>
      <w:r w:rsidR="00111FF1">
        <w:t>Look-up</w:t>
      </w:r>
      <w:r w:rsidR="009C1CEF">
        <w:t xml:space="preserve"> table </w:t>
      </w:r>
      <w:r w:rsidR="00D20DA5">
        <w:t xml:space="preserve">using the same </w:t>
      </w:r>
      <w:r w:rsidR="009C1CEF">
        <w:t xml:space="preserve">will achieve one of three </w:t>
      </w:r>
      <w:r w:rsidR="009B7319">
        <w:t>outcomes</w:t>
      </w:r>
      <w:r w:rsidR="009C1CEF">
        <w:t>, namely:</w:t>
      </w:r>
    </w:p>
    <w:p w14:paraId="296F6554" w14:textId="5D7216D0" w:rsidR="006B755E" w:rsidRDefault="006B755E" w:rsidP="001846CE">
      <w:pPr>
        <w:pStyle w:val="ParaLevel2"/>
      </w:pPr>
      <w:r>
        <w:lastRenderedPageBreak/>
        <w:t>It w</w:t>
      </w:r>
      <w:r w:rsidR="00D20DA5">
        <w:t>ill</w:t>
      </w:r>
      <w:r>
        <w:t xml:space="preserve"> vindicate TfWM’s use of its own look up table</w:t>
      </w:r>
      <w:r w:rsidR="00B903E1">
        <w:t>;</w:t>
      </w:r>
    </w:p>
    <w:p w14:paraId="318F191D" w14:textId="04B3D18E" w:rsidR="006B755E" w:rsidRDefault="006B755E" w:rsidP="001846CE">
      <w:pPr>
        <w:pStyle w:val="ParaLevel2"/>
      </w:pPr>
      <w:r>
        <w:t>It w</w:t>
      </w:r>
      <w:r w:rsidR="00D20DA5">
        <w:t>ill</w:t>
      </w:r>
      <w:r>
        <w:t xml:space="preserve"> vindicate </w:t>
      </w:r>
      <w:r w:rsidR="008B285C">
        <w:t>Diamond</w:t>
      </w:r>
      <w:r>
        <w:t>’s use of its own look up table</w:t>
      </w:r>
      <w:r w:rsidR="00B903E1">
        <w:t>; or</w:t>
      </w:r>
    </w:p>
    <w:p w14:paraId="4D5F3BA0" w14:textId="48E7D1F3" w:rsidR="006B755E" w:rsidRDefault="006B755E" w:rsidP="001846CE">
      <w:pPr>
        <w:pStyle w:val="ParaLevel2"/>
      </w:pPr>
      <w:r>
        <w:t>It w</w:t>
      </w:r>
      <w:r w:rsidR="00D20DA5">
        <w:t>ill</w:t>
      </w:r>
      <w:r>
        <w:t xml:space="preserve"> establish the extent to which T</w:t>
      </w:r>
      <w:r w:rsidR="008B285C">
        <w:t>f</w:t>
      </w:r>
      <w:r>
        <w:t>WM</w:t>
      </w:r>
      <w:r w:rsidR="008B285C">
        <w:t>’s</w:t>
      </w:r>
      <w:r>
        <w:t xml:space="preserve"> and </w:t>
      </w:r>
      <w:r w:rsidR="00A538F5">
        <w:t xml:space="preserve">Diamond’s respective </w:t>
      </w:r>
      <w:r w:rsidR="00111FF1">
        <w:t>Look-up</w:t>
      </w:r>
      <w:r w:rsidR="00A538F5">
        <w:t xml:space="preserve"> </w:t>
      </w:r>
      <w:r>
        <w:t>table</w:t>
      </w:r>
      <w:r w:rsidR="00A538F5">
        <w:t>s</w:t>
      </w:r>
      <w:r>
        <w:t xml:space="preserve"> are unrepresentative of the typicality of travel of passengers travelling on the buses of</w:t>
      </w:r>
      <w:r w:rsidR="00A538F5">
        <w:t xml:space="preserve"> Diamond</w:t>
      </w:r>
      <w:r>
        <w:t xml:space="preserve">, what adjustments need to be made to those </w:t>
      </w:r>
      <w:r w:rsidR="00111FF1">
        <w:t>Look-up</w:t>
      </w:r>
      <w:r>
        <w:t xml:space="preserve"> tables so as to achieve something that is representative of the typicality of travel of passengers travelling on the </w:t>
      </w:r>
      <w:r w:rsidR="00483125">
        <w:t>Diamond’s buses</w:t>
      </w:r>
      <w:r w:rsidR="00370158">
        <w:t>,</w:t>
      </w:r>
      <w:r w:rsidR="00483125">
        <w:t xml:space="preserve"> a</w:t>
      </w:r>
      <w:r>
        <w:t xml:space="preserve">nd what sum of money is required so as to put </w:t>
      </w:r>
      <w:r w:rsidR="00760B13">
        <w:t xml:space="preserve">Diamond </w:t>
      </w:r>
      <w:r>
        <w:t>back into the position of being no better and no worse off.</w:t>
      </w:r>
    </w:p>
    <w:p w14:paraId="0282F8A0" w14:textId="6D9FC10C" w:rsidR="001E214A" w:rsidRDefault="00760B13" w:rsidP="001846CE">
      <w:pPr>
        <w:pStyle w:val="ParaLevel1"/>
      </w:pPr>
      <w:r>
        <w:t>Diamond argues that whichever</w:t>
      </w:r>
      <w:r w:rsidRPr="00760B13">
        <w:t xml:space="preserve"> of </w:t>
      </w:r>
      <w:r w:rsidR="009B7319">
        <w:t xml:space="preserve">these three outcomes </w:t>
      </w:r>
      <w:r w:rsidR="00A25A8F">
        <w:t xml:space="preserve">the provision of the data sought by the application </w:t>
      </w:r>
      <w:r w:rsidRPr="00760B13">
        <w:t xml:space="preserve">achieves, it will avoid the need for the issue to be litigated at all or, at the very least, will greatly narrow the scope of any remaining dispute on this issue as between </w:t>
      </w:r>
      <w:r w:rsidR="0089371C">
        <w:t xml:space="preserve">Diamond and </w:t>
      </w:r>
      <w:r w:rsidR="00CE348C">
        <w:t>T</w:t>
      </w:r>
      <w:r w:rsidR="0089371C">
        <w:t>fWM</w:t>
      </w:r>
      <w:r w:rsidR="006A2617">
        <w:t xml:space="preserve"> and allow Diamond to serve focused Particulars of Claim</w:t>
      </w:r>
      <w:r w:rsidR="001E214A">
        <w:t xml:space="preserve"> in any proceedings that need to be issued.</w:t>
      </w:r>
    </w:p>
    <w:p w14:paraId="7417B646" w14:textId="2BC94B67" w:rsidR="00760B13" w:rsidRPr="00760B13" w:rsidRDefault="007C6903" w:rsidP="001846CE">
      <w:pPr>
        <w:pStyle w:val="ParaLevel1"/>
        <w:numPr>
          <w:ilvl w:val="0"/>
          <w:numId w:val="0"/>
        </w:numPr>
        <w:ind w:left="720" w:hanging="720"/>
        <w:rPr>
          <w:b/>
          <w:bCs/>
          <w:u w:val="single"/>
        </w:rPr>
      </w:pPr>
      <w:bookmarkStart w:id="6" w:name="E"/>
      <w:r w:rsidRPr="007C6903">
        <w:rPr>
          <w:b/>
          <w:bCs/>
          <w:u w:val="single"/>
        </w:rPr>
        <w:t>The Documents and Data sought</w:t>
      </w:r>
      <w:r w:rsidR="00760B13" w:rsidRPr="00760B13">
        <w:rPr>
          <w:b/>
          <w:bCs/>
          <w:u w:val="single"/>
        </w:rPr>
        <w:t xml:space="preserve"> </w:t>
      </w:r>
    </w:p>
    <w:bookmarkEnd w:id="6"/>
    <w:p w14:paraId="2D7F835D" w14:textId="32A7EC11" w:rsidR="008E2127" w:rsidRDefault="00177835" w:rsidP="001846CE">
      <w:pPr>
        <w:pStyle w:val="ParaLevel1"/>
      </w:pPr>
      <w:r>
        <w:t>After some earlier correspondence dating back to 2018</w:t>
      </w:r>
      <w:r w:rsidR="008E2127">
        <w:t xml:space="preserve"> </w:t>
      </w:r>
      <w:r w:rsidR="00B325DB">
        <w:t xml:space="preserve">relating to the </w:t>
      </w:r>
      <w:r w:rsidR="00297BDC">
        <w:t xml:space="preserve">quantum of the </w:t>
      </w:r>
      <w:r w:rsidR="00461BD7">
        <w:t>Revenue</w:t>
      </w:r>
      <w:r w:rsidR="00CA4E98">
        <w:t xml:space="preserve"> Foregone</w:t>
      </w:r>
      <w:r w:rsidR="00297BDC">
        <w:t xml:space="preserve"> </w:t>
      </w:r>
      <w:r w:rsidR="00071A22">
        <w:t>that it will be necessary to return to, a request for pre-action disclosure of the relevant data was made by Diamond’s</w:t>
      </w:r>
      <w:r w:rsidR="00297BDC">
        <w:t xml:space="preserve"> Solicitors, </w:t>
      </w:r>
      <w:r w:rsidR="004E2712">
        <w:t>Backhouse Jones,</w:t>
      </w:r>
      <w:r w:rsidR="00297BDC">
        <w:t xml:space="preserve"> under cover of their letter dated 18 October 2021</w:t>
      </w:r>
      <w:r w:rsidR="0079093D">
        <w:t xml:space="preserve"> which followed on from a </w:t>
      </w:r>
      <w:r w:rsidR="00C8480A">
        <w:t>letter before action dated 22 April 202</w:t>
      </w:r>
      <w:r w:rsidR="009855D3">
        <w:t>1</w:t>
      </w:r>
      <w:r w:rsidR="00C8480A">
        <w:t xml:space="preserve"> that had </w:t>
      </w:r>
      <w:r w:rsidR="00F1352E">
        <w:t>enclose</w:t>
      </w:r>
      <w:r w:rsidR="00C8480A">
        <w:t>d</w:t>
      </w:r>
      <w:r w:rsidR="00F1352E">
        <w:t xml:space="preserve"> draft Particulars of Claim (“</w:t>
      </w:r>
      <w:r w:rsidR="00F1352E" w:rsidRPr="00F1352E">
        <w:rPr>
          <w:b/>
          <w:bCs/>
        </w:rPr>
        <w:t>the Draft POC</w:t>
      </w:r>
      <w:r w:rsidR="00F1352E">
        <w:t>”)</w:t>
      </w:r>
      <w:r w:rsidR="00297BDC">
        <w:t>.</w:t>
      </w:r>
      <w:r w:rsidR="00684604">
        <w:t xml:space="preserve"> </w:t>
      </w:r>
      <w:r w:rsidR="00C8480A">
        <w:t xml:space="preserve">The letter dated </w:t>
      </w:r>
      <w:r w:rsidR="002C08B9">
        <w:t xml:space="preserve">18 October 2021 </w:t>
      </w:r>
      <w:r w:rsidR="00684604">
        <w:t>was responded to by</w:t>
      </w:r>
      <w:r w:rsidR="00437BD7">
        <w:t xml:space="preserve"> TfWM’s Solicitors, Addleshaw Goddard LLP</w:t>
      </w:r>
      <w:r w:rsidR="001D5D76">
        <w:t xml:space="preserve"> (“</w:t>
      </w:r>
      <w:r w:rsidR="001D5D76" w:rsidRPr="001D5D76">
        <w:rPr>
          <w:b/>
          <w:bCs/>
        </w:rPr>
        <w:t>AG</w:t>
      </w:r>
      <w:r w:rsidR="001D5D76">
        <w:t>”)</w:t>
      </w:r>
      <w:r w:rsidR="00437BD7">
        <w:t xml:space="preserve">, </w:t>
      </w:r>
      <w:r w:rsidR="002C08B9">
        <w:t>by letter dated</w:t>
      </w:r>
      <w:r w:rsidR="0013409E">
        <w:t xml:space="preserve"> </w:t>
      </w:r>
      <w:r w:rsidR="005A516C">
        <w:t>17 November 2021. Backhouse Jones</w:t>
      </w:r>
      <w:r w:rsidR="007A46B1">
        <w:t xml:space="preserve"> did not respond to </w:t>
      </w:r>
      <w:r w:rsidR="004C775D">
        <w:t>AG</w:t>
      </w:r>
      <w:r w:rsidR="007A46B1">
        <w:t xml:space="preserve"> until they replied by </w:t>
      </w:r>
      <w:r w:rsidR="00D2101F">
        <w:t xml:space="preserve">a </w:t>
      </w:r>
      <w:r w:rsidR="007A46B1">
        <w:t>letter dated 31 January 2023</w:t>
      </w:r>
      <w:r w:rsidR="001F50EA">
        <w:t xml:space="preserve"> that maintain</w:t>
      </w:r>
      <w:r w:rsidR="00D2101F">
        <w:t>ed</w:t>
      </w:r>
      <w:r w:rsidR="001F50EA">
        <w:t xml:space="preserve"> the request for pre-action disclosure.</w:t>
      </w:r>
    </w:p>
    <w:p w14:paraId="1FD21151" w14:textId="196DD0FC" w:rsidR="001F50EA" w:rsidRDefault="001F50EA" w:rsidP="001846CE">
      <w:pPr>
        <w:pStyle w:val="ParaLevel1"/>
      </w:pPr>
      <w:r>
        <w:t>Th</w:t>
      </w:r>
      <w:r w:rsidR="00D2101F">
        <w:t>e</w:t>
      </w:r>
      <w:r>
        <w:t xml:space="preserve"> latter letter</w:t>
      </w:r>
      <w:r w:rsidR="00F27D13">
        <w:t xml:space="preserve"> dated 31 January 2023 sought the following </w:t>
      </w:r>
      <w:r w:rsidR="0067030D">
        <w:t xml:space="preserve">documentation </w:t>
      </w:r>
      <w:r w:rsidR="00993A45">
        <w:t xml:space="preserve">relating to the following </w:t>
      </w:r>
      <w:r w:rsidR="00F27D13">
        <w:t>data:</w:t>
      </w:r>
    </w:p>
    <w:p w14:paraId="512B33CA" w14:textId="3E2AFE67" w:rsidR="00C05A8A" w:rsidRDefault="006D665E" w:rsidP="00E45E86">
      <w:pPr>
        <w:pStyle w:val="ParaLevel1"/>
        <w:numPr>
          <w:ilvl w:val="0"/>
          <w:numId w:val="0"/>
        </w:numPr>
        <w:ind w:left="1689" w:right="654" w:hanging="555"/>
      </w:pPr>
      <w:r>
        <w:t>“a)</w:t>
      </w:r>
      <w:r>
        <w:tab/>
      </w:r>
      <w:r w:rsidR="00C05A8A">
        <w:t>Data period – 2018/2019 and 2019/2020.</w:t>
      </w:r>
    </w:p>
    <w:p w14:paraId="016EB25D" w14:textId="374F5F14" w:rsidR="00C05A8A" w:rsidRDefault="006D665E" w:rsidP="00E45E86">
      <w:pPr>
        <w:pStyle w:val="ParaLevel1"/>
        <w:numPr>
          <w:ilvl w:val="0"/>
          <w:numId w:val="0"/>
        </w:numPr>
        <w:ind w:left="1689" w:right="654" w:hanging="555"/>
      </w:pPr>
      <w:r>
        <w:t>b)</w:t>
      </w:r>
      <w:r>
        <w:tab/>
      </w:r>
      <w:r w:rsidR="00C05A8A">
        <w:t>Data limited to just those passengers who used a DBL Service during the data period.</w:t>
      </w:r>
    </w:p>
    <w:p w14:paraId="0EBD556E" w14:textId="4BF91309" w:rsidR="00C05A8A" w:rsidRDefault="006D665E" w:rsidP="00E45E86">
      <w:pPr>
        <w:pStyle w:val="ParaLevel1"/>
        <w:numPr>
          <w:ilvl w:val="0"/>
          <w:numId w:val="0"/>
        </w:numPr>
        <w:ind w:left="1689" w:right="654" w:hanging="555"/>
      </w:pPr>
      <w:r>
        <w:t>c)</w:t>
      </w:r>
      <w:r>
        <w:tab/>
      </w:r>
      <w:r w:rsidR="00C05A8A">
        <w:t>Anonymised data at passholder level showing (1) journeys’ during the relevant periods and (2) the services taken (including point of boarding).</w:t>
      </w:r>
    </w:p>
    <w:p w14:paraId="55B53228" w14:textId="08CEBC43" w:rsidR="00F27D13" w:rsidRDefault="00957408" w:rsidP="00E45E86">
      <w:pPr>
        <w:pStyle w:val="ParaLevel1"/>
        <w:numPr>
          <w:ilvl w:val="0"/>
          <w:numId w:val="0"/>
        </w:numPr>
        <w:ind w:left="1689" w:right="654" w:hanging="555"/>
      </w:pPr>
      <w:r>
        <w:t>d)</w:t>
      </w:r>
      <w:r>
        <w:tab/>
      </w:r>
      <w:r w:rsidR="00C05A8A">
        <w:t>To facilitate iii), passholder numbers showing, each time a pass was used, (1) date and time; (2) service number and operator; (3) use on each operator’s services; and (4) point of boarding.</w:t>
      </w:r>
      <w:r>
        <w:t>”</w:t>
      </w:r>
    </w:p>
    <w:p w14:paraId="3C5B1457" w14:textId="51795EF5" w:rsidR="00F27D13" w:rsidRDefault="000E4BF2" w:rsidP="001846CE">
      <w:pPr>
        <w:pStyle w:val="ParaLevel1"/>
      </w:pPr>
      <w:r>
        <w:t>It is Mr Dunn’s evidence that</w:t>
      </w:r>
      <w:r w:rsidR="00993A45">
        <w:t xml:space="preserve"> the scope of the data requested was formulated on</w:t>
      </w:r>
      <w:r w:rsidR="00791FAA">
        <w:t xml:space="preserve"> Diamond’s behalf by </w:t>
      </w:r>
      <w:r w:rsidR="00464541">
        <w:t xml:space="preserve">its expert, </w:t>
      </w:r>
      <w:r w:rsidR="00791FAA">
        <w:t>Mr Meaney of Oxera, although Mr Meaney’s own witness statement does not confirm this</w:t>
      </w:r>
      <w:r w:rsidR="00464541">
        <w:t>.</w:t>
      </w:r>
    </w:p>
    <w:p w14:paraId="32FDD9A4" w14:textId="0B4B2BB9" w:rsidR="00464541" w:rsidRDefault="000B4F91" w:rsidP="001846CE">
      <w:pPr>
        <w:pStyle w:val="ParaLevel1"/>
      </w:pPr>
      <w:r>
        <w:t xml:space="preserve">In </w:t>
      </w:r>
      <w:r w:rsidRPr="000B4F91">
        <w:t xml:space="preserve">paragraphs 32 and 33 of </w:t>
      </w:r>
      <w:r>
        <w:t xml:space="preserve">Dunn 1, </w:t>
      </w:r>
      <w:r w:rsidRPr="000B4F91">
        <w:t xml:space="preserve">Mr Dunn </w:t>
      </w:r>
      <w:r w:rsidR="0079056E">
        <w:t xml:space="preserve">maintains </w:t>
      </w:r>
      <w:r w:rsidRPr="000B4F91">
        <w:t>that the data sought is readily available to and providable by T</w:t>
      </w:r>
      <w:r w:rsidR="0079056E">
        <w:t>f</w:t>
      </w:r>
      <w:r w:rsidRPr="000B4F91">
        <w:t xml:space="preserve">WM via its back office system known as </w:t>
      </w:r>
      <w:r w:rsidRPr="0079056E">
        <w:rPr>
          <w:i/>
          <w:iCs/>
        </w:rPr>
        <w:t>‘HOPS’</w:t>
      </w:r>
      <w:r w:rsidRPr="000B4F91">
        <w:t xml:space="preserve"> </w:t>
      </w:r>
      <w:r w:rsidRPr="000B4F91">
        <w:lastRenderedPageBreak/>
        <w:t xml:space="preserve">(Host Operator Processing System) which contains a database where details of each of the journeys undertaken are held, allowing </w:t>
      </w:r>
      <w:r w:rsidR="00F806E2">
        <w:t>TfWM</w:t>
      </w:r>
      <w:r w:rsidRPr="000B4F91">
        <w:t xml:space="preserve"> </w:t>
      </w:r>
      <w:r w:rsidR="00EF0BA1">
        <w:t xml:space="preserve">to </w:t>
      </w:r>
      <w:r w:rsidRPr="000B4F91">
        <w:t xml:space="preserve">analyse and evaluate the journeys being undertaken. </w:t>
      </w:r>
      <w:r w:rsidR="000005DF">
        <w:t xml:space="preserve">It is Diamond’s case that the </w:t>
      </w:r>
      <w:r w:rsidRPr="000B4F91">
        <w:t xml:space="preserve">data requests that </w:t>
      </w:r>
      <w:r w:rsidR="000005DF">
        <w:t xml:space="preserve">Diamond has </w:t>
      </w:r>
      <w:r w:rsidRPr="000B4F91">
        <w:t>made will all be captured in the database in the HOPS and will have been used by T</w:t>
      </w:r>
      <w:r w:rsidR="000005DF">
        <w:t>f</w:t>
      </w:r>
      <w:r w:rsidRPr="000B4F91">
        <w:t>WM when they produced their scheme</w:t>
      </w:r>
      <w:r w:rsidR="0013409E">
        <w:t>-</w:t>
      </w:r>
      <w:r w:rsidRPr="000B4F91">
        <w:t xml:space="preserve">wide </w:t>
      </w:r>
      <w:r w:rsidR="00111FF1">
        <w:t>Look-up</w:t>
      </w:r>
      <w:r w:rsidRPr="000B4F91">
        <w:t xml:space="preserve"> table. Mr Lewis, </w:t>
      </w:r>
      <w:r w:rsidR="0057312A">
        <w:t xml:space="preserve">on behalf of </w:t>
      </w:r>
      <w:r w:rsidRPr="000B4F91">
        <w:t>T</w:t>
      </w:r>
      <w:r w:rsidR="00A5089E">
        <w:t>f</w:t>
      </w:r>
      <w:r w:rsidRPr="000B4F91">
        <w:t xml:space="preserve">WM, whilst taking issue with Mr Dunn’s suggestion that the data </w:t>
      </w:r>
      <w:r w:rsidR="0057312A">
        <w:t xml:space="preserve">is </w:t>
      </w:r>
      <w:r w:rsidRPr="000B4F91">
        <w:t>available through the clicking of a few buttons, accepts</w:t>
      </w:r>
      <w:r w:rsidR="00A5089E">
        <w:t>, in paragraphs 46 and 47</w:t>
      </w:r>
      <w:r w:rsidR="008C4923">
        <w:t xml:space="preserve"> of his witness statement,</w:t>
      </w:r>
      <w:r w:rsidRPr="000B4F91">
        <w:t xml:space="preserve"> that T</w:t>
      </w:r>
      <w:r w:rsidR="00A5089E">
        <w:t>f</w:t>
      </w:r>
      <w:r w:rsidRPr="000B4F91">
        <w:t xml:space="preserve">WM </w:t>
      </w:r>
      <w:proofErr w:type="gramStart"/>
      <w:r w:rsidRPr="000B4F91">
        <w:t>are able to</w:t>
      </w:r>
      <w:proofErr w:type="gramEnd"/>
      <w:r w:rsidRPr="000B4F91">
        <w:t xml:space="preserve"> provide the data within a reasonable time frame and to do so via a single data report</w:t>
      </w:r>
      <w:r w:rsidR="008C4923">
        <w:t>.</w:t>
      </w:r>
    </w:p>
    <w:p w14:paraId="7EBD8E8B" w14:textId="5464A1E8" w:rsidR="00AF6A40" w:rsidRPr="00921795" w:rsidRDefault="00AF6A40" w:rsidP="001846CE">
      <w:pPr>
        <w:pStyle w:val="ParaLevel1"/>
        <w:numPr>
          <w:ilvl w:val="0"/>
          <w:numId w:val="0"/>
        </w:numPr>
        <w:ind w:left="720" w:hanging="720"/>
        <w:rPr>
          <w:b/>
          <w:bCs/>
          <w:u w:val="single"/>
        </w:rPr>
      </w:pPr>
      <w:bookmarkStart w:id="7" w:name="F"/>
      <w:r w:rsidRPr="00921795">
        <w:rPr>
          <w:b/>
          <w:bCs/>
          <w:u w:val="single"/>
        </w:rPr>
        <w:t xml:space="preserve">CPR </w:t>
      </w:r>
      <w:r w:rsidR="00C736BC" w:rsidRPr="00921795">
        <w:rPr>
          <w:b/>
          <w:bCs/>
          <w:u w:val="single"/>
        </w:rPr>
        <w:t>31.16</w:t>
      </w:r>
      <w:r w:rsidR="00921795">
        <w:rPr>
          <w:b/>
          <w:bCs/>
          <w:u w:val="single"/>
        </w:rPr>
        <w:t xml:space="preserve"> – Disclosure </w:t>
      </w:r>
      <w:r w:rsidR="00584996">
        <w:rPr>
          <w:b/>
          <w:bCs/>
          <w:u w:val="single"/>
        </w:rPr>
        <w:t>before proceedings start</w:t>
      </w:r>
    </w:p>
    <w:bookmarkEnd w:id="7"/>
    <w:p w14:paraId="69ABA706" w14:textId="0E0FBBE5" w:rsidR="00676DE8" w:rsidRDefault="001D6C60" w:rsidP="001846CE">
      <w:pPr>
        <w:pStyle w:val="ParaLevel1"/>
      </w:pPr>
      <w:r>
        <w:t xml:space="preserve">CPR 31.16 has its </w:t>
      </w:r>
      <w:r w:rsidR="009A186D">
        <w:t xml:space="preserve">statutory basis </w:t>
      </w:r>
      <w:r>
        <w:t>in</w:t>
      </w:r>
      <w:r w:rsidR="007C72A9">
        <w:t xml:space="preserve"> s. 53 </w:t>
      </w:r>
      <w:r w:rsidR="0061664A">
        <w:t>of the Senior Courts Act 1981</w:t>
      </w:r>
      <w:r w:rsidR="0020566D">
        <w:t xml:space="preserve">. It has </w:t>
      </w:r>
      <w:r w:rsidR="008B49F0">
        <w:t xml:space="preserve">survived the Disclosure Pilot in the Business and Property Courts, and PD 57AD. </w:t>
      </w:r>
      <w:r w:rsidR="00EF649E">
        <w:t>It is in the following terms:</w:t>
      </w:r>
    </w:p>
    <w:p w14:paraId="3BCDB728" w14:textId="1D99FF37" w:rsidR="00E02265" w:rsidRDefault="005E1529" w:rsidP="001846CE">
      <w:pPr>
        <w:autoSpaceDE w:val="0"/>
        <w:autoSpaceDN w:val="0"/>
        <w:adjustRightInd w:val="0"/>
        <w:spacing w:after="240"/>
        <w:ind w:left="1134" w:right="654"/>
        <w:jc w:val="both"/>
        <w:rPr>
          <w:rFonts w:ascii="TimesNewRomanPS-BoldItalicMT" w:hAnsi="TimesNewRomanPS-BoldItalicMT" w:cs="TimesNewRomanPS-BoldItalicMT"/>
          <w:b/>
          <w:bCs/>
          <w:i/>
          <w:iCs/>
          <w:lang w:eastAsia="en-GB"/>
        </w:rPr>
      </w:pPr>
      <w:r>
        <w:rPr>
          <w:rFonts w:ascii="TimesNewRomanPS-BoldItalicMT" w:hAnsi="TimesNewRomanPS-BoldItalicMT" w:cs="TimesNewRomanPS-BoldItalicMT"/>
          <w:b/>
          <w:bCs/>
          <w:i/>
          <w:iCs/>
          <w:lang w:eastAsia="en-GB"/>
        </w:rPr>
        <w:t>“</w:t>
      </w:r>
      <w:r w:rsidR="00E02265">
        <w:rPr>
          <w:rFonts w:ascii="TimesNewRomanPS-BoldItalicMT" w:hAnsi="TimesNewRomanPS-BoldItalicMT" w:cs="TimesNewRomanPS-BoldItalicMT"/>
          <w:b/>
          <w:bCs/>
          <w:i/>
          <w:iCs/>
          <w:lang w:eastAsia="en-GB"/>
        </w:rPr>
        <w:t>31.16</w:t>
      </w:r>
    </w:p>
    <w:p w14:paraId="1BA8C96B" w14:textId="3D701B2E" w:rsidR="00E02265" w:rsidRDefault="00E02265" w:rsidP="001846CE">
      <w:pPr>
        <w:autoSpaceDE w:val="0"/>
        <w:autoSpaceDN w:val="0"/>
        <w:adjustRightInd w:val="0"/>
        <w:spacing w:after="240"/>
        <w:ind w:left="1701"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(1)</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 xml:space="preserve"> This rule applies where an application is made to the court under any Act for</w:t>
      </w:r>
      <w:r w:rsidR="000463D4">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disclosure before proceedings have started.</w:t>
      </w:r>
    </w:p>
    <w:p w14:paraId="3543C984" w14:textId="18230456" w:rsidR="00E02265" w:rsidRDefault="00E02265" w:rsidP="001846CE">
      <w:pPr>
        <w:autoSpaceDE w:val="0"/>
        <w:autoSpaceDN w:val="0"/>
        <w:adjustRightInd w:val="0"/>
        <w:spacing w:after="240"/>
        <w:ind w:left="1134" w:right="654"/>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(2)</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The application must be supported by evidence.</w:t>
      </w:r>
    </w:p>
    <w:p w14:paraId="049696E9" w14:textId="2E5754A1" w:rsidR="00E02265" w:rsidRDefault="00E02265" w:rsidP="001846CE">
      <w:pPr>
        <w:autoSpaceDE w:val="0"/>
        <w:autoSpaceDN w:val="0"/>
        <w:adjustRightInd w:val="0"/>
        <w:spacing w:after="240"/>
        <w:ind w:left="1134" w:right="654"/>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(3)</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The court may make an order under this rule only where–</w:t>
      </w:r>
    </w:p>
    <w:p w14:paraId="202826D6" w14:textId="42CEC8AE" w:rsidR="00E02265"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(a)</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 xml:space="preserve">the respondent is likely to be a party to subsequent </w:t>
      </w:r>
      <w:r w:rsidR="00435743">
        <w:rPr>
          <w:rFonts w:ascii="TimesNewRomanPS-ItalicMT" w:hAnsi="TimesNewRomanPS-ItalicMT" w:cs="TimesNewRomanPS-ItalicMT"/>
          <w:i/>
          <w:iCs/>
          <w:lang w:eastAsia="en-GB"/>
        </w:rPr>
        <w:t>p</w:t>
      </w:r>
      <w:r>
        <w:rPr>
          <w:rFonts w:ascii="TimesNewRomanPS-ItalicMT" w:hAnsi="TimesNewRomanPS-ItalicMT" w:cs="TimesNewRomanPS-ItalicMT"/>
          <w:i/>
          <w:iCs/>
          <w:lang w:eastAsia="en-GB"/>
        </w:rPr>
        <w:t>roceedings;</w:t>
      </w:r>
    </w:p>
    <w:p w14:paraId="3F66B071" w14:textId="06FEAD19" w:rsidR="00E02265"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(b)</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the applicant is also likely to be a party to those proceedings;</w:t>
      </w:r>
    </w:p>
    <w:p w14:paraId="339C0AC6" w14:textId="273DADA4" w:rsidR="00E02265"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(c)</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if proceedings had started, the respondent’s duty by way of standard</w:t>
      </w:r>
      <w:r w:rsidR="00146B91">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disclosure, set out in rule 31.6, would extend to the documents or classes</w:t>
      </w:r>
      <w:r w:rsidR="00146B91">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of documents of which the applicant seeks disclosure; and</w:t>
      </w:r>
    </w:p>
    <w:p w14:paraId="04562154" w14:textId="54F80859" w:rsidR="00E02265"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(d)</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 xml:space="preserve">disclosure before proceedings have started is desirable </w:t>
      </w:r>
      <w:proofErr w:type="gramStart"/>
      <w:r>
        <w:rPr>
          <w:rFonts w:ascii="TimesNewRomanPS-ItalicMT" w:hAnsi="TimesNewRomanPS-ItalicMT" w:cs="TimesNewRomanPS-ItalicMT"/>
          <w:i/>
          <w:iCs/>
          <w:lang w:eastAsia="en-GB"/>
        </w:rPr>
        <w:t>in order to</w:t>
      </w:r>
      <w:proofErr w:type="gramEnd"/>
      <w:r>
        <w:rPr>
          <w:rFonts w:ascii="TimesNewRomanPS-ItalicMT" w:hAnsi="TimesNewRomanPS-ItalicMT" w:cs="TimesNewRomanPS-ItalicMT"/>
          <w:i/>
          <w:iCs/>
          <w:lang w:eastAsia="en-GB"/>
        </w:rPr>
        <w:t xml:space="preserve"> –</w:t>
      </w:r>
    </w:p>
    <w:p w14:paraId="77494D5B" w14:textId="16EF8227" w:rsidR="00E02265" w:rsidRDefault="00E02265" w:rsidP="001846CE">
      <w:pPr>
        <w:autoSpaceDE w:val="0"/>
        <w:autoSpaceDN w:val="0"/>
        <w:adjustRightInd w:val="0"/>
        <w:spacing w:after="240"/>
        <w:ind w:left="1701" w:right="654" w:firstLine="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(i)</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dispose fairly of the anticipated proceedings;</w:t>
      </w:r>
    </w:p>
    <w:p w14:paraId="5229A4F4" w14:textId="068DA578" w:rsidR="00E02265" w:rsidRDefault="00E02265" w:rsidP="001846CE">
      <w:pPr>
        <w:autoSpaceDE w:val="0"/>
        <w:autoSpaceDN w:val="0"/>
        <w:adjustRightInd w:val="0"/>
        <w:spacing w:after="240"/>
        <w:ind w:left="2835"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(ii)</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assist the dispute to be resolved without proceedings; or</w:t>
      </w:r>
    </w:p>
    <w:p w14:paraId="22A9F916" w14:textId="54D7F3FD" w:rsidR="00E02265" w:rsidRDefault="00E02265" w:rsidP="001846CE">
      <w:pPr>
        <w:autoSpaceDE w:val="0"/>
        <w:autoSpaceDN w:val="0"/>
        <w:adjustRightInd w:val="0"/>
        <w:spacing w:after="240"/>
        <w:ind w:left="1701" w:right="654" w:firstLine="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(iii)</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save costs.</w:t>
      </w:r>
    </w:p>
    <w:p w14:paraId="6DC58FAA" w14:textId="51F2FAB6" w:rsidR="00E02265" w:rsidRDefault="00E02265" w:rsidP="001846CE">
      <w:pPr>
        <w:autoSpaceDE w:val="0"/>
        <w:autoSpaceDN w:val="0"/>
        <w:adjustRightInd w:val="0"/>
        <w:spacing w:after="240"/>
        <w:ind w:left="1134" w:right="654"/>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(4)</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An order under this rule must –</w:t>
      </w:r>
    </w:p>
    <w:p w14:paraId="6839BD7A" w14:textId="2A934745" w:rsidR="00E02265"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(a)</w:t>
      </w:r>
      <w:r w:rsidR="00146B91">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specify the documents or the classes of documents which the respondent</w:t>
      </w:r>
      <w:r w:rsidR="00031155">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must disclose; and</w:t>
      </w:r>
    </w:p>
    <w:p w14:paraId="0A26DB6C" w14:textId="4B60450B" w:rsidR="00E02265"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(b)</w:t>
      </w:r>
      <w:r w:rsidR="00B83D2C">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require him, when making disclosure, to specify any of those documents –</w:t>
      </w:r>
    </w:p>
    <w:p w14:paraId="0FBC7982" w14:textId="19D3E286" w:rsidR="00E02265" w:rsidRDefault="00E02265" w:rsidP="001846CE">
      <w:pPr>
        <w:autoSpaceDE w:val="0"/>
        <w:autoSpaceDN w:val="0"/>
        <w:adjustRightInd w:val="0"/>
        <w:spacing w:after="240"/>
        <w:ind w:left="1701" w:right="654" w:firstLine="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lastRenderedPageBreak/>
        <w:t>(i)</w:t>
      </w:r>
      <w:r w:rsidR="003F2364">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which are no longer in his control; or</w:t>
      </w:r>
    </w:p>
    <w:p w14:paraId="4C8E1757" w14:textId="2893F6AD" w:rsidR="00E02265" w:rsidRDefault="00E02265" w:rsidP="001846CE">
      <w:pPr>
        <w:autoSpaceDE w:val="0"/>
        <w:autoSpaceDN w:val="0"/>
        <w:adjustRightInd w:val="0"/>
        <w:spacing w:after="240"/>
        <w:ind w:left="2835"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(ii)</w:t>
      </w:r>
      <w:r w:rsidR="003F2364">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in respect of which he claims a right or duty to withhold inspection.</w:t>
      </w:r>
    </w:p>
    <w:p w14:paraId="02223768" w14:textId="5B1814DE" w:rsidR="00E02265" w:rsidRDefault="00E02265" w:rsidP="001846CE">
      <w:pPr>
        <w:autoSpaceDE w:val="0"/>
        <w:autoSpaceDN w:val="0"/>
        <w:adjustRightInd w:val="0"/>
        <w:spacing w:after="240"/>
        <w:ind w:left="1134" w:right="654"/>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(5)</w:t>
      </w:r>
      <w:r w:rsidR="003F2364">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Such an order may –</w:t>
      </w:r>
    </w:p>
    <w:p w14:paraId="2F93E079" w14:textId="5CD2CAEA" w:rsidR="005E1529" w:rsidRDefault="00E02265" w:rsidP="001846CE">
      <w:pPr>
        <w:autoSpaceDE w:val="0"/>
        <w:autoSpaceDN w:val="0"/>
        <w:adjustRightInd w:val="0"/>
        <w:spacing w:after="240"/>
        <w:ind w:left="2268" w:right="654" w:hanging="567"/>
        <w:jc w:val="both"/>
        <w:rPr>
          <w:rFonts w:ascii="TimesNewRomanPS-ItalicMT" w:hAnsi="TimesNewRomanPS-ItalicMT" w:cs="TimesNewRomanPS-ItalicMT"/>
          <w:i/>
          <w:iCs/>
          <w:lang w:eastAsia="en-GB"/>
        </w:rPr>
      </w:pPr>
      <w:r>
        <w:rPr>
          <w:rFonts w:ascii="TimesNewRomanPS-ItalicMT" w:hAnsi="TimesNewRomanPS-ItalicMT" w:cs="TimesNewRomanPS-ItalicMT"/>
          <w:i/>
          <w:iCs/>
          <w:lang w:eastAsia="en-GB"/>
        </w:rPr>
        <w:t>(a)</w:t>
      </w:r>
      <w:r w:rsidR="003F2364">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require the respondent to indicate what has happened to any documents</w:t>
      </w:r>
      <w:r w:rsidR="003F2364">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which are no longer in his control; and</w:t>
      </w:r>
    </w:p>
    <w:p w14:paraId="3C7C3698" w14:textId="6CC06732" w:rsidR="00E02265" w:rsidRDefault="00E02265" w:rsidP="001846CE">
      <w:pPr>
        <w:autoSpaceDE w:val="0"/>
        <w:autoSpaceDN w:val="0"/>
        <w:adjustRightInd w:val="0"/>
        <w:spacing w:after="240"/>
        <w:ind w:left="2268" w:right="654" w:hanging="567"/>
        <w:jc w:val="both"/>
      </w:pPr>
      <w:r>
        <w:rPr>
          <w:rFonts w:ascii="TimesNewRomanPS-ItalicMT" w:hAnsi="TimesNewRomanPS-ItalicMT" w:cs="TimesNewRomanPS-ItalicMT"/>
          <w:i/>
          <w:iCs/>
          <w:lang w:eastAsia="en-GB"/>
        </w:rPr>
        <w:t>(b)</w:t>
      </w:r>
      <w:r w:rsidR="003F2364">
        <w:rPr>
          <w:rFonts w:ascii="TimesNewRomanPS-ItalicMT" w:hAnsi="TimesNewRomanPS-ItalicMT" w:cs="TimesNewRomanPS-ItalicMT"/>
          <w:i/>
          <w:iCs/>
          <w:lang w:eastAsia="en-GB"/>
        </w:rPr>
        <w:tab/>
      </w:r>
      <w:r>
        <w:rPr>
          <w:rFonts w:ascii="TimesNewRomanPS-ItalicMT" w:hAnsi="TimesNewRomanPS-ItalicMT" w:cs="TimesNewRomanPS-ItalicMT"/>
          <w:i/>
          <w:iCs/>
          <w:lang w:eastAsia="en-GB"/>
        </w:rPr>
        <w:t>specify the time and place for disclosure and inspection.</w:t>
      </w:r>
      <w:r w:rsidR="00BB50F1">
        <w:rPr>
          <w:rFonts w:ascii="TimesNewRomanPS-ItalicMT" w:hAnsi="TimesNewRomanPS-ItalicMT" w:cs="TimesNewRomanPS-ItalicMT"/>
          <w:i/>
          <w:iCs/>
          <w:lang w:eastAsia="en-GB"/>
        </w:rPr>
        <w:t>”</w:t>
      </w:r>
      <w:r w:rsidR="003F2364">
        <w:rPr>
          <w:rFonts w:ascii="TimesNewRomanPS-ItalicMT" w:hAnsi="TimesNewRomanPS-ItalicMT" w:cs="TimesNewRomanPS-ItalicMT"/>
          <w:i/>
          <w:iCs/>
          <w:lang w:eastAsia="en-GB"/>
        </w:rPr>
        <w:tab/>
      </w:r>
      <w:r w:rsidR="003F2364">
        <w:rPr>
          <w:rFonts w:ascii="TimesNewRomanPS-ItalicMT" w:hAnsi="TimesNewRomanPS-ItalicMT" w:cs="TimesNewRomanPS-ItalicMT"/>
          <w:i/>
          <w:iCs/>
          <w:lang w:eastAsia="en-GB"/>
        </w:rPr>
        <w:tab/>
      </w:r>
      <w:r w:rsidR="003F2364">
        <w:rPr>
          <w:rFonts w:ascii="TimesNewRomanPS-ItalicMT" w:hAnsi="TimesNewRomanPS-ItalicMT" w:cs="TimesNewRomanPS-ItalicMT"/>
          <w:i/>
          <w:iCs/>
          <w:lang w:eastAsia="en-GB"/>
        </w:rPr>
        <w:tab/>
      </w:r>
    </w:p>
    <w:p w14:paraId="3CB671B9" w14:textId="70B33357" w:rsidR="00332EDC" w:rsidRDefault="0073136B" w:rsidP="001846CE">
      <w:pPr>
        <w:pStyle w:val="ParaLevel1"/>
      </w:pPr>
      <w:r>
        <w:t>As Mr Maynard-Connor KC points ou</w:t>
      </w:r>
      <w:r w:rsidR="00447FE9">
        <w:t>t, the Chancery Guide</w:t>
      </w:r>
      <w:r w:rsidR="004336BA">
        <w:t xml:space="preserve"> </w:t>
      </w:r>
      <w:r w:rsidR="00881B6C">
        <w:t>2022 (June 2023 Revision)</w:t>
      </w:r>
      <w:r w:rsidR="00447FE9">
        <w:t>, at paragraphs 7.</w:t>
      </w:r>
      <w:r w:rsidR="003C5466">
        <w:t>31</w:t>
      </w:r>
      <w:r w:rsidR="00447FE9">
        <w:t xml:space="preserve"> and 7.3</w:t>
      </w:r>
      <w:r w:rsidR="003C5466">
        <w:t>2</w:t>
      </w:r>
      <w:r w:rsidR="00D812B8">
        <w:t>,</w:t>
      </w:r>
      <w:r w:rsidR="00447FE9">
        <w:t xml:space="preserve"> </w:t>
      </w:r>
      <w:r w:rsidR="00332EDC">
        <w:t>provide</w:t>
      </w:r>
      <w:r w:rsidR="00D812B8">
        <w:t>s</w:t>
      </w:r>
      <w:r w:rsidR="00332EDC">
        <w:t xml:space="preserve"> some helpful guidance as to the application of CPR 31.16:</w:t>
      </w:r>
    </w:p>
    <w:p w14:paraId="7CCA7BA7" w14:textId="3C7875E0" w:rsidR="004F0E62" w:rsidRDefault="00667587" w:rsidP="001846CE">
      <w:pPr>
        <w:pStyle w:val="ParaLevel1"/>
        <w:numPr>
          <w:ilvl w:val="0"/>
          <w:numId w:val="0"/>
        </w:numPr>
        <w:ind w:left="1689" w:right="654" w:hanging="555"/>
      </w:pPr>
      <w:r>
        <w:t>“</w:t>
      </w:r>
      <w:r w:rsidR="004F0E62">
        <w:t>7.</w:t>
      </w:r>
      <w:r w:rsidR="003C5466">
        <w:t>31</w:t>
      </w:r>
      <w:r w:rsidR="00033762">
        <w:tab/>
      </w:r>
      <w:r w:rsidR="004F0E62">
        <w:t>An order for disclosure before proceedings have started is made in</w:t>
      </w:r>
      <w:r w:rsidR="00033762">
        <w:t xml:space="preserve"> </w:t>
      </w:r>
      <w:r w:rsidR="004F0E62">
        <w:t>accordance with CPR 31.16 in Section II of CPR PD 51U. It comprises a two stage</w:t>
      </w:r>
      <w:r w:rsidR="00033762">
        <w:t xml:space="preserve"> </w:t>
      </w:r>
      <w:r w:rsidR="004F0E62">
        <w:t>test:</w:t>
      </w:r>
    </w:p>
    <w:p w14:paraId="712223DB" w14:textId="1EC88B92" w:rsidR="004F0E62" w:rsidRDefault="004F0E62" w:rsidP="001846CE">
      <w:pPr>
        <w:pStyle w:val="ParaLevel1"/>
        <w:numPr>
          <w:ilvl w:val="0"/>
          <w:numId w:val="0"/>
        </w:numPr>
        <w:ind w:left="2259" w:right="654" w:hanging="570"/>
      </w:pPr>
      <w:r>
        <w:t>(a)</w:t>
      </w:r>
      <w:r w:rsidR="00033762">
        <w:tab/>
      </w:r>
      <w:r>
        <w:t>Parties must first satisfy the four-part jurisdictional test set out in CPR</w:t>
      </w:r>
      <w:r w:rsidR="00033762">
        <w:t xml:space="preserve"> </w:t>
      </w:r>
      <w:r>
        <w:t>31.16(3). This includes consideration of whether such disclosure is desirable</w:t>
      </w:r>
      <w:r w:rsidR="00033762">
        <w:t xml:space="preserve"> </w:t>
      </w:r>
      <w:proofErr w:type="gramStart"/>
      <w:r>
        <w:t>in order to</w:t>
      </w:r>
      <w:proofErr w:type="gramEnd"/>
      <w:r>
        <w:t xml:space="preserve"> dispose fairly of the anticipated proceedings, or to assist the parties</w:t>
      </w:r>
      <w:r w:rsidR="00033762">
        <w:t xml:space="preserve"> </w:t>
      </w:r>
      <w:r>
        <w:t>to avoid litigation, or to save costs; and</w:t>
      </w:r>
    </w:p>
    <w:p w14:paraId="429E59E2" w14:textId="5D9A855B" w:rsidR="004F0E62" w:rsidRDefault="004F0E62" w:rsidP="001846CE">
      <w:pPr>
        <w:pStyle w:val="ParaLevel1"/>
        <w:numPr>
          <w:ilvl w:val="0"/>
          <w:numId w:val="0"/>
        </w:numPr>
        <w:ind w:left="2259" w:right="654" w:hanging="570"/>
      </w:pPr>
      <w:r>
        <w:t>(b)</w:t>
      </w:r>
      <w:r w:rsidR="00033762">
        <w:tab/>
      </w:r>
      <w:r>
        <w:t>If the court is satisfied that the application meets the jurisdictional</w:t>
      </w:r>
      <w:r w:rsidR="00033762">
        <w:t xml:space="preserve"> </w:t>
      </w:r>
      <w:r>
        <w:t>threshold, it will then consider whether it is appropriate to make an order for</w:t>
      </w:r>
      <w:r w:rsidR="00033762">
        <w:t xml:space="preserve"> </w:t>
      </w:r>
      <w:r>
        <w:t xml:space="preserve">pre-action disclosure as a matter of discretion, which </w:t>
      </w:r>
      <w:proofErr w:type="gramStart"/>
      <w:r>
        <w:t>has to</w:t>
      </w:r>
      <w:proofErr w:type="gramEnd"/>
      <w:r>
        <w:t xml:space="preserve"> be considered on</w:t>
      </w:r>
      <w:r w:rsidR="00033762">
        <w:t xml:space="preserve"> </w:t>
      </w:r>
      <w:r>
        <w:t xml:space="preserve">all of the facts and not merely in principle but in detail: see </w:t>
      </w:r>
      <w:r w:rsidRPr="00A303B7">
        <w:rPr>
          <w:i/>
          <w:iCs/>
        </w:rPr>
        <w:t>Black v Sumitomo</w:t>
      </w:r>
      <w:r w:rsidR="00A303B7">
        <w:t xml:space="preserve"> </w:t>
      </w:r>
      <w:r>
        <w:t>[2002] 1WLR 1562 ...</w:t>
      </w:r>
    </w:p>
    <w:p w14:paraId="29E242B0" w14:textId="4C3EF4C1" w:rsidR="00332EDC" w:rsidRDefault="004F0E62" w:rsidP="001846CE">
      <w:pPr>
        <w:pStyle w:val="ParaLevel1"/>
        <w:numPr>
          <w:ilvl w:val="0"/>
          <w:numId w:val="0"/>
        </w:numPr>
        <w:ind w:left="1689" w:right="654" w:hanging="555"/>
      </w:pPr>
      <w:r>
        <w:t>7.3</w:t>
      </w:r>
      <w:r w:rsidR="004336BA">
        <w:t>2</w:t>
      </w:r>
      <w:r w:rsidR="00667587">
        <w:tab/>
      </w:r>
      <w:r>
        <w:t>The jurisdictional criteria in CPR 31.16 still require consideration of whether</w:t>
      </w:r>
      <w:r w:rsidR="00667587">
        <w:t xml:space="preserve"> </w:t>
      </w:r>
      <w:r>
        <w:t>the documents would fall within the scope of ‘standard disclosure’ under CPR</w:t>
      </w:r>
      <w:r w:rsidR="00667587">
        <w:t xml:space="preserve"> </w:t>
      </w:r>
      <w:r>
        <w:t>31.6. However, when considering whether to make an order, the court should</w:t>
      </w:r>
      <w:r w:rsidR="00667587">
        <w:t xml:space="preserve"> </w:t>
      </w:r>
      <w:r>
        <w:t xml:space="preserve">take into account that if proceedings are </w:t>
      </w:r>
      <w:proofErr w:type="gramStart"/>
      <w:r>
        <w:t>brought</w:t>
      </w:r>
      <w:proofErr w:type="gramEnd"/>
      <w:r>
        <w:t xml:space="preserve"> they are likely to be subject</w:t>
      </w:r>
      <w:r w:rsidR="00667587">
        <w:t xml:space="preserve"> </w:t>
      </w:r>
      <w:r>
        <w:t xml:space="preserve">to PD </w:t>
      </w:r>
      <w:r w:rsidR="00EA4BAF">
        <w:t>57AD</w:t>
      </w:r>
      <w:r w:rsidR="001F3E03">
        <w:t>,</w:t>
      </w:r>
      <w:r>
        <w:t xml:space="preserve"> where the court would work with the parties to define the issues</w:t>
      </w:r>
      <w:r w:rsidR="00667587">
        <w:t xml:space="preserve"> </w:t>
      </w:r>
      <w:r>
        <w:t>for disclosure and apply the most appropriate disclosure model (paragraph 8</w:t>
      </w:r>
      <w:r w:rsidR="00667587">
        <w:t xml:space="preserve"> </w:t>
      </w:r>
      <w:r>
        <w:t xml:space="preserve">of PD </w:t>
      </w:r>
      <w:r w:rsidR="004336BA">
        <w:t>57AD</w:t>
      </w:r>
      <w:r>
        <w:t xml:space="preserve">): see also </w:t>
      </w:r>
      <w:r w:rsidRPr="00667587">
        <w:rPr>
          <w:i/>
          <w:iCs/>
        </w:rPr>
        <w:t>Willow Sports Ltd v SportsLocker24.com Ltd</w:t>
      </w:r>
      <w:r>
        <w:t xml:space="preserve"> [2021]</w:t>
      </w:r>
      <w:r w:rsidR="00667587">
        <w:t xml:space="preserve"> </w:t>
      </w:r>
      <w:r>
        <w:t>EWHC 2524 (Ch).</w:t>
      </w:r>
      <w:r w:rsidR="00667587">
        <w:t>”</w:t>
      </w:r>
    </w:p>
    <w:p w14:paraId="0DAB0362" w14:textId="2533F7AD" w:rsidR="00E02265" w:rsidRDefault="0065338F" w:rsidP="001846CE">
      <w:pPr>
        <w:pStyle w:val="ParaLevel1"/>
      </w:pPr>
      <w:r>
        <w:t xml:space="preserve">The leading and seminal authority on the </w:t>
      </w:r>
      <w:r w:rsidR="00810E43">
        <w:t>jurisdiction under CPR 31.16</w:t>
      </w:r>
      <w:r w:rsidR="00EE5BE7">
        <w:t xml:space="preserve"> is the decision of the Court of Appeal in</w:t>
      </w:r>
      <w:r w:rsidR="00447FE9">
        <w:t xml:space="preserve"> </w:t>
      </w:r>
      <w:r w:rsidR="00EE5BE7" w:rsidRPr="00E25433">
        <w:rPr>
          <w:i/>
          <w:iCs/>
        </w:rPr>
        <w:t>Black v Sumitomo</w:t>
      </w:r>
      <w:r w:rsidR="00EE5BE7" w:rsidRPr="00EE5BE7">
        <w:t xml:space="preserve"> [2002] 1WLR 1562</w:t>
      </w:r>
      <w:r w:rsidR="00EE5BE7">
        <w:t>.</w:t>
      </w:r>
      <w:r w:rsidR="008D0073">
        <w:t xml:space="preserve"> CPR 31.16 has been the subject of </w:t>
      </w:r>
      <w:proofErr w:type="gramStart"/>
      <w:r w:rsidR="008D0073">
        <w:t>a number of</w:t>
      </w:r>
      <w:proofErr w:type="gramEnd"/>
      <w:r w:rsidR="008D0073">
        <w:t xml:space="preserve"> subsequent decisions, but the general principles to be applied in relation to</w:t>
      </w:r>
      <w:r w:rsidR="004858C6">
        <w:t xml:space="preserve"> applications for pre-action disclosure were </w:t>
      </w:r>
      <w:r w:rsidR="001F3E03">
        <w:t xml:space="preserve">helpfully </w:t>
      </w:r>
      <w:r w:rsidR="004858C6">
        <w:t>summarised</w:t>
      </w:r>
      <w:r w:rsidR="00447FE9">
        <w:t xml:space="preserve"> </w:t>
      </w:r>
      <w:r w:rsidR="004858C6" w:rsidRPr="004858C6">
        <w:t>by Blair J in</w:t>
      </w:r>
      <w:r w:rsidR="004858C6">
        <w:t xml:space="preserve"> </w:t>
      </w:r>
      <w:r w:rsidR="004858C6" w:rsidRPr="004858C6">
        <w:rPr>
          <w:i/>
          <w:iCs/>
        </w:rPr>
        <w:t xml:space="preserve">Assetco Plc v Grant Thornton UK LLP </w:t>
      </w:r>
      <w:r w:rsidR="004858C6" w:rsidRPr="004858C6">
        <w:t xml:space="preserve">[2013] EWHC 1215 (Comm) at </w:t>
      </w:r>
      <w:r w:rsidR="004858C6">
        <w:t>[</w:t>
      </w:r>
      <w:r w:rsidR="004858C6" w:rsidRPr="004858C6">
        <w:t>17</w:t>
      </w:r>
      <w:r w:rsidR="00E25433">
        <w:t>]</w:t>
      </w:r>
      <w:r w:rsidR="004858C6" w:rsidRPr="004858C6">
        <w:t>, as noted by</w:t>
      </w:r>
      <w:r w:rsidR="00E25433">
        <w:t xml:space="preserve"> </w:t>
      </w:r>
      <w:r w:rsidR="004858C6" w:rsidRPr="004858C6">
        <w:t xml:space="preserve">Jacobs J in </w:t>
      </w:r>
      <w:r w:rsidR="004858C6" w:rsidRPr="00E25433">
        <w:rPr>
          <w:i/>
          <w:iCs/>
        </w:rPr>
        <w:t xml:space="preserve">Carillion Plc v KPMG LLP </w:t>
      </w:r>
      <w:r w:rsidR="004858C6" w:rsidRPr="004858C6">
        <w:t xml:space="preserve">[2020] EWHC 1416 (Comm) at </w:t>
      </w:r>
      <w:r w:rsidR="00E25433">
        <w:t>[</w:t>
      </w:r>
      <w:r w:rsidR="004858C6" w:rsidRPr="004858C6">
        <w:t>66</w:t>
      </w:r>
      <w:r w:rsidR="00E25433">
        <w:t>]</w:t>
      </w:r>
      <w:r w:rsidR="004858C6" w:rsidRPr="004858C6">
        <w:t>:</w:t>
      </w:r>
    </w:p>
    <w:p w14:paraId="76D09CFB" w14:textId="5DDE7FEE" w:rsidR="00A97065" w:rsidRPr="00A97065" w:rsidRDefault="00A97065" w:rsidP="001846CE">
      <w:pPr>
        <w:autoSpaceDE w:val="0"/>
        <w:autoSpaceDN w:val="0"/>
        <w:adjustRightInd w:val="0"/>
        <w:spacing w:before="240"/>
        <w:ind w:left="1689" w:right="654" w:hanging="555"/>
        <w:jc w:val="both"/>
        <w:rPr>
          <w:rFonts w:ascii="TimesNewRomanPS-ItalicMT" w:hAnsi="TimesNewRomanPS-ItalicMT" w:cs="TimesNewRomanPS-ItalicMT"/>
          <w:lang w:eastAsia="en-GB"/>
        </w:rPr>
      </w:pPr>
      <w:r>
        <w:rPr>
          <w:rFonts w:ascii="TimesNewRomanPS-ItalicMT" w:hAnsi="TimesNewRomanPS-ItalicMT" w:cs="TimesNewRomanPS-ItalicMT"/>
          <w:lang w:eastAsia="en-GB"/>
        </w:rPr>
        <w:lastRenderedPageBreak/>
        <w:t>“</w:t>
      </w:r>
      <w:r w:rsidRPr="00A97065">
        <w:rPr>
          <w:rFonts w:ascii="TimesNewRomanPS-ItalicMT" w:hAnsi="TimesNewRomanPS-ItalicMT" w:cs="TimesNewRomanPS-ItalicMT"/>
          <w:lang w:eastAsia="en-GB"/>
        </w:rPr>
        <w:t>i)</w:t>
      </w:r>
      <w:r>
        <w:rPr>
          <w:rFonts w:ascii="TimesNewRomanPS-ItalicMT" w:hAnsi="TimesNewRomanPS-ItalicMT" w:cs="TimesNewRomanPS-ItalicMT"/>
          <w:lang w:eastAsia="en-GB"/>
        </w:rPr>
        <w:tab/>
      </w:r>
      <w:r w:rsidRPr="00A97065">
        <w:rPr>
          <w:rFonts w:ascii="TimesNewRomanPS-ItalicMT" w:hAnsi="TimesNewRomanPS-ItalicMT" w:cs="TimesNewRomanPS-ItalicMT"/>
          <w:lang w:eastAsia="en-GB"/>
        </w:rPr>
        <w:t>The respondent and applicant must both be likely to be parties to subsequent</w:t>
      </w:r>
      <w:r>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proceedings. It is not however necessary to show in addition that the initiation of such</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 xml:space="preserve">proceedings is itself likely: </w:t>
      </w:r>
      <w:r w:rsidRPr="00BE3145">
        <w:rPr>
          <w:rFonts w:ascii="TimesNewRomanPS-ItalicMT" w:hAnsi="TimesNewRomanPS-ItalicMT" w:cs="TimesNewRomanPS-ItalicMT"/>
          <w:i/>
          <w:iCs/>
          <w:lang w:eastAsia="en-GB"/>
        </w:rPr>
        <w:t>Black v Sumitomo Corp</w:t>
      </w:r>
      <w:r w:rsidRPr="00A97065">
        <w:rPr>
          <w:rFonts w:ascii="TimesNewRomanPS-ItalicMT" w:hAnsi="TimesNewRomanPS-ItalicMT" w:cs="TimesNewRomanPS-ItalicMT"/>
          <w:lang w:eastAsia="en-GB"/>
        </w:rPr>
        <w:t xml:space="preserve"> [2002] 1 WLR 1562 at [71 – 72],</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Rix LJ, which is the leading case on the rule.</w:t>
      </w:r>
    </w:p>
    <w:p w14:paraId="7E5A65AB" w14:textId="68669087" w:rsidR="00A97065" w:rsidRPr="00A97065" w:rsidRDefault="00A97065" w:rsidP="001846CE">
      <w:pPr>
        <w:autoSpaceDE w:val="0"/>
        <w:autoSpaceDN w:val="0"/>
        <w:adjustRightInd w:val="0"/>
        <w:spacing w:before="240"/>
        <w:ind w:left="1689" w:right="654" w:hanging="555"/>
        <w:jc w:val="both"/>
        <w:rPr>
          <w:rFonts w:ascii="TimesNewRomanPS-ItalicMT" w:hAnsi="TimesNewRomanPS-ItalicMT" w:cs="TimesNewRomanPS-ItalicMT"/>
          <w:lang w:eastAsia="en-GB"/>
        </w:rPr>
      </w:pPr>
      <w:r w:rsidRPr="00A97065">
        <w:rPr>
          <w:rFonts w:ascii="TimesNewRomanPS-ItalicMT" w:hAnsi="TimesNewRomanPS-ItalicMT" w:cs="TimesNewRomanPS-ItalicMT"/>
          <w:lang w:eastAsia="en-GB"/>
        </w:rPr>
        <w:t>ii)</w:t>
      </w:r>
      <w:r w:rsidR="00BE3145">
        <w:rPr>
          <w:rFonts w:ascii="TimesNewRomanPS-ItalicMT" w:hAnsi="TimesNewRomanPS-ItalicMT" w:cs="TimesNewRomanPS-ItalicMT"/>
          <w:lang w:eastAsia="en-GB"/>
        </w:rPr>
        <w:tab/>
      </w:r>
      <w:r w:rsidRPr="00A97065">
        <w:rPr>
          <w:rFonts w:ascii="TimesNewRomanPS-ItalicMT" w:hAnsi="TimesNewRomanPS-ItalicMT" w:cs="TimesNewRomanPS-ItalicMT"/>
          <w:lang w:eastAsia="en-GB"/>
        </w:rPr>
        <w:t>The documents sought must fall within the scope of the standard disclosure which</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the respondent would have to give in the anticipated proceedings. It follows that at the</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time of the application, the issues must be sufficiently clear to enable this requirement</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to be properly addressed.</w:t>
      </w:r>
    </w:p>
    <w:p w14:paraId="525D99B2" w14:textId="33A76E68" w:rsidR="00A97065" w:rsidRPr="00A97065" w:rsidRDefault="00A97065" w:rsidP="001846CE">
      <w:pPr>
        <w:autoSpaceDE w:val="0"/>
        <w:autoSpaceDN w:val="0"/>
        <w:adjustRightInd w:val="0"/>
        <w:spacing w:before="240"/>
        <w:ind w:left="1689" w:right="654" w:hanging="555"/>
        <w:jc w:val="both"/>
        <w:rPr>
          <w:rFonts w:ascii="TimesNewRomanPS-ItalicMT" w:hAnsi="TimesNewRomanPS-ItalicMT" w:cs="TimesNewRomanPS-ItalicMT"/>
          <w:lang w:eastAsia="en-GB"/>
        </w:rPr>
      </w:pPr>
      <w:r w:rsidRPr="00A97065">
        <w:rPr>
          <w:rFonts w:ascii="TimesNewRomanPS-ItalicMT" w:hAnsi="TimesNewRomanPS-ItalicMT" w:cs="TimesNewRomanPS-ItalicMT"/>
          <w:lang w:eastAsia="en-GB"/>
        </w:rPr>
        <w:t>iii)</w:t>
      </w:r>
      <w:r w:rsidR="00BE3145">
        <w:rPr>
          <w:rFonts w:ascii="TimesNewRomanPS-ItalicMT" w:hAnsi="TimesNewRomanPS-ItalicMT" w:cs="TimesNewRomanPS-ItalicMT"/>
          <w:lang w:eastAsia="en-GB"/>
        </w:rPr>
        <w:tab/>
      </w:r>
      <w:r w:rsidRPr="00A97065">
        <w:rPr>
          <w:rFonts w:ascii="TimesNewRomanPS-ItalicMT" w:hAnsi="TimesNewRomanPS-ItalicMT" w:cs="TimesNewRomanPS-ItalicMT"/>
          <w:lang w:eastAsia="en-GB"/>
        </w:rPr>
        <w:t>Disclosure before proceedings have started must be desirable (i) to dispose fairly</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of the anticipated proceedings, (ii) to assist the dispute to be resolved without</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proceedings, or (iii) to save costs: CPR 31.16 (3)(d).</w:t>
      </w:r>
    </w:p>
    <w:p w14:paraId="0F806CF3" w14:textId="7311199F" w:rsidR="00A97065" w:rsidRPr="00A97065" w:rsidRDefault="00A97065" w:rsidP="001846CE">
      <w:pPr>
        <w:autoSpaceDE w:val="0"/>
        <w:autoSpaceDN w:val="0"/>
        <w:adjustRightInd w:val="0"/>
        <w:spacing w:before="240"/>
        <w:ind w:left="1689" w:right="654" w:hanging="555"/>
        <w:jc w:val="both"/>
        <w:rPr>
          <w:rFonts w:ascii="TimesNewRomanPS-ItalicMT" w:hAnsi="TimesNewRomanPS-ItalicMT" w:cs="TimesNewRomanPS-ItalicMT"/>
          <w:lang w:eastAsia="en-GB"/>
        </w:rPr>
      </w:pPr>
      <w:r w:rsidRPr="00A97065">
        <w:rPr>
          <w:rFonts w:ascii="TimesNewRomanPS-ItalicMT" w:hAnsi="TimesNewRomanPS-ItalicMT" w:cs="TimesNewRomanPS-ItalicMT"/>
          <w:lang w:eastAsia="en-GB"/>
        </w:rPr>
        <w:t>iv)</w:t>
      </w:r>
      <w:r w:rsidR="00BE3145">
        <w:rPr>
          <w:rFonts w:ascii="TimesNewRomanPS-ItalicMT" w:hAnsi="TimesNewRomanPS-ItalicMT" w:cs="TimesNewRomanPS-ItalicMT"/>
          <w:lang w:eastAsia="en-GB"/>
        </w:rPr>
        <w:tab/>
      </w:r>
      <w:r w:rsidRPr="00A97065">
        <w:rPr>
          <w:rFonts w:ascii="TimesNewRomanPS-ItalicMT" w:hAnsi="TimesNewRomanPS-ItalicMT" w:cs="TimesNewRomanPS-ItalicMT"/>
          <w:lang w:eastAsia="en-GB"/>
        </w:rPr>
        <w:t>In considering whether to make an order, among the important considerations are</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 xml:space="preserve">the nature of the loss complained </w:t>
      </w:r>
      <w:proofErr w:type="gramStart"/>
      <w:r w:rsidRPr="00A97065">
        <w:rPr>
          <w:rFonts w:ascii="TimesNewRomanPS-ItalicMT" w:hAnsi="TimesNewRomanPS-ItalicMT" w:cs="TimesNewRomanPS-ItalicMT"/>
          <w:lang w:eastAsia="en-GB"/>
        </w:rPr>
        <w:t>of,</w:t>
      </w:r>
      <w:proofErr w:type="gramEnd"/>
      <w:r w:rsidRPr="00A97065">
        <w:rPr>
          <w:rFonts w:ascii="TimesNewRomanPS-ItalicMT" w:hAnsi="TimesNewRomanPS-ItalicMT" w:cs="TimesNewRomanPS-ItalicMT"/>
          <w:lang w:eastAsia="en-GB"/>
        </w:rPr>
        <w:t xml:space="preserve"> the clarity and identification of the issues raised</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by the complaint, the nature of the documents requested, the relevance of any protocol</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or pre-action inquiries, and the opportunity which the complainant has to make his</w:t>
      </w:r>
      <w:r w:rsidR="00BE3145">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case without pre-action disclosure (</w:t>
      </w:r>
      <w:r w:rsidRPr="00BE3145">
        <w:rPr>
          <w:rFonts w:ascii="TimesNewRomanPS-ItalicMT" w:hAnsi="TimesNewRomanPS-ItalicMT" w:cs="TimesNewRomanPS-ItalicMT"/>
          <w:i/>
          <w:iCs/>
          <w:lang w:eastAsia="en-GB"/>
        </w:rPr>
        <w:t>Black v Sumitomo Cor</w:t>
      </w:r>
      <w:r w:rsidRPr="00A97065">
        <w:rPr>
          <w:rFonts w:ascii="TimesNewRomanPS-ItalicMT" w:hAnsi="TimesNewRomanPS-ItalicMT" w:cs="TimesNewRomanPS-ItalicMT"/>
          <w:lang w:eastAsia="en-GB"/>
        </w:rPr>
        <w:t>p at [88]).</w:t>
      </w:r>
    </w:p>
    <w:p w14:paraId="4CE0503D" w14:textId="4424314F" w:rsidR="00A97065" w:rsidRPr="00A97065" w:rsidRDefault="00A97065" w:rsidP="001846CE">
      <w:pPr>
        <w:autoSpaceDE w:val="0"/>
        <w:autoSpaceDN w:val="0"/>
        <w:adjustRightInd w:val="0"/>
        <w:spacing w:before="240"/>
        <w:ind w:left="1134" w:right="654"/>
        <w:jc w:val="both"/>
        <w:rPr>
          <w:rFonts w:ascii="TimesNewRomanPS-ItalicMT" w:hAnsi="TimesNewRomanPS-ItalicMT" w:cs="TimesNewRomanPS-ItalicMT"/>
          <w:lang w:eastAsia="en-GB"/>
        </w:rPr>
      </w:pPr>
      <w:r w:rsidRPr="00A97065">
        <w:rPr>
          <w:rFonts w:ascii="TimesNewRomanPS-ItalicMT" w:hAnsi="TimesNewRomanPS-ItalicMT" w:cs="TimesNewRomanPS-ItalicMT"/>
          <w:lang w:eastAsia="en-GB"/>
        </w:rPr>
        <w:t>v)</w:t>
      </w:r>
      <w:r w:rsidR="0041427E">
        <w:rPr>
          <w:rFonts w:ascii="TimesNewRomanPS-ItalicMT" w:hAnsi="TimesNewRomanPS-ItalicMT" w:cs="TimesNewRomanPS-ItalicMT"/>
          <w:lang w:eastAsia="en-GB"/>
        </w:rPr>
        <w:tab/>
      </w:r>
      <w:r w:rsidRPr="00A97065">
        <w:rPr>
          <w:rFonts w:ascii="TimesNewRomanPS-ItalicMT" w:hAnsi="TimesNewRomanPS-ItalicMT" w:cs="TimesNewRomanPS-ItalicMT"/>
          <w:lang w:eastAsia="en-GB"/>
        </w:rPr>
        <w:t>The anticipated claim must have a real prospect of success.</w:t>
      </w:r>
    </w:p>
    <w:p w14:paraId="17B1D49A" w14:textId="48B3C55D" w:rsidR="00E25433" w:rsidRPr="00A97065" w:rsidRDefault="00A97065" w:rsidP="001846CE">
      <w:pPr>
        <w:autoSpaceDE w:val="0"/>
        <w:autoSpaceDN w:val="0"/>
        <w:adjustRightInd w:val="0"/>
        <w:spacing w:before="240"/>
        <w:ind w:left="1689" w:right="654" w:hanging="555"/>
        <w:jc w:val="both"/>
      </w:pPr>
      <w:r w:rsidRPr="00A97065">
        <w:rPr>
          <w:rFonts w:ascii="TimesNewRomanPS-ItalicMT" w:hAnsi="TimesNewRomanPS-ItalicMT" w:cs="TimesNewRomanPS-ItalicMT"/>
          <w:lang w:eastAsia="en-GB"/>
        </w:rPr>
        <w:t>vi)</w:t>
      </w:r>
      <w:r w:rsidR="0041427E">
        <w:rPr>
          <w:rFonts w:ascii="TimesNewRomanPS-ItalicMT" w:hAnsi="TimesNewRomanPS-ItalicMT" w:cs="TimesNewRomanPS-ItalicMT"/>
          <w:lang w:eastAsia="en-GB"/>
        </w:rPr>
        <w:tab/>
      </w:r>
      <w:r w:rsidRPr="00A97065">
        <w:rPr>
          <w:rFonts w:ascii="TimesNewRomanPS-ItalicMT" w:hAnsi="TimesNewRomanPS-ItalicMT" w:cs="TimesNewRomanPS-ItalicMT"/>
          <w:lang w:eastAsia="en-GB"/>
        </w:rPr>
        <w:t>In the commercial context, a pre-action disclosure order, even if not exceptional, is</w:t>
      </w:r>
      <w:r w:rsidR="0041427E">
        <w:rPr>
          <w:rFonts w:ascii="TimesNewRomanPS-ItalicMT" w:hAnsi="TimesNewRomanPS-ItalicMT" w:cs="TimesNewRomanPS-ItalicMT"/>
          <w:lang w:eastAsia="en-GB"/>
        </w:rPr>
        <w:t xml:space="preserve"> </w:t>
      </w:r>
      <w:r w:rsidRPr="00A97065">
        <w:rPr>
          <w:rFonts w:ascii="TimesNewRomanPS-ItalicMT" w:hAnsi="TimesNewRomanPS-ItalicMT" w:cs="TimesNewRomanPS-ItalicMT"/>
          <w:lang w:eastAsia="en-GB"/>
        </w:rPr>
        <w:t>unusual.”</w:t>
      </w:r>
    </w:p>
    <w:p w14:paraId="13C8D63F" w14:textId="5DD91DAA" w:rsidR="00E25433" w:rsidRDefault="007120C7" w:rsidP="001846CE">
      <w:pPr>
        <w:pStyle w:val="ParaLevel1"/>
      </w:pPr>
      <w:r>
        <w:t xml:space="preserve">In </w:t>
      </w:r>
      <w:r w:rsidRPr="00634EBC">
        <w:rPr>
          <w:i/>
          <w:iCs/>
        </w:rPr>
        <w:t>Kneale v Barclays Bank</w:t>
      </w:r>
      <w:r>
        <w:t xml:space="preserve"> [2010] EWHC 1900 (Comm), </w:t>
      </w:r>
      <w:proofErr w:type="spellStart"/>
      <w:r>
        <w:t>Flaux</w:t>
      </w:r>
      <w:proofErr w:type="spellEnd"/>
      <w:r>
        <w:t xml:space="preserve"> J </w:t>
      </w:r>
      <w:r w:rsidR="00636E4E">
        <w:t xml:space="preserve">(as he then was) </w:t>
      </w:r>
      <w:r w:rsidR="00634EBC">
        <w:t xml:space="preserve">emphasised </w:t>
      </w:r>
      <w:r>
        <w:t>that, although some of the jurisdictional questions may merge into matters of discretion, it is important to keep them distinct. Where the Court decides it does</w:t>
      </w:r>
      <w:r w:rsidR="00634EBC">
        <w:t xml:space="preserve"> </w:t>
      </w:r>
      <w:r>
        <w:t>have jurisdiction, it should still only exercise its discretion to make an order</w:t>
      </w:r>
      <w:r w:rsidR="00634EBC">
        <w:t xml:space="preserve"> </w:t>
      </w:r>
      <w:r>
        <w:t>where it is appropriate to do so.</w:t>
      </w:r>
    </w:p>
    <w:p w14:paraId="49C2D1F2" w14:textId="00EBBDF9" w:rsidR="00634EBC" w:rsidRDefault="005C7C61" w:rsidP="001846CE">
      <w:pPr>
        <w:pStyle w:val="ParaLevel1"/>
        <w:numPr>
          <w:ilvl w:val="0"/>
          <w:numId w:val="0"/>
        </w:numPr>
        <w:ind w:left="720" w:hanging="720"/>
        <w:rPr>
          <w:b/>
          <w:bCs/>
          <w:u w:val="single"/>
        </w:rPr>
      </w:pPr>
      <w:bookmarkStart w:id="8" w:name="G"/>
      <w:r w:rsidRPr="005C7C61">
        <w:rPr>
          <w:b/>
          <w:bCs/>
          <w:u w:val="single"/>
        </w:rPr>
        <w:t>Diamond’s case as to the application of CPR 31.16</w:t>
      </w:r>
    </w:p>
    <w:p w14:paraId="5246B432" w14:textId="0EBC6764" w:rsidR="004E52BF" w:rsidRPr="004E52BF" w:rsidRDefault="001C7DD3" w:rsidP="001846CE">
      <w:pPr>
        <w:pStyle w:val="ParaLevel1"/>
        <w:numPr>
          <w:ilvl w:val="0"/>
          <w:numId w:val="0"/>
        </w:numPr>
        <w:ind w:left="720" w:hanging="720"/>
        <w:rPr>
          <w:b/>
          <w:bCs/>
        </w:rPr>
      </w:pPr>
      <w:bookmarkStart w:id="9" w:name="G1"/>
      <w:bookmarkEnd w:id="8"/>
      <w:r>
        <w:rPr>
          <w:b/>
          <w:bCs/>
        </w:rPr>
        <w:t>Jurisdictional Threshold</w:t>
      </w:r>
    </w:p>
    <w:bookmarkEnd w:id="9"/>
    <w:p w14:paraId="367DA413" w14:textId="3774CC0A" w:rsidR="00B96DAA" w:rsidRDefault="00287885" w:rsidP="001846CE">
      <w:pPr>
        <w:pStyle w:val="ParaLevel1"/>
      </w:pPr>
      <w:r>
        <w:t>Mr Connolly,</w:t>
      </w:r>
      <w:r w:rsidR="00985B12">
        <w:t xml:space="preserve"> on behalf of Diamond,</w:t>
      </w:r>
      <w:r w:rsidR="00003007">
        <w:t xml:space="preserve"> relying upon </w:t>
      </w:r>
      <w:r w:rsidR="00003007" w:rsidRPr="00003007">
        <w:rPr>
          <w:i/>
          <w:iCs/>
        </w:rPr>
        <w:t>Black v Sumitomo Corpo</w:t>
      </w:r>
      <w:r w:rsidR="00A001AE" w:rsidRPr="00A001AE">
        <w:rPr>
          <w:i/>
          <w:iCs/>
        </w:rPr>
        <w:t xml:space="preserve">ration </w:t>
      </w:r>
      <w:r w:rsidR="00A001AE" w:rsidRPr="00A001AE">
        <w:t>(supra) at</w:t>
      </w:r>
      <w:r w:rsidR="00A001AE">
        <w:t xml:space="preserve"> </w:t>
      </w:r>
      <w:r w:rsidR="00086EE7">
        <w:t xml:space="preserve">[73], submits that the jurisdictional threshold is not a high one, and that on most applications the Court </w:t>
      </w:r>
      <w:r w:rsidR="00631B41">
        <w:t xml:space="preserve">is likely to be </w:t>
      </w:r>
      <w:r w:rsidR="00086EE7">
        <w:t>focused on the question of discretion.</w:t>
      </w:r>
    </w:p>
    <w:p w14:paraId="6FB63E5A" w14:textId="647D4F32" w:rsidR="0072787B" w:rsidRPr="0072787B" w:rsidRDefault="00B96DAA" w:rsidP="001846CE">
      <w:pPr>
        <w:pStyle w:val="ParaLevel1"/>
        <w:rPr>
          <w:i/>
          <w:iCs/>
        </w:rPr>
      </w:pPr>
      <w:r>
        <w:t>As to CPR</w:t>
      </w:r>
      <w:r w:rsidR="00E913FF">
        <w:t xml:space="preserve"> 3</w:t>
      </w:r>
      <w:r w:rsidR="00074CC8">
        <w:t>1</w:t>
      </w:r>
      <w:r w:rsidR="00E913FF">
        <w:t>.16(3)(a) and (b), and whether the respondent and applicant</w:t>
      </w:r>
      <w:r w:rsidR="002E4B8D">
        <w:t xml:space="preserve"> are likely to be parties to subsequent proceedings,</w:t>
      </w:r>
      <w:r w:rsidR="00FF6D7F">
        <w:t xml:space="preserve"> Mr Connolly, relying upon</w:t>
      </w:r>
      <w:r w:rsidR="008C2AE1">
        <w:t xml:space="preserve"> </w:t>
      </w:r>
      <w:r w:rsidR="00FF6D7F" w:rsidRPr="00FF6D7F">
        <w:rPr>
          <w:i/>
          <w:iCs/>
        </w:rPr>
        <w:t xml:space="preserve">Black v Sumitomo </w:t>
      </w:r>
      <w:r w:rsidR="00FF6D7F" w:rsidRPr="008C2AE1">
        <w:rPr>
          <w:i/>
          <w:iCs/>
        </w:rPr>
        <w:t>Corporation</w:t>
      </w:r>
      <w:r w:rsidR="008C2AE1">
        <w:rPr>
          <w:i/>
          <w:iCs/>
        </w:rPr>
        <w:t xml:space="preserve"> </w:t>
      </w:r>
      <w:r w:rsidR="008C2AE1" w:rsidRPr="008C2AE1">
        <w:t>at [72]</w:t>
      </w:r>
      <w:r w:rsidR="008C2AE1">
        <w:t xml:space="preserve">, </w:t>
      </w:r>
      <w:r w:rsidR="006C43A2">
        <w:t xml:space="preserve">submits that </w:t>
      </w:r>
      <w:r w:rsidR="006C43A2" w:rsidRPr="006C43A2">
        <w:rPr>
          <w:i/>
          <w:iCs/>
        </w:rPr>
        <w:t>“likely”</w:t>
      </w:r>
      <w:r w:rsidR="006C43A2">
        <w:t xml:space="preserve"> means </w:t>
      </w:r>
      <w:r w:rsidR="006C43A2" w:rsidRPr="006C43A2">
        <w:rPr>
          <w:i/>
          <w:iCs/>
        </w:rPr>
        <w:t>“may well”</w:t>
      </w:r>
      <w:r w:rsidR="006C43A2">
        <w:t xml:space="preserve">, </w:t>
      </w:r>
      <w:r w:rsidR="007D0773">
        <w:t xml:space="preserve">and given Diamond’s claim for under reimbursement as against </w:t>
      </w:r>
      <w:proofErr w:type="spellStart"/>
      <w:r w:rsidR="007D0773">
        <w:t>TfWM</w:t>
      </w:r>
      <w:proofErr w:type="spellEnd"/>
      <w:r w:rsidR="00074CC8">
        <w:t>,</w:t>
      </w:r>
      <w:r w:rsidR="007D0773">
        <w:t xml:space="preserve"> </w:t>
      </w:r>
      <w:r w:rsidR="0072787B">
        <w:t xml:space="preserve">both are likely to be parties to subsequent proceedings. </w:t>
      </w:r>
    </w:p>
    <w:p w14:paraId="2C53810D" w14:textId="36541545" w:rsidR="00C91F2B" w:rsidRDefault="0072787B" w:rsidP="001846CE">
      <w:pPr>
        <w:pStyle w:val="ParaLevel1"/>
      </w:pPr>
      <w:r>
        <w:t>As to CPR 3</w:t>
      </w:r>
      <w:r w:rsidR="00074CC8">
        <w:t>1</w:t>
      </w:r>
      <w:r>
        <w:t>.16(3)(c)</w:t>
      </w:r>
      <w:r w:rsidR="00556BAB">
        <w:t>, and whether, if proceedings had started, TfWM’s duty by way of standard disclosure</w:t>
      </w:r>
      <w:r w:rsidR="00CF3A28">
        <w:t xml:space="preserve">, </w:t>
      </w:r>
      <w:r w:rsidR="00FC6319">
        <w:t xml:space="preserve">as </w:t>
      </w:r>
      <w:r w:rsidR="00CF3A28">
        <w:t xml:space="preserve">set out in CPR 31.6, would extend to the documents or </w:t>
      </w:r>
      <w:r w:rsidR="00CF3A28">
        <w:lastRenderedPageBreak/>
        <w:t>classes of documents which the Application seeks disclosure,</w:t>
      </w:r>
      <w:r w:rsidR="00776719">
        <w:t xml:space="preserve"> Mr Connolly points out that</w:t>
      </w:r>
      <w:r>
        <w:t xml:space="preserve"> </w:t>
      </w:r>
      <w:r w:rsidR="00776719" w:rsidRPr="00776719">
        <w:t>standard disclosure requires a party to disclose</w:t>
      </w:r>
      <w:r w:rsidR="00FC6319">
        <w:t>:</w:t>
      </w:r>
      <w:r w:rsidR="00776719" w:rsidRPr="00776719">
        <w:t xml:space="preserve"> (a) documents he relies on; (b)(i) documents which adversely affect his own case; (b)(ii) document which adversely affect another party’s case; ((b)(iii) documents which support another party’s case; and (c) documents he is required to disclose by a relevant practice direction</w:t>
      </w:r>
      <w:r w:rsidR="00A71AEB">
        <w:t xml:space="preserve">. He submits that the documents sought by Diamond from TfWM </w:t>
      </w:r>
      <w:r w:rsidR="008C2962">
        <w:t>will fall within, at least, categories</w:t>
      </w:r>
      <w:r w:rsidR="00C91F2B" w:rsidRPr="00C91F2B">
        <w:t xml:space="preserve"> (b)(i) to (iii) on the footing that either</w:t>
      </w:r>
      <w:r w:rsidR="00C91F2B">
        <w:t>:</w:t>
      </w:r>
    </w:p>
    <w:p w14:paraId="02F2F1D8" w14:textId="09CDE976" w:rsidR="00C91F2B" w:rsidRDefault="00AE7B5C" w:rsidP="001846CE">
      <w:pPr>
        <w:pStyle w:val="ParaLevel2"/>
      </w:pPr>
      <w:r w:rsidRPr="00AE7B5C">
        <w:t xml:space="preserve">As </w:t>
      </w:r>
      <w:r>
        <w:t xml:space="preserve">Diamond </w:t>
      </w:r>
      <w:r w:rsidRPr="00AE7B5C">
        <w:t xml:space="preserve">contends, they will demonstrate that the </w:t>
      </w:r>
      <w:r w:rsidR="00111FF1">
        <w:t>Look-up</w:t>
      </w:r>
      <w:r w:rsidRPr="00AE7B5C">
        <w:t xml:space="preserve"> table relied upon by T</w:t>
      </w:r>
      <w:r>
        <w:t>f</w:t>
      </w:r>
      <w:r w:rsidRPr="00AE7B5C">
        <w:t xml:space="preserve">WM and the average fare derived from that </w:t>
      </w:r>
      <w:r w:rsidR="00111FF1">
        <w:t>Look-up</w:t>
      </w:r>
      <w:r w:rsidRPr="00AE7B5C">
        <w:t xml:space="preserve"> are wrong and understate the liability of T</w:t>
      </w:r>
      <w:r>
        <w:t>f</w:t>
      </w:r>
      <w:r w:rsidRPr="00AE7B5C">
        <w:t>WM for fares forgone; or</w:t>
      </w:r>
      <w:r w:rsidR="00C91F2B" w:rsidRPr="00C91F2B">
        <w:t xml:space="preserve"> </w:t>
      </w:r>
    </w:p>
    <w:p w14:paraId="4EB2A109" w14:textId="196A70A6" w:rsidR="00AE7B5C" w:rsidRPr="00C91F2B" w:rsidRDefault="00B75AF3" w:rsidP="001846CE">
      <w:pPr>
        <w:pStyle w:val="ParaLevel2"/>
      </w:pPr>
      <w:r w:rsidRPr="00B75AF3">
        <w:t>As T</w:t>
      </w:r>
      <w:r>
        <w:t>f</w:t>
      </w:r>
      <w:r w:rsidRPr="00B75AF3">
        <w:t>WM contend, they will demonstrate that look up table upon which T</w:t>
      </w:r>
      <w:r>
        <w:t>f</w:t>
      </w:r>
      <w:r w:rsidRPr="00B75AF3">
        <w:t xml:space="preserve">WM relies and the average fare derived from that look up table are correct and that the liability to </w:t>
      </w:r>
      <w:r w:rsidR="00480B21">
        <w:t xml:space="preserve">Diamond </w:t>
      </w:r>
      <w:r w:rsidRPr="00B75AF3">
        <w:t>for</w:t>
      </w:r>
      <w:r w:rsidR="00480B21">
        <w:t xml:space="preserve"> Revenue Foregone </w:t>
      </w:r>
      <w:r w:rsidRPr="00B75AF3">
        <w:t>is not understated.</w:t>
      </w:r>
    </w:p>
    <w:p w14:paraId="26731A6F" w14:textId="485E98AE" w:rsidR="00FF6D7F" w:rsidRPr="00FF6D7F" w:rsidRDefault="00FE2829" w:rsidP="001846CE">
      <w:pPr>
        <w:pStyle w:val="ParaLevel1"/>
      </w:pPr>
      <w:r w:rsidRPr="00FE2829">
        <w:t xml:space="preserve">In the case of i), the documents would be </w:t>
      </w:r>
      <w:proofErr w:type="gramStart"/>
      <w:r w:rsidR="002838BF" w:rsidRPr="00FE2829">
        <w:t>a</w:t>
      </w:r>
      <w:r w:rsidR="00074CC8">
        <w:t>d</w:t>
      </w:r>
      <w:r w:rsidR="002838BF" w:rsidRPr="00FE2829">
        <w:t>verse</w:t>
      </w:r>
      <w:proofErr w:type="gramEnd"/>
      <w:r w:rsidRPr="00FE2829">
        <w:t xml:space="preserve"> to the case of T</w:t>
      </w:r>
      <w:r>
        <w:t>f</w:t>
      </w:r>
      <w:r w:rsidRPr="00FE2829">
        <w:t xml:space="preserve">WM and supportive of the case of </w:t>
      </w:r>
      <w:r>
        <w:t>Diamond.</w:t>
      </w:r>
      <w:r w:rsidRPr="00FE2829">
        <w:t xml:space="preserve"> In the case of ii), the position would be reversed, with the documents being </w:t>
      </w:r>
      <w:proofErr w:type="gramStart"/>
      <w:r w:rsidR="002838BF" w:rsidRPr="00FE2829">
        <w:t>a</w:t>
      </w:r>
      <w:r w:rsidR="00074CC8">
        <w:t>d</w:t>
      </w:r>
      <w:r w:rsidR="002838BF" w:rsidRPr="00FE2829">
        <w:t>verse</w:t>
      </w:r>
      <w:proofErr w:type="gramEnd"/>
      <w:r w:rsidRPr="00FE2829">
        <w:t xml:space="preserve"> to the case of</w:t>
      </w:r>
      <w:r>
        <w:t xml:space="preserve"> Diamond</w:t>
      </w:r>
      <w:r w:rsidR="00326853">
        <w:t xml:space="preserve"> </w:t>
      </w:r>
      <w:r w:rsidRPr="00FE2829">
        <w:t>and supportive of the case of (and relied upon by) T</w:t>
      </w:r>
      <w:r w:rsidR="00326853">
        <w:t>f</w:t>
      </w:r>
      <w:r w:rsidRPr="00FE2829">
        <w:t>WM</w:t>
      </w:r>
      <w:r w:rsidR="00326853">
        <w:t>.</w:t>
      </w:r>
      <w:r w:rsidR="00FF6D7F" w:rsidRPr="00FE2829">
        <w:t xml:space="preserve"> </w:t>
      </w:r>
    </w:p>
    <w:p w14:paraId="2B44EA20" w14:textId="5D3FD6CF" w:rsidR="00D75076" w:rsidRDefault="00790AB0" w:rsidP="001846CE">
      <w:pPr>
        <w:pStyle w:val="ParaLevel1"/>
      </w:pPr>
      <w:r>
        <w:t>As to CPR 31.16(3)</w:t>
      </w:r>
      <w:r w:rsidR="00F15B0A">
        <w:t>(d), and the question as to whether pre-action disclosure is desirable</w:t>
      </w:r>
      <w:r w:rsidR="00EE394D">
        <w:t xml:space="preserve"> in order to fairly dispose of the anticipated proceedings, assist the dispute to be resolved without proceedings or save costs</w:t>
      </w:r>
      <w:r w:rsidR="00891466">
        <w:t>, Mr Connolly submits that</w:t>
      </w:r>
      <w:r w:rsidR="00F23779">
        <w:t>, at</w:t>
      </w:r>
      <w:r w:rsidR="00891466">
        <w:t xml:space="preserve"> the jurisdictional stage, the Court is concerned with the question of whether there is a real prospect in principle of </w:t>
      </w:r>
      <w:r w:rsidR="005E5B2D">
        <w:t xml:space="preserve">at least </w:t>
      </w:r>
      <w:r w:rsidR="00891466">
        <w:t xml:space="preserve">one of the three disjunctive limbs </w:t>
      </w:r>
      <w:r w:rsidR="005E5B2D">
        <w:t>of CPR 31.16(3)(d</w:t>
      </w:r>
      <w:r w:rsidR="00D94F07">
        <w:t xml:space="preserve">) </w:t>
      </w:r>
      <w:r w:rsidR="00891466">
        <w:t>being satisfied</w:t>
      </w:r>
      <w:r w:rsidR="00C943C3">
        <w:t xml:space="preserve"> – see </w:t>
      </w:r>
      <w:r w:rsidR="001E62F9" w:rsidRPr="00FF6D7F">
        <w:rPr>
          <w:i/>
          <w:iCs/>
        </w:rPr>
        <w:t xml:space="preserve">Black v Sumitomo </w:t>
      </w:r>
      <w:r w:rsidR="001E62F9" w:rsidRPr="001E62F9">
        <w:rPr>
          <w:i/>
          <w:iCs/>
        </w:rPr>
        <w:t>Corporation</w:t>
      </w:r>
      <w:r w:rsidR="001E62F9">
        <w:t xml:space="preserve"> at </w:t>
      </w:r>
      <w:r w:rsidR="006B4926">
        <w:t>[81]. Mr Connolly refers to the fact that</w:t>
      </w:r>
      <w:r w:rsidR="00276793">
        <w:t xml:space="preserve"> Mr Dunn addresses each limb in Dunn 1 at paragraph 47(iii)</w:t>
      </w:r>
      <w:r w:rsidR="00A632B0">
        <w:t xml:space="preserve"> and submits that Mr Dunn has thereby</w:t>
      </w:r>
      <w:r w:rsidR="00D75076">
        <w:t xml:space="preserve"> demonstrated that there is a real prospect in principle of each limb being satisfied as follows:</w:t>
      </w:r>
    </w:p>
    <w:p w14:paraId="2E490AE9" w14:textId="4D810942" w:rsidR="00634EBC" w:rsidRDefault="00D75076" w:rsidP="001846CE">
      <w:pPr>
        <w:pStyle w:val="ParaLevel2"/>
      </w:pPr>
      <w:r w:rsidRPr="00D75076">
        <w:rPr>
          <w:i/>
          <w:iCs/>
        </w:rPr>
        <w:t>Fair Disposal</w:t>
      </w:r>
      <w:r w:rsidRPr="00D75076">
        <w:t xml:space="preserve"> – at present, all relevant data is within the control of T</w:t>
      </w:r>
      <w:r>
        <w:t>f</w:t>
      </w:r>
      <w:r w:rsidRPr="00D75076">
        <w:t xml:space="preserve">WM, but </w:t>
      </w:r>
      <w:r w:rsidR="00862E9A">
        <w:t xml:space="preserve">is reasonably </w:t>
      </w:r>
      <w:r w:rsidRPr="00D75076">
        <w:t xml:space="preserve">readily available for disclosure. Provision of that data will not only allow </w:t>
      </w:r>
      <w:r w:rsidR="00862E9A">
        <w:t>Diamond t</w:t>
      </w:r>
      <w:r w:rsidRPr="00D75076">
        <w:t xml:space="preserve">o put its case on a certain rather than estimated basis, but it will serve to establish </w:t>
      </w:r>
      <w:proofErr w:type="gramStart"/>
      <w:r w:rsidRPr="00D75076">
        <w:t>whether or not</w:t>
      </w:r>
      <w:proofErr w:type="gramEnd"/>
      <w:r w:rsidRPr="00D75076">
        <w:t xml:space="preserve"> </w:t>
      </w:r>
      <w:r w:rsidR="00312B7D">
        <w:t xml:space="preserve">Diamond’s </w:t>
      </w:r>
      <w:r w:rsidRPr="00D75076">
        <w:t>case is well founded in whole or in part.</w:t>
      </w:r>
    </w:p>
    <w:p w14:paraId="14C4489C" w14:textId="09406B89" w:rsidR="000A7CE0" w:rsidRDefault="00977436" w:rsidP="001846CE">
      <w:pPr>
        <w:pStyle w:val="ParaLevel2"/>
      </w:pPr>
      <w:r w:rsidRPr="00977436">
        <w:rPr>
          <w:i/>
          <w:iCs/>
        </w:rPr>
        <w:t>Assist Resolution without Proceedings</w:t>
      </w:r>
      <w:r w:rsidRPr="00977436">
        <w:t xml:space="preserve"> – the provision of that data and the re-casting of the </w:t>
      </w:r>
      <w:r w:rsidR="00111FF1">
        <w:t>Look-up</w:t>
      </w:r>
      <w:r w:rsidRPr="00977436">
        <w:t xml:space="preserve"> table is likely</w:t>
      </w:r>
      <w:r w:rsidR="00353AB7">
        <w:t>, it is submitted,</w:t>
      </w:r>
      <w:r w:rsidRPr="00977436">
        <w:t xml:space="preserve"> to avoid the need for the Fares Foregone Claim to be litigated in that it will likely achieve one of three </w:t>
      </w:r>
      <w:r w:rsidR="000A7CE0">
        <w:t xml:space="preserve">outcomes referred to in paragraph 26 above. </w:t>
      </w:r>
    </w:p>
    <w:p w14:paraId="28449352" w14:textId="23F6CBA2" w:rsidR="004905B1" w:rsidRDefault="004905B1" w:rsidP="001846CE">
      <w:pPr>
        <w:pStyle w:val="ParaLevel2"/>
      </w:pPr>
      <w:r w:rsidRPr="004905B1">
        <w:rPr>
          <w:i/>
          <w:iCs/>
        </w:rPr>
        <w:t>Save costs</w:t>
      </w:r>
      <w:r w:rsidRPr="004905B1">
        <w:t xml:space="preserve"> – the provision of the data, in addition to avoiding the need for later and costly amendment of the claim, will</w:t>
      </w:r>
      <w:r w:rsidR="00074EF5">
        <w:t>, it is submitted</w:t>
      </w:r>
      <w:r>
        <w:t xml:space="preserve">, </w:t>
      </w:r>
      <w:r w:rsidRPr="004905B1">
        <w:t xml:space="preserve"> serve to clarify and to narrow </w:t>
      </w:r>
      <w:r w:rsidR="00074EF5">
        <w:t>Diamond’s c</w:t>
      </w:r>
      <w:r w:rsidRPr="004905B1">
        <w:t>ase and/or avoid the need and the cost of the claim needing to be litigated at all</w:t>
      </w:r>
      <w:r w:rsidR="00074EF5">
        <w:t xml:space="preserve"> – cf. </w:t>
      </w:r>
      <w:r w:rsidRPr="002327A2">
        <w:rPr>
          <w:i/>
          <w:iCs/>
        </w:rPr>
        <w:t>Carillion plc (In Liquidation) v KPMG LLP</w:t>
      </w:r>
      <w:r w:rsidRPr="004905B1">
        <w:t xml:space="preserve"> [2020] EWHC 1416 (Comm) at </w:t>
      </w:r>
      <w:r w:rsidR="002327A2">
        <w:t xml:space="preserve">[76]. </w:t>
      </w:r>
    </w:p>
    <w:p w14:paraId="4B9BF0B1" w14:textId="77777777" w:rsidR="001E6E8D" w:rsidRDefault="001E6E8D" w:rsidP="001846CE">
      <w:pPr>
        <w:pStyle w:val="ParaLevel1"/>
        <w:numPr>
          <w:ilvl w:val="0"/>
          <w:numId w:val="0"/>
        </w:numPr>
        <w:ind w:left="720" w:hanging="720"/>
        <w:rPr>
          <w:b/>
          <w:bCs/>
        </w:rPr>
      </w:pPr>
      <w:bookmarkStart w:id="10" w:name="G2"/>
    </w:p>
    <w:p w14:paraId="60CEE943" w14:textId="77777777" w:rsidR="001E6E8D" w:rsidRDefault="001E6E8D" w:rsidP="001846CE">
      <w:pPr>
        <w:pStyle w:val="ParaLevel1"/>
        <w:numPr>
          <w:ilvl w:val="0"/>
          <w:numId w:val="0"/>
        </w:numPr>
        <w:ind w:left="720" w:hanging="720"/>
        <w:rPr>
          <w:b/>
          <w:bCs/>
        </w:rPr>
      </w:pPr>
    </w:p>
    <w:p w14:paraId="55934633" w14:textId="386DA139" w:rsidR="00AF164E" w:rsidRPr="00AF164E" w:rsidRDefault="00AF164E" w:rsidP="001846CE">
      <w:pPr>
        <w:pStyle w:val="ParaLevel1"/>
        <w:numPr>
          <w:ilvl w:val="0"/>
          <w:numId w:val="0"/>
        </w:numPr>
        <w:ind w:left="720" w:hanging="720"/>
        <w:rPr>
          <w:b/>
          <w:bCs/>
        </w:rPr>
      </w:pPr>
      <w:r>
        <w:rPr>
          <w:b/>
          <w:bCs/>
        </w:rPr>
        <w:lastRenderedPageBreak/>
        <w:t>Discretion</w:t>
      </w:r>
    </w:p>
    <w:bookmarkEnd w:id="10"/>
    <w:p w14:paraId="364F952A" w14:textId="5AD88B56" w:rsidR="00AF164E" w:rsidRDefault="007E6174" w:rsidP="001846CE">
      <w:pPr>
        <w:pStyle w:val="ParaLevel1"/>
      </w:pPr>
      <w:r>
        <w:t>Mr Connolly submits on behalf of Diamond that t</w:t>
      </w:r>
      <w:r w:rsidR="009D671E" w:rsidRPr="009D671E">
        <w:t xml:space="preserve">he discretion is not confined and depends upon </w:t>
      </w:r>
      <w:r w:rsidR="00171461" w:rsidRPr="009D671E">
        <w:t>all</w:t>
      </w:r>
      <w:r w:rsidR="009D671E" w:rsidRPr="009D671E">
        <w:t xml:space="preserve"> the facts of the case. </w:t>
      </w:r>
      <w:r w:rsidR="00171461">
        <w:t xml:space="preserve">Mr Connolly refers to </w:t>
      </w:r>
      <w:r w:rsidR="009D671E" w:rsidRPr="009D671E">
        <w:t xml:space="preserve">Rix LJ in </w:t>
      </w:r>
      <w:r w:rsidR="00171461" w:rsidRPr="00171461">
        <w:rPr>
          <w:i/>
          <w:iCs/>
        </w:rPr>
        <w:t xml:space="preserve">Black v </w:t>
      </w:r>
      <w:r w:rsidR="009D671E" w:rsidRPr="00171461">
        <w:rPr>
          <w:i/>
          <w:iCs/>
        </w:rPr>
        <w:t>Sumitomo</w:t>
      </w:r>
      <w:r w:rsidR="00171461" w:rsidRPr="00171461">
        <w:rPr>
          <w:i/>
          <w:iCs/>
        </w:rPr>
        <w:t xml:space="preserve"> Corporation</w:t>
      </w:r>
      <w:r w:rsidR="00171461">
        <w:rPr>
          <w:b/>
          <w:bCs/>
          <w:i/>
          <w:iCs/>
        </w:rPr>
        <w:t xml:space="preserve"> </w:t>
      </w:r>
      <w:r w:rsidR="00171461" w:rsidRPr="004E4AD6">
        <w:t>at [88] having identified</w:t>
      </w:r>
      <w:r w:rsidR="009D671E" w:rsidRPr="009D671E">
        <w:t xml:space="preserve"> five “</w:t>
      </w:r>
      <w:r w:rsidR="009D671E" w:rsidRPr="009D671E">
        <w:rPr>
          <w:i/>
          <w:iCs/>
        </w:rPr>
        <w:t>important considerations</w:t>
      </w:r>
      <w:r w:rsidR="009D671E" w:rsidRPr="009D671E">
        <w:t>”, namely</w:t>
      </w:r>
      <w:r w:rsidR="004E4AD6">
        <w:t>:</w:t>
      </w:r>
      <w:r w:rsidR="009D671E" w:rsidRPr="009D671E">
        <w:t xml:space="preserve"> (1) the nature of the injury or loss complained of; (2) the clarity and identification of the issues raised in the complaint; (3) the nature of the documents requested; (4) the relevance of any protocol or pre-action inquiries; and (5) the opportunity that the Claimant </w:t>
      </w:r>
      <w:proofErr w:type="gramStart"/>
      <w:r w:rsidR="009D671E" w:rsidRPr="009D671E">
        <w:t>has to</w:t>
      </w:r>
      <w:proofErr w:type="gramEnd"/>
      <w:r w:rsidR="009D671E" w:rsidRPr="009D671E">
        <w:t xml:space="preserve"> make his case without pre-action disclosure. </w:t>
      </w:r>
    </w:p>
    <w:p w14:paraId="32E69005" w14:textId="46CED670" w:rsidR="0001086E" w:rsidRDefault="003C408A" w:rsidP="001846CE">
      <w:pPr>
        <w:pStyle w:val="ParaLevel1"/>
      </w:pPr>
      <w:r w:rsidRPr="003C408A">
        <w:t>As to (1) (</w:t>
      </w:r>
      <w:r w:rsidRPr="003C408A">
        <w:rPr>
          <w:i/>
          <w:iCs/>
        </w:rPr>
        <w:t>nature of loss</w:t>
      </w:r>
      <w:r w:rsidRPr="003C408A">
        <w:t xml:space="preserve">) – it is </w:t>
      </w:r>
      <w:r>
        <w:t>Diamond</w:t>
      </w:r>
      <w:r w:rsidR="009720A7">
        <w:t>’</w:t>
      </w:r>
      <w:r>
        <w:t xml:space="preserve">s </w:t>
      </w:r>
      <w:r w:rsidRPr="003C408A">
        <w:t>case that it has been substantially undercompensated by T</w:t>
      </w:r>
      <w:r w:rsidR="009720A7">
        <w:t>f</w:t>
      </w:r>
      <w:r w:rsidRPr="003C408A">
        <w:t xml:space="preserve">WM under the Arrangements for fares that it has foregone by reason of its provision of concessionary travel. On the </w:t>
      </w:r>
      <w:r w:rsidR="002A0727">
        <w:t>ba</w:t>
      </w:r>
      <w:r w:rsidR="00027271">
        <w:t>s</w:t>
      </w:r>
      <w:r w:rsidR="002A0727">
        <w:t>is</w:t>
      </w:r>
      <w:r w:rsidR="00027271">
        <w:t xml:space="preserve"> of </w:t>
      </w:r>
      <w:r w:rsidR="002A0727">
        <w:t xml:space="preserve"> </w:t>
      </w:r>
      <w:r w:rsidR="00A17F78">
        <w:t>Diamond</w:t>
      </w:r>
      <w:r w:rsidR="00027271">
        <w:t xml:space="preserve">’s </w:t>
      </w:r>
      <w:r w:rsidR="00111FF1">
        <w:t>Look-up</w:t>
      </w:r>
      <w:r w:rsidRPr="003C408A">
        <w:t xml:space="preserve"> table</w:t>
      </w:r>
      <w:r w:rsidR="00027271">
        <w:t xml:space="preserve"> as currently prepared</w:t>
      </w:r>
      <w:r w:rsidRPr="003C408A">
        <w:t>, the quantum of the claim is of the order of £1.104</w:t>
      </w:r>
      <w:r w:rsidR="00A17F78">
        <w:t>m</w:t>
      </w:r>
      <w:r w:rsidR="0001086E">
        <w:t>, although Diamond recognises that this may be overstated for the reasons identified above</w:t>
      </w:r>
      <w:r w:rsidR="00711F5B">
        <w:t>, i.e</w:t>
      </w:r>
      <w:r w:rsidR="0001086E">
        <w:t>.</w:t>
      </w:r>
      <w:r w:rsidR="0016706E">
        <w:t>, when the Cross-Operator Issue is factored in.</w:t>
      </w:r>
    </w:p>
    <w:p w14:paraId="2A77402F" w14:textId="40F80324" w:rsidR="006A3260" w:rsidRDefault="006A3260" w:rsidP="001846CE">
      <w:pPr>
        <w:pStyle w:val="ParaLevel1"/>
      </w:pPr>
      <w:r w:rsidRPr="006A3260">
        <w:t>As to (2) (</w:t>
      </w:r>
      <w:r w:rsidRPr="006A3260">
        <w:rPr>
          <w:i/>
          <w:iCs/>
        </w:rPr>
        <w:t>clarity and identification of the issues</w:t>
      </w:r>
      <w:r w:rsidRPr="006A3260">
        <w:t xml:space="preserve">) – </w:t>
      </w:r>
      <w:r w:rsidR="0082429C">
        <w:t xml:space="preserve">Mr Connolly submits that </w:t>
      </w:r>
      <w:r w:rsidRPr="006A3260">
        <w:t xml:space="preserve">the issues have been identified and </w:t>
      </w:r>
      <w:r w:rsidR="0082429C">
        <w:t xml:space="preserve">that </w:t>
      </w:r>
      <w:r w:rsidRPr="006A3260">
        <w:t xml:space="preserve">there is a high degree of clarity as to those issues – i.e. the </w:t>
      </w:r>
      <w:r w:rsidR="00111FF1">
        <w:t>Look-up</w:t>
      </w:r>
      <w:r w:rsidRPr="006A3260">
        <w:t xml:space="preserve"> table used by T</w:t>
      </w:r>
      <w:r w:rsidR="0082429C">
        <w:t>f</w:t>
      </w:r>
      <w:r w:rsidRPr="006A3260">
        <w:t>WM</w:t>
      </w:r>
      <w:r w:rsidR="00E857F4">
        <w:t>, on Diamond’s case,</w:t>
      </w:r>
      <w:r w:rsidRPr="006A3260">
        <w:t xml:space="preserve"> skews and undercalculates the </w:t>
      </w:r>
      <w:bookmarkStart w:id="11" w:name="_Hlk142649627"/>
      <w:r w:rsidR="00123C3A">
        <w:t>Revenue F</w:t>
      </w:r>
      <w:r w:rsidRPr="006A3260">
        <w:t>oregone</w:t>
      </w:r>
      <w:bookmarkEnd w:id="11"/>
      <w:r w:rsidRPr="006A3260">
        <w:t xml:space="preserve"> by </w:t>
      </w:r>
      <w:r w:rsidR="00E857F4">
        <w:t>Diamond</w:t>
      </w:r>
      <w:r w:rsidRPr="006A3260">
        <w:t xml:space="preserve"> under the Arrangements</w:t>
      </w:r>
      <w:r w:rsidR="00E857F4">
        <w:t xml:space="preserve">, </w:t>
      </w:r>
      <w:r w:rsidR="006A6D6A">
        <w:t xml:space="preserve">whilst </w:t>
      </w:r>
      <w:r w:rsidR="00E857F4">
        <w:t xml:space="preserve">the Diamond </w:t>
      </w:r>
      <w:r w:rsidR="00111FF1">
        <w:t>Look-up</w:t>
      </w:r>
      <w:r w:rsidRPr="006A3260">
        <w:t xml:space="preserve"> table </w:t>
      </w:r>
      <w:r w:rsidR="006A6D6A">
        <w:t xml:space="preserve">may </w:t>
      </w:r>
      <w:r w:rsidR="00D15072">
        <w:t xml:space="preserve">very well </w:t>
      </w:r>
      <w:r w:rsidRPr="006A3260">
        <w:t xml:space="preserve">overstate the </w:t>
      </w:r>
      <w:r w:rsidR="006D38F7" w:rsidRPr="006D38F7">
        <w:t xml:space="preserve">Revenue Foregone </w:t>
      </w:r>
      <w:r w:rsidRPr="006A3260">
        <w:t>by D</w:t>
      </w:r>
      <w:r w:rsidR="00E857F4">
        <w:t xml:space="preserve">iamond </w:t>
      </w:r>
      <w:r w:rsidR="004A27E5">
        <w:t>u</w:t>
      </w:r>
      <w:r w:rsidRPr="006A3260">
        <w:t>nder the Arrangements</w:t>
      </w:r>
      <w:r w:rsidR="00E5787C">
        <w:t xml:space="preserve"> on</w:t>
      </w:r>
      <w:r w:rsidR="00D15072">
        <w:t>c</w:t>
      </w:r>
      <w:r w:rsidR="00E5787C">
        <w:t xml:space="preserve">e the Cross-Operator Issue is factored in. It </w:t>
      </w:r>
      <w:r w:rsidRPr="006A3260">
        <w:t>is</w:t>
      </w:r>
      <w:r w:rsidR="004A27E5">
        <w:t>, says Diamond,</w:t>
      </w:r>
      <w:r w:rsidRPr="006A3260">
        <w:t xml:space="preserve"> only through the provision of the data sought that both </w:t>
      </w:r>
      <w:r w:rsidR="004A27E5">
        <w:t>Diamond and TfWM will</w:t>
      </w:r>
      <w:r w:rsidRPr="006A3260">
        <w:t xml:space="preserve"> be able to establish what the true level of </w:t>
      </w:r>
      <w:r w:rsidR="00123C3A" w:rsidRPr="00123C3A">
        <w:t xml:space="preserve">Revenue Foregone </w:t>
      </w:r>
      <w:r w:rsidRPr="006A3260">
        <w:t xml:space="preserve">by </w:t>
      </w:r>
      <w:r w:rsidR="004A27E5">
        <w:t xml:space="preserve">Diamond </w:t>
      </w:r>
      <w:r w:rsidRPr="006A3260">
        <w:t xml:space="preserve">under the Arrangements </w:t>
      </w:r>
      <w:proofErr w:type="gramStart"/>
      <w:r w:rsidRPr="006A3260">
        <w:t>actually is</w:t>
      </w:r>
      <w:proofErr w:type="gramEnd"/>
      <w:r w:rsidRPr="006A3260">
        <w:t>.</w:t>
      </w:r>
    </w:p>
    <w:p w14:paraId="19535332" w14:textId="19255251" w:rsidR="004A27E5" w:rsidRDefault="00E91AF7" w:rsidP="001846CE">
      <w:pPr>
        <w:pStyle w:val="ParaLevel1"/>
      </w:pPr>
      <w:r w:rsidRPr="00E91AF7">
        <w:t>As to (3) (</w:t>
      </w:r>
      <w:r w:rsidRPr="00E91AF7">
        <w:rPr>
          <w:i/>
          <w:iCs/>
        </w:rPr>
        <w:t>nature of the documents</w:t>
      </w:r>
      <w:r w:rsidRPr="00E91AF7">
        <w:t xml:space="preserve">) – </w:t>
      </w:r>
      <w:r>
        <w:t xml:space="preserve">Mr Connolly submits </w:t>
      </w:r>
      <w:r w:rsidRPr="00E91AF7">
        <w:t xml:space="preserve">there is no ambiguity as to the data that is sought by </w:t>
      </w:r>
      <w:r>
        <w:t>Diamond o</w:t>
      </w:r>
      <w:r w:rsidRPr="00E91AF7">
        <w:t>r as to T</w:t>
      </w:r>
      <w:r>
        <w:t>f</w:t>
      </w:r>
      <w:r w:rsidRPr="00E91AF7">
        <w:t>WM’s ability to provide that data within a reasonable time frame and via a single report</w:t>
      </w:r>
      <w:r>
        <w:t xml:space="preserve">, reliance being placed upon </w:t>
      </w:r>
      <w:r w:rsidR="00AC4874">
        <w:t>Dunn 1, paragr</w:t>
      </w:r>
      <w:r w:rsidR="004B41F9">
        <w:t>a</w:t>
      </w:r>
      <w:r w:rsidR="00AC4874">
        <w:t xml:space="preserve">phs </w:t>
      </w:r>
      <w:r w:rsidR="004B41F9">
        <w:t>32 and 33, and paragraphs 46 and 47 of Mr Lewis’s witness statement, referred to in paragraph 31 above.</w:t>
      </w:r>
    </w:p>
    <w:p w14:paraId="39808702" w14:textId="5AFA8962" w:rsidR="00D86162" w:rsidRDefault="00F47993" w:rsidP="001846CE">
      <w:pPr>
        <w:pStyle w:val="ParaLevel1"/>
      </w:pPr>
      <w:r>
        <w:t xml:space="preserve">As referred to below, </w:t>
      </w:r>
      <w:r w:rsidR="00197EA3">
        <w:t xml:space="preserve">one of the </w:t>
      </w:r>
      <w:r>
        <w:t>objection</w:t>
      </w:r>
      <w:r w:rsidR="00197EA3">
        <w:t>s</w:t>
      </w:r>
      <w:r>
        <w:t xml:space="preserve"> taken by TfWM to the Application</w:t>
      </w:r>
      <w:r w:rsidR="000159D1">
        <w:t xml:space="preserve"> is that the data in question is confidential as it includes data regarding the operation of other bus operators. However, Mr Connolly </w:t>
      </w:r>
      <w:r w:rsidR="00CC1B23">
        <w:t xml:space="preserve">maintains that there is an inconsistency between this objection, and the fact that TfWM has offered to disclose </w:t>
      </w:r>
      <w:r w:rsidR="00D31B81">
        <w:t xml:space="preserve">relevant </w:t>
      </w:r>
      <w:r w:rsidR="00CC1B23">
        <w:t>data to Diamond</w:t>
      </w:r>
      <w:r w:rsidR="0010339E">
        <w:t xml:space="preserve"> as part of an expert determination – see paragraph 33 of </w:t>
      </w:r>
      <w:r w:rsidR="004C775D">
        <w:t>AG</w:t>
      </w:r>
      <w:r w:rsidR="0010339E">
        <w:t xml:space="preserve">’s letter dated </w:t>
      </w:r>
      <w:r w:rsidR="00D86162">
        <w:t xml:space="preserve">17 November 2021, </w:t>
      </w:r>
      <w:r w:rsidR="007B38C6">
        <w:t xml:space="preserve">and </w:t>
      </w:r>
      <w:r w:rsidR="00D86162">
        <w:t>paragraph 65 of Mr Lewis’s witness statement.</w:t>
      </w:r>
    </w:p>
    <w:p w14:paraId="4309D1CB" w14:textId="77777777" w:rsidR="00092C8F" w:rsidRDefault="00D86162" w:rsidP="001846CE">
      <w:pPr>
        <w:pStyle w:val="ParaLevel1"/>
      </w:pPr>
      <w:r>
        <w:t>Further,</w:t>
      </w:r>
      <w:r w:rsidR="00092C8F">
        <w:t xml:space="preserve"> as to this confidentiality point, Connolly makes the points that:</w:t>
      </w:r>
    </w:p>
    <w:p w14:paraId="5588B2F1" w14:textId="2C3E535D" w:rsidR="0081113E" w:rsidRDefault="007323D1" w:rsidP="001846CE">
      <w:pPr>
        <w:pStyle w:val="ParaLevel2"/>
      </w:pPr>
      <w:r>
        <w:t>Diamond, itself,</w:t>
      </w:r>
      <w:r w:rsidRPr="007323D1">
        <w:rPr>
          <w:color w:val="000000"/>
          <w:sz w:val="23"/>
          <w:szCs w:val="23"/>
          <w:lang w:eastAsia="en-GB"/>
        </w:rPr>
        <w:t xml:space="preserve"> </w:t>
      </w:r>
      <w:r w:rsidRPr="007323D1">
        <w:t xml:space="preserve">has no need to see the data and is content for disclosure to be limited to its experts (Oxera) and its advisor (Phinancial Consulting) and legal advisors solely for the purposes of compiling a </w:t>
      </w:r>
      <w:r w:rsidR="00111FF1">
        <w:t>Look-up</w:t>
      </w:r>
      <w:r w:rsidRPr="007323D1">
        <w:t xml:space="preserve"> table and thereafter reformulating and, if needed, </w:t>
      </w:r>
      <w:r w:rsidR="009A0109">
        <w:t xml:space="preserve">pursuing </w:t>
      </w:r>
      <w:r w:rsidRPr="007323D1">
        <w:t>its claim</w:t>
      </w:r>
      <w:r w:rsidR="00BC68C4">
        <w:t>,</w:t>
      </w:r>
      <w:r w:rsidR="008D146E">
        <w:t xml:space="preserve"> in circumstances in which both</w:t>
      </w:r>
      <w:r w:rsidRPr="007323D1">
        <w:t xml:space="preserve"> Oxera and Phinancial Consulting have offered express confidentiality undertakings to the Court</w:t>
      </w:r>
      <w:r w:rsidR="008D146E">
        <w:t>.</w:t>
      </w:r>
    </w:p>
    <w:p w14:paraId="06E7FF9C" w14:textId="051EFE4F" w:rsidR="00BC68C4" w:rsidRDefault="007B625D" w:rsidP="001846CE">
      <w:pPr>
        <w:pStyle w:val="ParaLevel2"/>
      </w:pPr>
      <w:r w:rsidRPr="007B625D">
        <w:t xml:space="preserve">For the reasons given </w:t>
      </w:r>
      <w:r>
        <w:t xml:space="preserve">in Dunn 2, </w:t>
      </w:r>
      <w:r w:rsidRPr="007B625D">
        <w:t>paragraph 17</w:t>
      </w:r>
      <w:r>
        <w:t xml:space="preserve">, </w:t>
      </w:r>
      <w:r w:rsidRPr="007B625D">
        <w:t xml:space="preserve">(particularly sub-paragraph </w:t>
      </w:r>
      <w:r>
        <w:t>17(</w:t>
      </w:r>
      <w:r w:rsidRPr="007B625D">
        <w:t>v)), no collateral benefit could be obtained from the data in any event</w:t>
      </w:r>
      <w:r w:rsidR="009872C1">
        <w:t>.</w:t>
      </w:r>
    </w:p>
    <w:p w14:paraId="01047823" w14:textId="678DD595" w:rsidR="009872C1" w:rsidRDefault="009872C1" w:rsidP="001846CE">
      <w:pPr>
        <w:pStyle w:val="ParaLevel2"/>
      </w:pPr>
      <w:r w:rsidRPr="009872C1">
        <w:lastRenderedPageBreak/>
        <w:t>Any disclosure would be provided with the benefit and protection of an Order of the Court in any event.</w:t>
      </w:r>
    </w:p>
    <w:p w14:paraId="2315E5CC" w14:textId="120A8CA5" w:rsidR="009872C1" w:rsidRDefault="00504A70" w:rsidP="001846CE">
      <w:pPr>
        <w:pStyle w:val="ParaLevel1"/>
      </w:pPr>
      <w:r w:rsidRPr="00504A70">
        <w:t>As to (4) (</w:t>
      </w:r>
      <w:r w:rsidRPr="00504A70">
        <w:rPr>
          <w:i/>
          <w:iCs/>
        </w:rPr>
        <w:t>protocol and pre-action enquiries</w:t>
      </w:r>
      <w:r w:rsidRPr="00504A70">
        <w:t xml:space="preserve">) – </w:t>
      </w:r>
      <w:r w:rsidR="002F2C73">
        <w:t xml:space="preserve">Mr Connolly submits that </w:t>
      </w:r>
      <w:r w:rsidRPr="00504A70">
        <w:t>the parties have engaged on a pre-action protocol and</w:t>
      </w:r>
      <w:r w:rsidR="002F2C73">
        <w:t xml:space="preserve"> he points out that </w:t>
      </w:r>
      <w:r w:rsidRPr="00504A70">
        <w:t xml:space="preserve">there has been an unsuccessful mediation. </w:t>
      </w:r>
      <w:r w:rsidR="00E00FEF">
        <w:t xml:space="preserve">He submits that, </w:t>
      </w:r>
      <w:proofErr w:type="gramStart"/>
      <w:r w:rsidR="00E00FEF">
        <w:t>in</w:t>
      </w:r>
      <w:r w:rsidRPr="00504A70">
        <w:t xml:space="preserve"> light of</w:t>
      </w:r>
      <w:proofErr w:type="gramEnd"/>
      <w:r w:rsidRPr="00504A70">
        <w:t xml:space="preserve"> T</w:t>
      </w:r>
      <w:r w:rsidR="00E00FEF">
        <w:t>f</w:t>
      </w:r>
      <w:r w:rsidRPr="00504A70">
        <w:t>WM’s refusal to provide the data sought voluntarily, the Fares Foregone Claim is, in effect, now stymied unless and until the data sought is provided.</w:t>
      </w:r>
    </w:p>
    <w:p w14:paraId="6F8CC843" w14:textId="03440164" w:rsidR="00E00FEF" w:rsidRDefault="001858EE" w:rsidP="001846CE">
      <w:pPr>
        <w:pStyle w:val="ParaLevel1"/>
      </w:pPr>
      <w:r>
        <w:t>As to (5) (</w:t>
      </w:r>
      <w:r w:rsidRPr="002E4323">
        <w:rPr>
          <w:i/>
          <w:iCs/>
        </w:rPr>
        <w:t>opportunity to make claim without disclosure</w:t>
      </w:r>
      <w:r>
        <w:t xml:space="preserve">) – </w:t>
      </w:r>
      <w:r w:rsidR="00983716">
        <w:t xml:space="preserve">Diamond seeks to make the </w:t>
      </w:r>
      <w:r>
        <w:t xml:space="preserve">short point that it cannot </w:t>
      </w:r>
      <w:r w:rsidR="00E54434">
        <w:t xml:space="preserve">realistically </w:t>
      </w:r>
      <w:r>
        <w:t>make its claim without the disclosure.</w:t>
      </w:r>
      <w:r w:rsidR="00983716">
        <w:t xml:space="preserve"> It says that,</w:t>
      </w:r>
      <w:r w:rsidR="006276EB">
        <w:t xml:space="preserve"> at</w:t>
      </w:r>
      <w:r>
        <w:t xml:space="preserve"> best, it </w:t>
      </w:r>
      <w:proofErr w:type="gramStart"/>
      <w:r>
        <w:t>is able to</w:t>
      </w:r>
      <w:proofErr w:type="gramEnd"/>
      <w:r>
        <w:t xml:space="preserve"> put </w:t>
      </w:r>
      <w:r w:rsidR="006276EB">
        <w:t xml:space="preserve">forward </w:t>
      </w:r>
      <w:r>
        <w:t xml:space="preserve">a case based on an incomplete </w:t>
      </w:r>
      <w:r w:rsidR="006276EB">
        <w:t xml:space="preserve">Diamond </w:t>
      </w:r>
      <w:r>
        <w:t xml:space="preserve">only </w:t>
      </w:r>
      <w:r w:rsidR="00111FF1">
        <w:t>Look-up</w:t>
      </w:r>
      <w:r>
        <w:t xml:space="preserve"> table</w:t>
      </w:r>
      <w:r w:rsidR="00A16E0D">
        <w:t xml:space="preserve"> in circumstances in which it acknowledges, itself,</w:t>
      </w:r>
      <w:r>
        <w:t xml:space="preserve"> the likelihood is that the </w:t>
      </w:r>
      <w:r w:rsidR="00A16E0D">
        <w:t xml:space="preserve">Diamond </w:t>
      </w:r>
      <w:r>
        <w:t xml:space="preserve">only </w:t>
      </w:r>
      <w:r w:rsidR="00111FF1">
        <w:t>Look-up</w:t>
      </w:r>
      <w:r>
        <w:t xml:space="preserve"> table will be overstated</w:t>
      </w:r>
      <w:r w:rsidR="00D52320">
        <w:t>. On behalf of Diamond, Mr Connolly submits that the</w:t>
      </w:r>
      <w:r>
        <w:t xml:space="preserve"> data sought will allow an accurate </w:t>
      </w:r>
      <w:r w:rsidR="00111FF1">
        <w:t>Look-up</w:t>
      </w:r>
      <w:r>
        <w:t xml:space="preserve"> table based on the actual travel habits of its passengers to be generated and for an actual and accurate claim to be formulated. </w:t>
      </w:r>
      <w:r w:rsidR="00DB3B48">
        <w:t xml:space="preserve">He submits that an accurate </w:t>
      </w:r>
      <w:r w:rsidR="00111FF1">
        <w:t>Look-up</w:t>
      </w:r>
      <w:r w:rsidR="00DB3B48">
        <w:t xml:space="preserve"> table </w:t>
      </w:r>
      <w:r w:rsidR="00655869">
        <w:t xml:space="preserve">prepared with the benefit of the data requested </w:t>
      </w:r>
      <w:r w:rsidR="00DB3B48">
        <w:t xml:space="preserve">will achieve one of the three outcomes </w:t>
      </w:r>
      <w:r w:rsidR="004C527C">
        <w:t>referred to in paragraph 26 above.</w:t>
      </w:r>
    </w:p>
    <w:p w14:paraId="26DF2EFE" w14:textId="120166F3" w:rsidR="0041304F" w:rsidRDefault="0041304F" w:rsidP="001846CE">
      <w:pPr>
        <w:pStyle w:val="ParaLevel1"/>
      </w:pPr>
      <w:r>
        <w:t>Mr Connolly recognises that TfWM</w:t>
      </w:r>
      <w:r w:rsidR="00C8565C">
        <w:t>, apart from contending that the jurisdictional threshold under CPR 31.16</w:t>
      </w:r>
      <w:r w:rsidR="00C4515D">
        <w:t>(3) is not satisfied</w:t>
      </w:r>
      <w:r w:rsidR="00F222CB">
        <w:t xml:space="preserve"> </w:t>
      </w:r>
      <w:proofErr w:type="gramStart"/>
      <w:r w:rsidR="00F222CB">
        <w:t xml:space="preserve">and </w:t>
      </w:r>
      <w:r w:rsidR="009E6A2B">
        <w:t>also</w:t>
      </w:r>
      <w:proofErr w:type="gramEnd"/>
      <w:r w:rsidR="009E6A2B">
        <w:t xml:space="preserve"> </w:t>
      </w:r>
      <w:r w:rsidR="00C4515D">
        <w:t>raising the confidentiality issue referred to above, objects to the Application on a number of</w:t>
      </w:r>
      <w:r w:rsidR="00C54DB3">
        <w:t xml:space="preserve"> further grounds</w:t>
      </w:r>
      <w:r w:rsidR="002E79C9">
        <w:t xml:space="preserve">. </w:t>
      </w:r>
      <w:r w:rsidR="001C2D55">
        <w:t>I will deal with Mr Connolly’s submissions</w:t>
      </w:r>
      <w:r w:rsidR="00DF33B4">
        <w:t xml:space="preserve"> on these further objections having dealt with TfWM’s </w:t>
      </w:r>
      <w:r w:rsidR="001350B9">
        <w:t xml:space="preserve">case on them below. However, Mr Connolly submits that they do not provide a sound basis for </w:t>
      </w:r>
      <w:r w:rsidR="007D3739">
        <w:t xml:space="preserve">the Court to exercise its discretion by </w:t>
      </w:r>
      <w:r w:rsidR="001350B9">
        <w:t>refusing the Application</w:t>
      </w:r>
      <w:r w:rsidR="0091280D">
        <w:t xml:space="preserve"> and that, in all the circumstances</w:t>
      </w:r>
      <w:r w:rsidR="00B105DD">
        <w:t xml:space="preserve"> the Court ought to exercise its discretion by granting </w:t>
      </w:r>
      <w:r w:rsidR="0091280D">
        <w:t>Diamond the relief that it seeks</w:t>
      </w:r>
      <w:r w:rsidR="00641EDE">
        <w:t xml:space="preserve"> by making an order for pre-action disclosure</w:t>
      </w:r>
      <w:r w:rsidR="0091280D">
        <w:t>.</w:t>
      </w:r>
    </w:p>
    <w:p w14:paraId="682617F2" w14:textId="591C9F1F" w:rsidR="008F71D8" w:rsidRDefault="008F71D8" w:rsidP="001846CE">
      <w:pPr>
        <w:pStyle w:val="ParaLevel1"/>
      </w:pPr>
      <w:r>
        <w:t xml:space="preserve">Mr Connolly submits that, ultimately, the Court needs to take a step back and take a </w:t>
      </w:r>
      <w:r w:rsidRPr="00141AB2">
        <w:rPr>
          <w:i/>
          <w:iCs/>
        </w:rPr>
        <w:t>“big picture”</w:t>
      </w:r>
      <w:r>
        <w:t xml:space="preserve"> view of the Application – see </w:t>
      </w:r>
      <w:r w:rsidRPr="008628F7">
        <w:rPr>
          <w:i/>
          <w:iCs/>
        </w:rPr>
        <w:t xml:space="preserve">Carillion </w:t>
      </w:r>
      <w:r>
        <w:t>(supra) at [68].</w:t>
      </w:r>
      <w:r w:rsidR="00141AB2">
        <w:t xml:space="preserve"> Mr Connolly submits that</w:t>
      </w:r>
      <w:r w:rsidR="00EF636D">
        <w:t xml:space="preserve">, in doing so, the Court ought to conclude that </w:t>
      </w:r>
      <w:r w:rsidR="00EF636D" w:rsidRPr="00EF636D">
        <w:t xml:space="preserve">the sooner </w:t>
      </w:r>
      <w:r w:rsidR="00EF636D">
        <w:t xml:space="preserve">Diamond </w:t>
      </w:r>
      <w:proofErr w:type="gramStart"/>
      <w:r w:rsidR="00EF636D" w:rsidRPr="00EF636D">
        <w:t>is able to</w:t>
      </w:r>
      <w:proofErr w:type="gramEnd"/>
      <w:r w:rsidR="00EF636D" w:rsidRPr="00EF636D">
        <w:t xml:space="preserve"> put its claim on a certain footing with the benefit of pre-action disclosure the better. Not only will that enable the proceedings to be advanced expeditiously and fairly and without the need for unnecessary and costly interlocutory skirmishes, but it will allow T</w:t>
      </w:r>
      <w:r w:rsidR="004D4D38">
        <w:t>f</w:t>
      </w:r>
      <w:r w:rsidR="00EF636D" w:rsidRPr="00EF636D">
        <w:t>WM</w:t>
      </w:r>
      <w:r w:rsidR="00837975">
        <w:t>,</w:t>
      </w:r>
      <w:r w:rsidR="00EF636D" w:rsidRPr="00EF636D">
        <w:t xml:space="preserve"> as a public body and as the promulgator of the Arrangements</w:t>
      </w:r>
      <w:r w:rsidR="00837975">
        <w:t>,</w:t>
      </w:r>
      <w:r w:rsidR="00EF636D" w:rsidRPr="00EF636D">
        <w:t xml:space="preserve"> to consider and to be advised at an early stage as to </w:t>
      </w:r>
      <w:proofErr w:type="gramStart"/>
      <w:r w:rsidR="00EF636D" w:rsidRPr="00EF636D">
        <w:t>whether or not</w:t>
      </w:r>
      <w:proofErr w:type="gramEnd"/>
      <w:r w:rsidR="00EF636D" w:rsidRPr="00EF636D">
        <w:t xml:space="preserve"> the Arrangements do meet the </w:t>
      </w:r>
      <w:r w:rsidR="004D4D38" w:rsidRPr="004D4D38">
        <w:rPr>
          <w:i/>
          <w:iCs/>
        </w:rPr>
        <w:t>“</w:t>
      </w:r>
      <w:r w:rsidR="00EF636D" w:rsidRPr="004D4D38">
        <w:rPr>
          <w:i/>
          <w:iCs/>
        </w:rPr>
        <w:t>no better no worse</w:t>
      </w:r>
      <w:r w:rsidR="004D4D38" w:rsidRPr="004D4D38">
        <w:rPr>
          <w:i/>
          <w:iCs/>
        </w:rPr>
        <w:t>”</w:t>
      </w:r>
      <w:r w:rsidR="00EF636D" w:rsidRPr="00EF636D">
        <w:t xml:space="preserve"> objective of the 1986 and the 2011 Regulations. </w:t>
      </w:r>
      <w:r w:rsidR="008C44B0">
        <w:t xml:space="preserve">This will, </w:t>
      </w:r>
      <w:r w:rsidR="00D97A1C">
        <w:t>Mr Connolly submits,</w:t>
      </w:r>
      <w:r w:rsidR="00EF636D" w:rsidRPr="00EF636D">
        <w:t xml:space="preserve"> allow the parties to have a more certain understanding as to the position</w:t>
      </w:r>
      <w:r w:rsidR="00543FEE">
        <w:t>,</w:t>
      </w:r>
      <w:r w:rsidR="00EF636D" w:rsidRPr="00EF636D">
        <w:t xml:space="preserve"> and allow informed decisions to be taken as to, inter alia, the scope, </w:t>
      </w:r>
      <w:proofErr w:type="gramStart"/>
      <w:r w:rsidR="00EF636D" w:rsidRPr="00EF636D">
        <w:t>extent</w:t>
      </w:r>
      <w:proofErr w:type="gramEnd"/>
      <w:r w:rsidR="00EF636D" w:rsidRPr="00EF636D">
        <w:t xml:space="preserve"> and value of proceedings and as to the principle</w:t>
      </w:r>
      <w:r w:rsidR="00543FEE">
        <w:t>s</w:t>
      </w:r>
      <w:r w:rsidR="00EF636D" w:rsidRPr="00EF636D">
        <w:t xml:space="preserve"> and parameters of settlement.</w:t>
      </w:r>
    </w:p>
    <w:p w14:paraId="01BFF2DE" w14:textId="70B6F549" w:rsidR="00141AB2" w:rsidRDefault="00D97A1C" w:rsidP="001846CE">
      <w:pPr>
        <w:pStyle w:val="ParaLevel1"/>
      </w:pPr>
      <w:r>
        <w:t>On this basis, Mr Connolly submits that the Court ought to make</w:t>
      </w:r>
      <w:r w:rsidR="00B74CEA">
        <w:t xml:space="preserve"> order on the Application in the terms sought.</w:t>
      </w:r>
    </w:p>
    <w:p w14:paraId="76909A88" w14:textId="77777777" w:rsidR="001E6E8D" w:rsidRDefault="001E6E8D" w:rsidP="001846CE">
      <w:pPr>
        <w:pStyle w:val="ParaLevel1"/>
        <w:numPr>
          <w:ilvl w:val="0"/>
          <w:numId w:val="0"/>
        </w:numPr>
        <w:ind w:left="720" w:hanging="720"/>
        <w:rPr>
          <w:b/>
          <w:bCs/>
          <w:u w:val="single"/>
        </w:rPr>
      </w:pPr>
      <w:bookmarkStart w:id="12" w:name="H"/>
    </w:p>
    <w:p w14:paraId="28306D14" w14:textId="77777777" w:rsidR="001E6E8D" w:rsidRDefault="001E6E8D" w:rsidP="001846CE">
      <w:pPr>
        <w:pStyle w:val="ParaLevel1"/>
        <w:numPr>
          <w:ilvl w:val="0"/>
          <w:numId w:val="0"/>
        </w:numPr>
        <w:ind w:left="720" w:hanging="720"/>
        <w:rPr>
          <w:b/>
          <w:bCs/>
          <w:u w:val="single"/>
        </w:rPr>
      </w:pPr>
    </w:p>
    <w:p w14:paraId="68A488B7" w14:textId="77777777" w:rsidR="001E6E8D" w:rsidRDefault="001E6E8D" w:rsidP="001846CE">
      <w:pPr>
        <w:pStyle w:val="ParaLevel1"/>
        <w:numPr>
          <w:ilvl w:val="0"/>
          <w:numId w:val="0"/>
        </w:numPr>
        <w:ind w:left="720" w:hanging="720"/>
        <w:rPr>
          <w:b/>
          <w:bCs/>
          <w:u w:val="single"/>
        </w:rPr>
      </w:pPr>
    </w:p>
    <w:p w14:paraId="761BFF88" w14:textId="64D55ED9" w:rsidR="00B74CEA" w:rsidRDefault="00B74CEA" w:rsidP="001846CE">
      <w:pPr>
        <w:pStyle w:val="ParaLevel1"/>
        <w:numPr>
          <w:ilvl w:val="0"/>
          <w:numId w:val="0"/>
        </w:numPr>
        <w:ind w:left="720" w:hanging="720"/>
        <w:rPr>
          <w:b/>
          <w:bCs/>
          <w:u w:val="single"/>
        </w:rPr>
      </w:pPr>
      <w:proofErr w:type="spellStart"/>
      <w:r w:rsidRPr="00B74CEA">
        <w:rPr>
          <w:b/>
          <w:bCs/>
          <w:u w:val="single"/>
        </w:rPr>
        <w:lastRenderedPageBreak/>
        <w:t>TfWM’s</w:t>
      </w:r>
      <w:proofErr w:type="spellEnd"/>
      <w:r w:rsidRPr="00B74CEA">
        <w:rPr>
          <w:b/>
          <w:bCs/>
          <w:u w:val="single"/>
        </w:rPr>
        <w:t xml:space="preserve"> response to the Application</w:t>
      </w:r>
    </w:p>
    <w:p w14:paraId="0CFBFE8E" w14:textId="3B436F94" w:rsidR="00453421" w:rsidRPr="00453421" w:rsidRDefault="00453421" w:rsidP="001846CE">
      <w:pPr>
        <w:pStyle w:val="ParaLevel1"/>
        <w:numPr>
          <w:ilvl w:val="0"/>
          <w:numId w:val="0"/>
        </w:numPr>
        <w:ind w:left="720" w:hanging="720"/>
        <w:rPr>
          <w:b/>
          <w:bCs/>
        </w:rPr>
      </w:pPr>
      <w:bookmarkStart w:id="13" w:name="H1"/>
      <w:bookmarkEnd w:id="12"/>
      <w:r w:rsidRPr="00453421">
        <w:rPr>
          <w:b/>
          <w:bCs/>
        </w:rPr>
        <w:t>Preliminary considerations</w:t>
      </w:r>
    </w:p>
    <w:bookmarkEnd w:id="13"/>
    <w:p w14:paraId="411527D6" w14:textId="4E1B5A00" w:rsidR="00B74CEA" w:rsidRDefault="001D7B27" w:rsidP="001846CE">
      <w:pPr>
        <w:pStyle w:val="ParaLevel1"/>
      </w:pPr>
      <w:r>
        <w:t>Mr Maynard</w:t>
      </w:r>
      <w:r w:rsidR="00557788">
        <w:t>-</w:t>
      </w:r>
      <w:r>
        <w:t>Connor</w:t>
      </w:r>
      <w:r w:rsidR="00557788">
        <w:t xml:space="preserve"> KC</w:t>
      </w:r>
      <w:r w:rsidR="0099729C">
        <w:t xml:space="preserve"> refers to</w:t>
      </w:r>
      <w:r w:rsidR="00BE7933">
        <w:t xml:space="preserve"> </w:t>
      </w:r>
      <w:bookmarkStart w:id="14" w:name="_Hlk142568484"/>
      <w:r w:rsidR="00BE7933" w:rsidRPr="00BE7933">
        <w:t>David Steel J</w:t>
      </w:r>
      <w:r w:rsidR="00BE7933">
        <w:t xml:space="preserve"> in </w:t>
      </w:r>
      <w:r w:rsidR="008B59AB" w:rsidRPr="005E250E">
        <w:rPr>
          <w:i/>
          <w:iCs/>
        </w:rPr>
        <w:t>Pineway Ltd v London Mining Company Ltd &amp; Anor</w:t>
      </w:r>
      <w:r w:rsidR="008B59AB">
        <w:t xml:space="preserve"> [2010] EWHC 1143</w:t>
      </w:r>
      <w:r w:rsidR="00A55F0B">
        <w:t xml:space="preserve"> </w:t>
      </w:r>
      <w:r w:rsidR="008B59AB">
        <w:t xml:space="preserve">(Comm) </w:t>
      </w:r>
      <w:r w:rsidR="00A55F0B">
        <w:t xml:space="preserve">having </w:t>
      </w:r>
      <w:r w:rsidR="008B59AB">
        <w:t xml:space="preserve">highlighted </w:t>
      </w:r>
      <w:r w:rsidR="00B81D09">
        <w:t xml:space="preserve">at [56] </w:t>
      </w:r>
      <w:r w:rsidR="008B59AB">
        <w:t>that pre-action disclosure applications raise</w:t>
      </w:r>
      <w:r w:rsidR="00A55F0B">
        <w:t xml:space="preserve"> </w:t>
      </w:r>
      <w:r w:rsidR="008B59AB">
        <w:t xml:space="preserve">case management issues which require judges to take </w:t>
      </w:r>
      <w:r w:rsidR="00A55F0B" w:rsidRPr="005E250E">
        <w:rPr>
          <w:i/>
          <w:iCs/>
        </w:rPr>
        <w:t>“</w:t>
      </w:r>
      <w:r w:rsidR="008B59AB" w:rsidRPr="005E250E">
        <w:rPr>
          <w:i/>
          <w:iCs/>
        </w:rPr>
        <w:t>a big picture view of the</w:t>
      </w:r>
      <w:r w:rsidR="00A55F0B" w:rsidRPr="005E250E">
        <w:rPr>
          <w:i/>
          <w:iCs/>
        </w:rPr>
        <w:t xml:space="preserve"> </w:t>
      </w:r>
      <w:r w:rsidR="008B59AB" w:rsidRPr="005E250E">
        <w:rPr>
          <w:i/>
          <w:iCs/>
        </w:rPr>
        <w:t>application in question</w:t>
      </w:r>
      <w:r w:rsidR="00A55F0B" w:rsidRPr="005E250E">
        <w:rPr>
          <w:i/>
          <w:iCs/>
        </w:rPr>
        <w:t>”</w:t>
      </w:r>
      <w:r w:rsidR="008B59AB">
        <w:t xml:space="preserve"> including a broad view of the merits of the potential</w:t>
      </w:r>
      <w:r w:rsidR="00A55F0B">
        <w:t xml:space="preserve"> </w:t>
      </w:r>
      <w:r w:rsidR="008B59AB">
        <w:t xml:space="preserve">claim </w:t>
      </w:r>
      <w:r w:rsidR="004926AC">
        <w:t xml:space="preserve">underlying the application. </w:t>
      </w:r>
      <w:r w:rsidR="00BF134C">
        <w:t xml:space="preserve">Mr Maynard-Connor KC further refers </w:t>
      </w:r>
      <w:r w:rsidR="00715624">
        <w:t xml:space="preserve">to David Steel J, at </w:t>
      </w:r>
      <w:r w:rsidR="00030D4C">
        <w:t xml:space="preserve">[52], </w:t>
      </w:r>
      <w:r w:rsidR="00715624">
        <w:t xml:space="preserve">having </w:t>
      </w:r>
      <w:r w:rsidR="00030D4C">
        <w:t xml:space="preserve">noted </w:t>
      </w:r>
      <w:r w:rsidR="008B59AB">
        <w:t>that in almost every dispute it could</w:t>
      </w:r>
      <w:r w:rsidR="00030D4C">
        <w:t xml:space="preserve"> </w:t>
      </w:r>
      <w:r w:rsidR="008B59AB">
        <w:t>be argued that pre-action disclosure might be useful for achieving a settlement</w:t>
      </w:r>
      <w:r w:rsidR="002C2487">
        <w:t xml:space="preserve"> </w:t>
      </w:r>
      <w:r w:rsidR="008B59AB">
        <w:t xml:space="preserve">or saving costs, and </w:t>
      </w:r>
      <w:r w:rsidR="00925364">
        <w:t xml:space="preserve">having </w:t>
      </w:r>
      <w:r w:rsidR="008B59AB">
        <w:t xml:space="preserve">emphasised that </w:t>
      </w:r>
      <w:proofErr w:type="gramStart"/>
      <w:r w:rsidR="008B59AB">
        <w:t>in order to</w:t>
      </w:r>
      <w:proofErr w:type="gramEnd"/>
      <w:r w:rsidR="008B59AB">
        <w:t xml:space="preserve"> justify an order for pre-action</w:t>
      </w:r>
      <w:r w:rsidR="005E250E">
        <w:t xml:space="preserve"> </w:t>
      </w:r>
      <w:r w:rsidR="008B59AB">
        <w:t xml:space="preserve">disclosure, circumstances must exist that are outside </w:t>
      </w:r>
      <w:r w:rsidR="00A018CC">
        <w:rPr>
          <w:i/>
          <w:iCs/>
        </w:rPr>
        <w:t>“</w:t>
      </w:r>
      <w:r w:rsidR="008B59AB" w:rsidRPr="0040738A">
        <w:rPr>
          <w:i/>
          <w:iCs/>
        </w:rPr>
        <w:t>the usual run</w:t>
      </w:r>
      <w:r w:rsidR="00A018CC">
        <w:rPr>
          <w:i/>
          <w:iCs/>
        </w:rPr>
        <w:t>”</w:t>
      </w:r>
      <w:bookmarkEnd w:id="14"/>
      <w:r w:rsidR="0040738A">
        <w:t>.</w:t>
      </w:r>
    </w:p>
    <w:p w14:paraId="643711EC" w14:textId="1F720CCD" w:rsidR="00A018CC" w:rsidRDefault="00656286" w:rsidP="001846CE">
      <w:pPr>
        <w:pStyle w:val="ParaLevel1"/>
      </w:pPr>
      <w:r>
        <w:t>Mr Maynard-Connor KC</w:t>
      </w:r>
      <w:r w:rsidR="00320797">
        <w:t xml:space="preserve">, relying upon </w:t>
      </w:r>
      <w:r w:rsidR="00320797" w:rsidRPr="00BE16E3">
        <w:rPr>
          <w:i/>
          <w:iCs/>
        </w:rPr>
        <w:t>Black v Sumitomo Corporation</w:t>
      </w:r>
      <w:r w:rsidR="00320797">
        <w:t xml:space="preserve"> (supra) </w:t>
      </w:r>
      <w:r w:rsidR="00BE16E3">
        <w:t>at [88], stresses that whether the Court</w:t>
      </w:r>
      <w:r w:rsidR="00736F66">
        <w:t xml:space="preserve"> should exercise its discretion to order pre-action disclosure must depend on all the facts of the case including the merits of the suggested claim.</w:t>
      </w:r>
      <w:r w:rsidR="00E74953">
        <w:t xml:space="preserve"> This, he submits, requires the Court to</w:t>
      </w:r>
      <w:r w:rsidR="003A0AB9">
        <w:t xml:space="preserve"> consider the discretionary question in detail,</w:t>
      </w:r>
      <w:r w:rsidR="00E74953">
        <w:t xml:space="preserve"> </w:t>
      </w:r>
      <w:r w:rsidR="00A63C1A">
        <w:t xml:space="preserve">such that this will usually call for an examination of each of the categories of documents requested – see </w:t>
      </w:r>
      <w:r w:rsidR="004E1DA2" w:rsidRPr="004E1DA2">
        <w:rPr>
          <w:i/>
          <w:iCs/>
        </w:rPr>
        <w:t>Hands v Morrison Construction Services Ltd</w:t>
      </w:r>
      <w:r w:rsidR="004E1DA2" w:rsidRPr="004E1DA2">
        <w:t xml:space="preserve"> [2006] EWHC 2018 (Ch) at </w:t>
      </w:r>
      <w:r w:rsidR="004E1DA2">
        <w:t>[</w:t>
      </w:r>
      <w:r w:rsidR="004E1DA2" w:rsidRPr="004E1DA2">
        <w:t>29</w:t>
      </w:r>
      <w:r w:rsidR="004E1DA2">
        <w:t>].</w:t>
      </w:r>
      <w:r w:rsidR="00EB02D3">
        <w:t xml:space="preserve"> He submits that it therefore follows that the documents, or classes of documents, so</w:t>
      </w:r>
      <w:r w:rsidR="00BF46B1">
        <w:t xml:space="preserve">ught </w:t>
      </w:r>
      <w:r w:rsidR="00EB02D3">
        <w:t>should be</w:t>
      </w:r>
      <w:r w:rsidR="00A25854">
        <w:t xml:space="preserve"> circumscribed, and the application </w:t>
      </w:r>
      <w:r w:rsidR="00BF46B1">
        <w:t xml:space="preserve">limited </w:t>
      </w:r>
      <w:r w:rsidR="00A25854">
        <w:t>to what is strictly necessary</w:t>
      </w:r>
      <w:r w:rsidR="00376176">
        <w:t xml:space="preserve"> – see also the Chancery Guide (supra) at paragraph 14.80.</w:t>
      </w:r>
    </w:p>
    <w:p w14:paraId="46CCDE15" w14:textId="585DC319" w:rsidR="00376176" w:rsidRDefault="001F7362" w:rsidP="001846CE">
      <w:pPr>
        <w:pStyle w:val="ParaLevel1"/>
      </w:pPr>
      <w:r>
        <w:t>Whilst recognising that each case</w:t>
      </w:r>
      <w:r w:rsidR="00B74637">
        <w:t xml:space="preserve"> is </w:t>
      </w:r>
      <w:r>
        <w:t>fact sensitive,</w:t>
      </w:r>
      <w:r w:rsidR="000868BB">
        <w:t xml:space="preserve"> Mr Maynard-Connor KC identifies </w:t>
      </w:r>
      <w:proofErr w:type="gramStart"/>
      <w:r w:rsidR="000868BB">
        <w:t>a number of</w:t>
      </w:r>
      <w:proofErr w:type="gramEnd"/>
      <w:r w:rsidR="000868BB">
        <w:t xml:space="preserve"> factors </w:t>
      </w:r>
      <w:r w:rsidR="003B1BCE">
        <w:t xml:space="preserve">of relevance </w:t>
      </w:r>
      <w:r w:rsidR="000F01B8">
        <w:t xml:space="preserve">to the present case </w:t>
      </w:r>
      <w:r w:rsidR="000868BB">
        <w:t>which</w:t>
      </w:r>
      <w:r w:rsidR="000C6043">
        <w:t xml:space="preserve">, he submits, </w:t>
      </w:r>
      <w:r w:rsidR="000868BB">
        <w:t xml:space="preserve"> militate against the making of an order for pre-disclosure</w:t>
      </w:r>
      <w:r w:rsidR="00887A57">
        <w:t xml:space="preserve">, </w:t>
      </w:r>
      <w:r w:rsidR="000868BB">
        <w:t>including:</w:t>
      </w:r>
    </w:p>
    <w:p w14:paraId="20338B25" w14:textId="3D2D5DF6" w:rsidR="000868BB" w:rsidRDefault="001D1022" w:rsidP="001846CE">
      <w:pPr>
        <w:pStyle w:val="ParaLevel2"/>
      </w:pPr>
      <w:r>
        <w:t>Where the parties have agreed to resolve disputes by a dispute resolution procedure</w:t>
      </w:r>
      <w:r w:rsidR="005D515F">
        <w:t xml:space="preserve">. </w:t>
      </w:r>
      <w:r w:rsidR="00CF3BF3">
        <w:t xml:space="preserve">Thus, in </w:t>
      </w:r>
      <w:r w:rsidRPr="00807305">
        <w:rPr>
          <w:i/>
          <w:iCs/>
        </w:rPr>
        <w:t>Taylor Wimpey UK Ltd v Harron Homes</w:t>
      </w:r>
      <w:r w:rsidR="006A0FB9" w:rsidRPr="00807305">
        <w:rPr>
          <w:i/>
          <w:iCs/>
        </w:rPr>
        <w:t xml:space="preserve"> </w:t>
      </w:r>
      <w:r w:rsidRPr="00807305">
        <w:rPr>
          <w:i/>
          <w:iCs/>
        </w:rPr>
        <w:t>Ltd</w:t>
      </w:r>
      <w:r>
        <w:t xml:space="preserve"> [2020] EWHC 1190 (TCC)</w:t>
      </w:r>
      <w:r w:rsidR="00807305">
        <w:t>,</w:t>
      </w:r>
      <w:r>
        <w:t xml:space="preserve"> Fraser J refused to grant</w:t>
      </w:r>
      <w:r w:rsidR="00807305">
        <w:t xml:space="preserve"> </w:t>
      </w:r>
      <w:r>
        <w:t>pre-action disclosure of three categories of document where the</w:t>
      </w:r>
      <w:r w:rsidR="00807305">
        <w:t xml:space="preserve"> </w:t>
      </w:r>
      <w:r>
        <w:t>documents were obtainable under a contractual expert determination</w:t>
      </w:r>
      <w:r w:rsidR="00807305">
        <w:t xml:space="preserve"> </w:t>
      </w:r>
      <w:r>
        <w:t>provision</w:t>
      </w:r>
      <w:r w:rsidR="00807305">
        <w:t>;</w:t>
      </w:r>
    </w:p>
    <w:p w14:paraId="40E1E868" w14:textId="1DFD1CC7" w:rsidR="00807305" w:rsidRDefault="00A27D6A" w:rsidP="001846CE">
      <w:pPr>
        <w:pStyle w:val="ParaLevel2"/>
        <w:numPr>
          <w:ilvl w:val="1"/>
          <w:numId w:val="13"/>
        </w:numPr>
      </w:pPr>
      <w:r w:rsidRPr="00A27D6A">
        <w:t>Where the applicant already possesses sufficient material to plead a</w:t>
      </w:r>
      <w:r>
        <w:t xml:space="preserve"> </w:t>
      </w:r>
      <w:r w:rsidRPr="00A27D6A">
        <w:t xml:space="preserve">claim – see eg. </w:t>
      </w:r>
      <w:r w:rsidRPr="00A27D6A">
        <w:rPr>
          <w:i/>
          <w:iCs/>
        </w:rPr>
        <w:t xml:space="preserve">First Gulf Bank v Wachovia Bank </w:t>
      </w:r>
      <w:r w:rsidRPr="00A27D6A">
        <w:t xml:space="preserve">[2005] EWHC 2827 (Comm) at </w:t>
      </w:r>
      <w:r>
        <w:t>[</w:t>
      </w:r>
      <w:r w:rsidRPr="00A27D6A">
        <w:t>23</w:t>
      </w:r>
      <w:r>
        <w:t>]</w:t>
      </w:r>
      <w:r w:rsidRPr="00A27D6A">
        <w:t>-</w:t>
      </w:r>
      <w:r>
        <w:t>[</w:t>
      </w:r>
      <w:r w:rsidRPr="00A27D6A">
        <w:t>27</w:t>
      </w:r>
      <w:r>
        <w:t>]</w:t>
      </w:r>
      <w:r w:rsidR="008247F3">
        <w:t>, per Christopher-Clarke J</w:t>
      </w:r>
      <w:r w:rsidR="005954E5">
        <w:t>;</w:t>
      </w:r>
    </w:p>
    <w:p w14:paraId="4E2FE315" w14:textId="773E2884" w:rsidR="005954E5" w:rsidRDefault="005954E5" w:rsidP="001846CE">
      <w:pPr>
        <w:pStyle w:val="ParaLevel2"/>
        <w:numPr>
          <w:ilvl w:val="1"/>
          <w:numId w:val="13"/>
        </w:numPr>
      </w:pPr>
      <w:r>
        <w:t xml:space="preserve">Where the disclosure sought would involve providing commercially sensitive information – see eg. </w:t>
      </w:r>
      <w:bookmarkStart w:id="15" w:name="_Hlk142584762"/>
      <w:r w:rsidRPr="005954E5">
        <w:rPr>
          <w:i/>
          <w:iCs/>
        </w:rPr>
        <w:t>Hays Specialist Recruitment (Holdings) Ltd v Ions</w:t>
      </w:r>
      <w:bookmarkEnd w:id="15"/>
      <w:r>
        <w:t xml:space="preserve"> [2008] EWHC 745 (Ch) at [48], per </w:t>
      </w:r>
      <w:r w:rsidR="00246193">
        <w:t>David Richards J</w:t>
      </w:r>
      <w:r>
        <w:t>.</w:t>
      </w:r>
    </w:p>
    <w:p w14:paraId="743903DC" w14:textId="0F48FC3E" w:rsidR="00580C42" w:rsidRPr="00580C42" w:rsidRDefault="00580C42" w:rsidP="001846CE">
      <w:pPr>
        <w:pStyle w:val="ParaLevel1"/>
        <w:numPr>
          <w:ilvl w:val="0"/>
          <w:numId w:val="0"/>
        </w:numPr>
        <w:ind w:left="720" w:hanging="720"/>
        <w:rPr>
          <w:b/>
          <w:bCs/>
        </w:rPr>
      </w:pPr>
      <w:bookmarkStart w:id="16" w:name="H2"/>
      <w:r>
        <w:rPr>
          <w:b/>
          <w:bCs/>
        </w:rPr>
        <w:t>Jurisdictional Thresholds</w:t>
      </w:r>
    </w:p>
    <w:bookmarkEnd w:id="16"/>
    <w:p w14:paraId="4BE56734" w14:textId="0379572E" w:rsidR="00910E76" w:rsidRDefault="0034472C" w:rsidP="001846CE">
      <w:pPr>
        <w:pStyle w:val="ParaLevel1"/>
        <w:numPr>
          <w:ilvl w:val="0"/>
          <w:numId w:val="13"/>
        </w:numPr>
      </w:pPr>
      <w:r>
        <w:t xml:space="preserve">Mr Maynard-Connor KC </w:t>
      </w:r>
      <w:r w:rsidR="00FB08E4">
        <w:t>realistically recognises, and TfWM accepts</w:t>
      </w:r>
      <w:r w:rsidR="00015567">
        <w:t>,</w:t>
      </w:r>
      <w:r w:rsidR="00FB08E4">
        <w:t xml:space="preserve"> that if Diamond </w:t>
      </w:r>
      <w:r w:rsidR="00CC378F">
        <w:t xml:space="preserve">issues proceedings as threatened, then both Diamond and TfWM are likely to be parties, this being the appropriate test </w:t>
      </w:r>
      <w:r w:rsidR="000340EE">
        <w:t xml:space="preserve">and not whether it is likely that such proceedings will in fact be issued. Further, Mr Maynard Connor KC realistically recognises, and TfWM </w:t>
      </w:r>
      <w:r w:rsidR="002C3AEC">
        <w:t>accepts</w:t>
      </w:r>
      <w:r w:rsidR="00015567">
        <w:t>,</w:t>
      </w:r>
      <w:r w:rsidR="002C3AEC">
        <w:t xml:space="preserve"> </w:t>
      </w:r>
      <w:r w:rsidR="00045F70">
        <w:t xml:space="preserve">that the classes of documents sought by diamond would in principle fall within its disclosure obligations </w:t>
      </w:r>
      <w:r w:rsidR="00015567">
        <w:t>sho</w:t>
      </w:r>
      <w:r w:rsidR="00045F70">
        <w:t xml:space="preserve">uld Diamond issue </w:t>
      </w:r>
      <w:r w:rsidR="00045F70">
        <w:lastRenderedPageBreak/>
        <w:t>proceedings as threatened in respect of the Fares Foregone Claim</w:t>
      </w:r>
      <w:r w:rsidR="002C3AEC">
        <w:t xml:space="preserve">. </w:t>
      </w:r>
      <w:r w:rsidR="00B4016E">
        <w:t xml:space="preserve">There is </w:t>
      </w:r>
      <w:r w:rsidR="00015567">
        <w:t xml:space="preserve">therefore </w:t>
      </w:r>
      <w:r w:rsidR="00B4016E">
        <w:t xml:space="preserve">no real issue </w:t>
      </w:r>
      <w:proofErr w:type="gramStart"/>
      <w:r w:rsidR="00B4016E">
        <w:t>with regard to</w:t>
      </w:r>
      <w:proofErr w:type="gramEnd"/>
      <w:r w:rsidR="00B4016E">
        <w:t xml:space="preserve"> the ability of Diamond to satisfy CPR </w:t>
      </w:r>
      <w:r w:rsidR="00CF03D6">
        <w:t>3</w:t>
      </w:r>
      <w:r w:rsidR="00B4016E">
        <w:t>1.</w:t>
      </w:r>
      <w:r w:rsidR="00CF03D6">
        <w:t>1</w:t>
      </w:r>
      <w:r w:rsidR="00B4016E">
        <w:t>6(a) to (c)</w:t>
      </w:r>
      <w:r w:rsidR="00910E76">
        <w:t>.</w:t>
      </w:r>
    </w:p>
    <w:p w14:paraId="7C371A80" w14:textId="11993CA0" w:rsidR="00A0336D" w:rsidRDefault="00910E76" w:rsidP="001846CE">
      <w:pPr>
        <w:pStyle w:val="ParaLevel1"/>
        <w:numPr>
          <w:ilvl w:val="0"/>
          <w:numId w:val="13"/>
        </w:numPr>
      </w:pPr>
      <w:r>
        <w:t xml:space="preserve">The battleground between the parties </w:t>
      </w:r>
      <w:r w:rsidR="00CF03D6">
        <w:t>relates to CPR 31.16</w:t>
      </w:r>
      <w:r w:rsidR="00FA5972">
        <w:t xml:space="preserve">(d), and whether disclosure before proceedings have started is desirable </w:t>
      </w:r>
      <w:proofErr w:type="gramStart"/>
      <w:r w:rsidR="00FA5972">
        <w:t>in order to</w:t>
      </w:r>
      <w:proofErr w:type="gramEnd"/>
      <w:r w:rsidR="00044241">
        <w:t>:</w:t>
      </w:r>
      <w:r w:rsidR="00FA5972">
        <w:t xml:space="preserve"> </w:t>
      </w:r>
      <w:r w:rsidR="00044241">
        <w:t xml:space="preserve">(i) dispose fairly of </w:t>
      </w:r>
      <w:r w:rsidR="00F51C49">
        <w:t xml:space="preserve">the </w:t>
      </w:r>
      <w:r w:rsidR="00044241">
        <w:t xml:space="preserve">anticipated proceedings; (ii) </w:t>
      </w:r>
      <w:r w:rsidR="00F470FC">
        <w:t>assist the dispute to be resolved without proceedings; or (iii) save costs.</w:t>
      </w:r>
      <w:r w:rsidR="00F12B81">
        <w:t xml:space="preserve"> TfWM submits that</w:t>
      </w:r>
      <w:r w:rsidR="00E566BF">
        <w:t xml:space="preserve"> Diamond is unable to meet this jurisdictional </w:t>
      </w:r>
      <w:r w:rsidR="00F51C49">
        <w:t xml:space="preserve">threshold. </w:t>
      </w:r>
    </w:p>
    <w:p w14:paraId="7CE301EB" w14:textId="082B836C" w:rsidR="004E1DA2" w:rsidRDefault="00BD76FB" w:rsidP="001846CE">
      <w:pPr>
        <w:pStyle w:val="ParaLevel1"/>
      </w:pPr>
      <w:r>
        <w:t>Mr Maynard-Connor KC submits that Diamond’s</w:t>
      </w:r>
      <w:r w:rsidR="005B26E2">
        <w:t xml:space="preserve"> case as to this jurisdictional hurdle is superficial and all too easy to make,</w:t>
      </w:r>
      <w:r w:rsidR="0050544D">
        <w:t xml:space="preserve"> and that the present case is not a case that can properly be described as outside </w:t>
      </w:r>
      <w:r w:rsidR="0050544D" w:rsidRPr="0050544D">
        <w:rPr>
          <w:i/>
          <w:iCs/>
        </w:rPr>
        <w:t>“the usual run”</w:t>
      </w:r>
      <w:r w:rsidR="0050544D">
        <w:t>.</w:t>
      </w:r>
    </w:p>
    <w:p w14:paraId="56B8C8FC" w14:textId="6FF32E5E" w:rsidR="0050544D" w:rsidRDefault="00E015DE" w:rsidP="001846CE">
      <w:pPr>
        <w:pStyle w:val="ParaLevel1"/>
      </w:pPr>
      <w:r>
        <w:t xml:space="preserve">He submits that </w:t>
      </w:r>
      <w:r w:rsidR="0050544D">
        <w:t>this is demonstrated by Diamond’s Draft POC</w:t>
      </w:r>
      <w:r w:rsidR="00B71BA6">
        <w:t xml:space="preserve"> and the material set out in Mr Dunn’s witness statement which, so it is said, shows that Diamond already has enough information to plead it</w:t>
      </w:r>
      <w:r w:rsidR="00A42117">
        <w:t>s</w:t>
      </w:r>
      <w:r w:rsidR="00B71BA6">
        <w:t xml:space="preserve"> case</w:t>
      </w:r>
      <w:r w:rsidR="006E628B">
        <w:t xml:space="preserve">. </w:t>
      </w:r>
      <w:r w:rsidR="005013F6">
        <w:t>Mr Maynard-Conn</w:t>
      </w:r>
      <w:r w:rsidR="00427233">
        <w:t xml:space="preserve">or submits that </w:t>
      </w:r>
      <w:r w:rsidR="0013155A">
        <w:t>Dunn 2 downplays this, but that when the Draft</w:t>
      </w:r>
      <w:r w:rsidR="000D0325">
        <w:t xml:space="preserve"> POC are considered, Diamond’s case with respect to the </w:t>
      </w:r>
      <w:r w:rsidR="009376E8">
        <w:t xml:space="preserve">Fares </w:t>
      </w:r>
      <w:r w:rsidR="000D0325">
        <w:t>Foregone Claim is clearly pleaded and specific relief is sought.</w:t>
      </w:r>
      <w:r w:rsidR="00720296">
        <w:t xml:space="preserve"> Calculations may currently be </w:t>
      </w:r>
      <w:r w:rsidR="00720296" w:rsidRPr="00720296">
        <w:rPr>
          <w:i/>
          <w:iCs/>
        </w:rPr>
        <w:t>“estimated pending disclosure”</w:t>
      </w:r>
      <w:r w:rsidR="00720296">
        <w:t>, but, so it is said, such a scenario is commonplace</w:t>
      </w:r>
      <w:r w:rsidR="00CA1794">
        <w:t xml:space="preserve"> and does not justify the relief sought by the Application.</w:t>
      </w:r>
    </w:p>
    <w:p w14:paraId="470F6149" w14:textId="7FA124DF" w:rsidR="00CA1794" w:rsidRDefault="00CA1794" w:rsidP="001846CE">
      <w:pPr>
        <w:pStyle w:val="ParaLevel1"/>
      </w:pPr>
      <w:r>
        <w:t>Further,</w:t>
      </w:r>
      <w:r w:rsidR="009376E8">
        <w:t xml:space="preserve"> it is TfWM’s case that it is evident from</w:t>
      </w:r>
      <w:r w:rsidR="000E3469">
        <w:t xml:space="preserve"> Mr Dunn’s and Mr Lewis’s witness statement</w:t>
      </w:r>
      <w:r w:rsidR="00427233">
        <w:t>s</w:t>
      </w:r>
      <w:r w:rsidR="00E77E22">
        <w:t>, and the correspondence between the parties,</w:t>
      </w:r>
      <w:r w:rsidR="000E3469">
        <w:t xml:space="preserve"> that there are real differences of principle</w:t>
      </w:r>
      <w:r w:rsidR="00B765AB">
        <w:t xml:space="preserve"> between the parties as to the proper approach to be taken which are not going to be resolved or abandoned even if the disclosure sought is provided at this pre-action stage.</w:t>
      </w:r>
      <w:r w:rsidR="00EA32DE">
        <w:t xml:space="preserve"> This is said to demonstrate the fallacy of the contention that pre-action disclosure will assist the dispute to be resolved </w:t>
      </w:r>
      <w:r w:rsidR="0058026E">
        <w:t xml:space="preserve">without </w:t>
      </w:r>
      <w:r w:rsidR="002838BF">
        <w:t>proceedings or</w:t>
      </w:r>
      <w:r w:rsidR="0058026E">
        <w:t xml:space="preserve"> </w:t>
      </w:r>
      <w:r w:rsidR="00966F6F">
        <w:t xml:space="preserve">result in </w:t>
      </w:r>
      <w:r w:rsidR="0058026E">
        <w:t xml:space="preserve">costs </w:t>
      </w:r>
      <w:r w:rsidR="00966F6F">
        <w:t xml:space="preserve">being </w:t>
      </w:r>
      <w:r w:rsidR="0058026E">
        <w:t xml:space="preserve">saved. </w:t>
      </w:r>
      <w:r w:rsidR="0076784B">
        <w:t>On this basis,</w:t>
      </w:r>
      <w:r w:rsidR="008820D0">
        <w:t xml:space="preserve"> TfWM submits that there is no real prospect of</w:t>
      </w:r>
      <w:r w:rsidR="00267485">
        <w:t xml:space="preserve"> pre-action disclosure</w:t>
      </w:r>
      <w:r w:rsidR="00D10E43">
        <w:t xml:space="preserve"> of the data sought producing any of the outcomes referred to</w:t>
      </w:r>
      <w:r w:rsidR="001744C3">
        <w:t xml:space="preserve"> in paragraph 26 above,</w:t>
      </w:r>
      <w:r w:rsidR="00231AE4">
        <w:t xml:space="preserve"> and </w:t>
      </w:r>
      <w:r w:rsidR="00F24D14">
        <w:t xml:space="preserve">therefore </w:t>
      </w:r>
      <w:r w:rsidR="006B1816">
        <w:t>no real pr</w:t>
      </w:r>
      <w:r w:rsidR="00F24D14">
        <w:t>ospect, even in principle</w:t>
      </w:r>
      <w:r w:rsidR="00ED29EA">
        <w:t xml:space="preserve">, of </w:t>
      </w:r>
      <w:r w:rsidR="00E5390F">
        <w:t xml:space="preserve">any of the disjunctive limbs of CPR 31.16(3)(d) </w:t>
      </w:r>
      <w:r w:rsidR="00B02424">
        <w:t xml:space="preserve">being satisfied in the present case. </w:t>
      </w:r>
    </w:p>
    <w:p w14:paraId="3BEFBB5F" w14:textId="41C96875" w:rsidR="005B1C38" w:rsidRDefault="00B239DC" w:rsidP="001846CE">
      <w:pPr>
        <w:pStyle w:val="ParaLevel1"/>
      </w:pPr>
      <w:r>
        <w:t xml:space="preserve">TfWM’s </w:t>
      </w:r>
      <w:r w:rsidR="00A70755">
        <w:t>position is most clearly articulated in paragraphs 76 and 77 of Mr Lewis’s witness statement, where he said:</w:t>
      </w:r>
    </w:p>
    <w:p w14:paraId="471CDB76" w14:textId="4A2BDFFB" w:rsidR="00235686" w:rsidRDefault="009D68D1" w:rsidP="001846CE">
      <w:pPr>
        <w:pStyle w:val="ParaLevel1"/>
        <w:numPr>
          <w:ilvl w:val="0"/>
          <w:numId w:val="0"/>
        </w:numPr>
        <w:ind w:left="1689" w:right="654" w:hanging="555"/>
        <w:rPr>
          <w:lang w:eastAsia="en-GB"/>
        </w:rPr>
      </w:pPr>
      <w:r>
        <w:rPr>
          <w:color w:val="333333"/>
          <w:lang w:eastAsia="en-GB"/>
        </w:rPr>
        <w:t>“76</w:t>
      </w:r>
      <w:r>
        <w:rPr>
          <w:color w:val="333333"/>
          <w:lang w:eastAsia="en-GB"/>
        </w:rPr>
        <w:tab/>
      </w:r>
      <w:r w:rsidR="00235686" w:rsidRPr="00235686">
        <w:rPr>
          <w:color w:val="333333"/>
          <w:lang w:eastAsia="en-GB"/>
        </w:rPr>
        <w:t>Based</w:t>
      </w:r>
      <w:r w:rsidR="00235686" w:rsidRPr="00235686">
        <w:rPr>
          <w:color w:val="333333"/>
          <w:spacing w:val="-13"/>
          <w:lang w:eastAsia="en-GB"/>
        </w:rPr>
        <w:t xml:space="preserve"> </w:t>
      </w:r>
      <w:r w:rsidR="00235686" w:rsidRPr="00235686">
        <w:rPr>
          <w:color w:val="333333"/>
          <w:lang w:eastAsia="en-GB"/>
        </w:rPr>
        <w:t>on</w:t>
      </w:r>
      <w:r w:rsidR="00235686" w:rsidRPr="00235686">
        <w:rPr>
          <w:color w:val="333333"/>
          <w:spacing w:val="-12"/>
          <w:lang w:eastAsia="en-GB"/>
        </w:rPr>
        <w:t xml:space="preserve"> </w:t>
      </w:r>
      <w:r w:rsidR="00235686" w:rsidRPr="00235686">
        <w:rPr>
          <w:color w:val="333333"/>
          <w:lang w:eastAsia="en-GB"/>
        </w:rPr>
        <w:t>DfT's</w:t>
      </w:r>
      <w:r w:rsidR="00235686" w:rsidRPr="00235686">
        <w:rPr>
          <w:color w:val="333333"/>
          <w:spacing w:val="-12"/>
          <w:lang w:eastAsia="en-GB"/>
        </w:rPr>
        <w:t xml:space="preserve"> </w:t>
      </w:r>
      <w:proofErr w:type="gramStart"/>
      <w:r w:rsidR="00235686" w:rsidRPr="00235686">
        <w:rPr>
          <w:color w:val="333333"/>
          <w:lang w:eastAsia="en-GB"/>
        </w:rPr>
        <w:t>guidance,</w:t>
      </w:r>
      <w:proofErr w:type="gramEnd"/>
      <w:r w:rsidR="00235686" w:rsidRPr="00235686">
        <w:rPr>
          <w:color w:val="333333"/>
          <w:spacing w:val="-12"/>
          <w:lang w:eastAsia="en-GB"/>
        </w:rPr>
        <w:t xml:space="preserve"> </w:t>
      </w:r>
      <w:r w:rsidR="00235686" w:rsidRPr="00235686">
        <w:rPr>
          <w:color w:val="333333"/>
          <w:lang w:eastAsia="en-GB"/>
        </w:rPr>
        <w:t>it</w:t>
      </w:r>
      <w:r w:rsidR="00235686" w:rsidRPr="00235686">
        <w:rPr>
          <w:color w:val="333333"/>
          <w:spacing w:val="-12"/>
          <w:lang w:eastAsia="en-GB"/>
        </w:rPr>
        <w:t xml:space="preserve"> </w:t>
      </w:r>
      <w:r w:rsidR="00235686" w:rsidRPr="00235686">
        <w:rPr>
          <w:color w:val="333333"/>
          <w:lang w:eastAsia="en-GB"/>
        </w:rPr>
        <w:t>is</w:t>
      </w:r>
      <w:r w:rsidR="00235686" w:rsidRPr="00235686">
        <w:rPr>
          <w:color w:val="333333"/>
          <w:spacing w:val="-12"/>
          <w:lang w:eastAsia="en-GB"/>
        </w:rPr>
        <w:t xml:space="preserve"> </w:t>
      </w:r>
      <w:r w:rsidR="00235686" w:rsidRPr="00235686">
        <w:rPr>
          <w:color w:val="333333"/>
          <w:lang w:eastAsia="en-GB"/>
        </w:rPr>
        <w:t>TfWM's</w:t>
      </w:r>
      <w:r w:rsidR="00235686" w:rsidRPr="00235686">
        <w:rPr>
          <w:color w:val="333333"/>
          <w:spacing w:val="-12"/>
          <w:lang w:eastAsia="en-GB"/>
        </w:rPr>
        <w:t xml:space="preserve"> </w:t>
      </w:r>
      <w:r w:rsidR="00235686" w:rsidRPr="00235686">
        <w:rPr>
          <w:color w:val="333333"/>
          <w:lang w:eastAsia="en-GB"/>
        </w:rPr>
        <w:t>view</w:t>
      </w:r>
      <w:r w:rsidR="00235686" w:rsidRPr="00235686">
        <w:rPr>
          <w:color w:val="333333"/>
          <w:spacing w:val="-15"/>
          <w:lang w:eastAsia="en-GB"/>
        </w:rPr>
        <w:t xml:space="preserve"> </w:t>
      </w:r>
      <w:r w:rsidR="00235686" w:rsidRPr="00235686">
        <w:rPr>
          <w:color w:val="333333"/>
          <w:lang w:eastAsia="en-GB"/>
        </w:rPr>
        <w:t>that</w:t>
      </w:r>
      <w:r w:rsidR="00235686" w:rsidRPr="00235686">
        <w:rPr>
          <w:color w:val="333333"/>
          <w:spacing w:val="-12"/>
          <w:lang w:eastAsia="en-GB"/>
        </w:rPr>
        <w:t xml:space="preserve"> </w:t>
      </w:r>
      <w:r w:rsidR="00235686" w:rsidRPr="00235686">
        <w:rPr>
          <w:color w:val="333333"/>
          <w:lang w:eastAsia="en-GB"/>
        </w:rPr>
        <w:t>the</w:t>
      </w:r>
      <w:r w:rsidR="00235686" w:rsidRPr="00235686">
        <w:rPr>
          <w:color w:val="333333"/>
          <w:spacing w:val="-12"/>
          <w:lang w:eastAsia="en-GB"/>
        </w:rPr>
        <w:t xml:space="preserve"> </w:t>
      </w:r>
      <w:r w:rsidR="00235686" w:rsidRPr="00235686">
        <w:rPr>
          <w:color w:val="333333"/>
          <w:lang w:eastAsia="en-GB"/>
        </w:rPr>
        <w:t>accuracy</w:t>
      </w:r>
      <w:r w:rsidR="00235686" w:rsidRPr="00235686">
        <w:rPr>
          <w:color w:val="333333"/>
          <w:spacing w:val="-12"/>
          <w:lang w:eastAsia="en-GB"/>
        </w:rPr>
        <w:t xml:space="preserve"> </w:t>
      </w:r>
      <w:r w:rsidR="00235686" w:rsidRPr="00235686">
        <w:rPr>
          <w:color w:val="333333"/>
          <w:lang w:eastAsia="en-GB"/>
        </w:rPr>
        <w:t>of</w:t>
      </w:r>
      <w:r w:rsidR="00235686" w:rsidRPr="00235686">
        <w:rPr>
          <w:color w:val="333333"/>
          <w:spacing w:val="-17"/>
          <w:lang w:eastAsia="en-GB"/>
        </w:rPr>
        <w:t xml:space="preserve"> </w:t>
      </w:r>
      <w:r w:rsidR="00235686" w:rsidRPr="00235686">
        <w:rPr>
          <w:color w:val="333333"/>
          <w:lang w:eastAsia="en-GB"/>
        </w:rPr>
        <w:t>the</w:t>
      </w:r>
      <w:r w:rsidR="00235686" w:rsidRPr="00235686">
        <w:rPr>
          <w:color w:val="333333"/>
          <w:spacing w:val="-12"/>
          <w:lang w:eastAsia="en-GB"/>
        </w:rPr>
        <w:t xml:space="preserve"> </w:t>
      </w:r>
      <w:r w:rsidR="00111FF1">
        <w:rPr>
          <w:color w:val="333333"/>
          <w:lang w:eastAsia="en-GB"/>
        </w:rPr>
        <w:t>Look-up</w:t>
      </w:r>
      <w:r w:rsidR="00235686" w:rsidRPr="00235686">
        <w:rPr>
          <w:color w:val="333333"/>
          <w:spacing w:val="-15"/>
          <w:lang w:eastAsia="en-GB"/>
        </w:rPr>
        <w:t xml:space="preserve"> </w:t>
      </w:r>
      <w:r w:rsidR="00235686" w:rsidRPr="00235686">
        <w:rPr>
          <w:color w:val="333333"/>
          <w:lang w:eastAsia="en-GB"/>
        </w:rPr>
        <w:t>table</w:t>
      </w:r>
      <w:r w:rsidR="00235686" w:rsidRPr="00235686">
        <w:rPr>
          <w:color w:val="333333"/>
          <w:spacing w:val="-13"/>
          <w:lang w:eastAsia="en-GB"/>
        </w:rPr>
        <w:t xml:space="preserve"> </w:t>
      </w:r>
      <w:r w:rsidR="00235686" w:rsidRPr="00235686">
        <w:rPr>
          <w:color w:val="333333"/>
          <w:lang w:eastAsia="en-GB"/>
        </w:rPr>
        <w:t>used</w:t>
      </w:r>
      <w:r w:rsidR="00235686" w:rsidRPr="00235686">
        <w:rPr>
          <w:color w:val="333333"/>
          <w:spacing w:val="-12"/>
          <w:lang w:eastAsia="en-GB"/>
        </w:rPr>
        <w:t xml:space="preserve"> </w:t>
      </w:r>
      <w:r w:rsidR="00235686" w:rsidRPr="00235686">
        <w:rPr>
          <w:lang w:eastAsia="en-GB"/>
        </w:rPr>
        <w:t>for</w:t>
      </w:r>
      <w:r w:rsidR="00235686" w:rsidRPr="00235686">
        <w:rPr>
          <w:spacing w:val="1"/>
          <w:lang w:eastAsia="en-GB"/>
        </w:rPr>
        <w:t xml:space="preserve"> </w:t>
      </w:r>
      <w:r w:rsidR="00235686" w:rsidRPr="00235686">
        <w:rPr>
          <w:lang w:eastAsia="en-GB"/>
        </w:rPr>
        <w:t>calculating</w:t>
      </w:r>
      <w:r w:rsidR="00235686" w:rsidRPr="00235686">
        <w:rPr>
          <w:spacing w:val="-10"/>
          <w:lang w:eastAsia="en-GB"/>
        </w:rPr>
        <w:t xml:space="preserve"> </w:t>
      </w:r>
      <w:r w:rsidR="00235686" w:rsidRPr="00235686">
        <w:rPr>
          <w:lang w:eastAsia="en-GB"/>
        </w:rPr>
        <w:t>Average</w:t>
      </w:r>
      <w:r w:rsidR="00235686" w:rsidRPr="00235686">
        <w:rPr>
          <w:spacing w:val="1"/>
          <w:lang w:eastAsia="en-GB"/>
        </w:rPr>
        <w:t xml:space="preserve"> </w:t>
      </w:r>
      <w:r w:rsidR="00235686" w:rsidRPr="00235686">
        <w:rPr>
          <w:lang w:eastAsia="en-GB"/>
        </w:rPr>
        <w:t>Fare</w:t>
      </w:r>
      <w:r w:rsidR="00235686" w:rsidRPr="00235686">
        <w:rPr>
          <w:spacing w:val="5"/>
          <w:lang w:eastAsia="en-GB"/>
        </w:rPr>
        <w:t xml:space="preserve"> </w:t>
      </w:r>
      <w:r w:rsidR="00235686" w:rsidRPr="00235686">
        <w:rPr>
          <w:lang w:eastAsia="en-GB"/>
        </w:rPr>
        <w:t>Foregone</w:t>
      </w:r>
      <w:r w:rsidR="00235686" w:rsidRPr="00235686">
        <w:rPr>
          <w:spacing w:val="3"/>
          <w:lang w:eastAsia="en-GB"/>
        </w:rPr>
        <w:t xml:space="preserve"> </w:t>
      </w:r>
      <w:r w:rsidR="00235686" w:rsidRPr="00235686">
        <w:rPr>
          <w:lang w:eastAsia="en-GB"/>
        </w:rPr>
        <w:t>increases</w:t>
      </w:r>
      <w:r w:rsidR="00235686" w:rsidRPr="00235686">
        <w:rPr>
          <w:spacing w:val="3"/>
          <w:lang w:eastAsia="en-GB"/>
        </w:rPr>
        <w:t xml:space="preserve"> </w:t>
      </w:r>
      <w:r w:rsidR="00235686" w:rsidRPr="00235686">
        <w:rPr>
          <w:lang w:eastAsia="en-GB"/>
        </w:rPr>
        <w:t>with</w:t>
      </w:r>
      <w:r w:rsidR="00235686" w:rsidRPr="00235686">
        <w:rPr>
          <w:spacing w:val="5"/>
          <w:lang w:eastAsia="en-GB"/>
        </w:rPr>
        <w:t xml:space="preserve"> </w:t>
      </w:r>
      <w:r w:rsidR="00235686" w:rsidRPr="00235686">
        <w:rPr>
          <w:lang w:eastAsia="en-GB"/>
        </w:rPr>
        <w:t>the</w:t>
      </w:r>
      <w:r w:rsidR="00235686" w:rsidRPr="00235686">
        <w:rPr>
          <w:spacing w:val="4"/>
          <w:lang w:eastAsia="en-GB"/>
        </w:rPr>
        <w:t xml:space="preserve"> </w:t>
      </w:r>
      <w:r w:rsidR="00235686" w:rsidRPr="00235686">
        <w:rPr>
          <w:lang w:eastAsia="en-GB"/>
        </w:rPr>
        <w:t>amount</w:t>
      </w:r>
      <w:r w:rsidR="00235686" w:rsidRPr="00235686">
        <w:rPr>
          <w:spacing w:val="5"/>
          <w:lang w:eastAsia="en-GB"/>
        </w:rPr>
        <w:t xml:space="preserve"> </w:t>
      </w:r>
      <w:r w:rsidR="00235686" w:rsidRPr="00235686">
        <w:rPr>
          <w:lang w:eastAsia="en-GB"/>
        </w:rPr>
        <w:t>of</w:t>
      </w:r>
      <w:r w:rsidR="00235686" w:rsidRPr="00235686">
        <w:rPr>
          <w:spacing w:val="3"/>
          <w:lang w:eastAsia="en-GB"/>
        </w:rPr>
        <w:t xml:space="preserve"> </w:t>
      </w:r>
      <w:r w:rsidR="00235686" w:rsidRPr="00235686">
        <w:rPr>
          <w:lang w:eastAsia="en-GB"/>
        </w:rPr>
        <w:t>data</w:t>
      </w:r>
      <w:r w:rsidR="00235686" w:rsidRPr="00235686">
        <w:rPr>
          <w:spacing w:val="1"/>
          <w:lang w:eastAsia="en-GB"/>
        </w:rPr>
        <w:t xml:space="preserve"> </w:t>
      </w:r>
      <w:r w:rsidR="00235686" w:rsidRPr="00235686">
        <w:rPr>
          <w:lang w:eastAsia="en-GB"/>
        </w:rPr>
        <w:t>that</w:t>
      </w:r>
      <w:r w:rsidR="00235686" w:rsidRPr="00235686">
        <w:rPr>
          <w:spacing w:val="1"/>
          <w:lang w:eastAsia="en-GB"/>
        </w:rPr>
        <w:t xml:space="preserve"> </w:t>
      </w:r>
      <w:r w:rsidR="00235686" w:rsidRPr="00235686">
        <w:rPr>
          <w:lang w:eastAsia="en-GB"/>
        </w:rPr>
        <w:t>is</w:t>
      </w:r>
      <w:r w:rsidR="00235686" w:rsidRPr="00235686">
        <w:rPr>
          <w:spacing w:val="-12"/>
          <w:lang w:eastAsia="en-GB"/>
        </w:rPr>
        <w:t xml:space="preserve"> </w:t>
      </w:r>
      <w:r w:rsidR="00235686" w:rsidRPr="00235686">
        <w:rPr>
          <w:lang w:eastAsia="en-GB"/>
        </w:rPr>
        <w:t>included.</w:t>
      </w:r>
      <w:r w:rsidR="00235686" w:rsidRPr="00235686">
        <w:rPr>
          <w:spacing w:val="-6"/>
          <w:lang w:eastAsia="en-GB"/>
        </w:rPr>
        <w:t xml:space="preserve"> </w:t>
      </w:r>
      <w:r w:rsidR="00235686" w:rsidRPr="00235686">
        <w:rPr>
          <w:lang w:eastAsia="en-GB"/>
        </w:rPr>
        <w:t>As</w:t>
      </w:r>
      <w:r w:rsidR="00235686" w:rsidRPr="00235686">
        <w:rPr>
          <w:spacing w:val="-6"/>
          <w:lang w:eastAsia="en-GB"/>
        </w:rPr>
        <w:t xml:space="preserve"> </w:t>
      </w:r>
      <w:r w:rsidR="00235686" w:rsidRPr="00235686">
        <w:rPr>
          <w:lang w:eastAsia="en-GB"/>
        </w:rPr>
        <w:t>such</w:t>
      </w:r>
      <w:r w:rsidR="00235686" w:rsidRPr="00235686">
        <w:rPr>
          <w:spacing w:val="-9"/>
          <w:lang w:eastAsia="en-GB"/>
        </w:rPr>
        <w:t xml:space="preserve"> </w:t>
      </w:r>
      <w:r w:rsidR="00235686" w:rsidRPr="00235686">
        <w:rPr>
          <w:lang w:eastAsia="en-GB"/>
        </w:rPr>
        <w:t>the</w:t>
      </w:r>
      <w:r w:rsidR="00235686" w:rsidRPr="00235686">
        <w:rPr>
          <w:spacing w:val="-7"/>
          <w:lang w:eastAsia="en-GB"/>
        </w:rPr>
        <w:t xml:space="preserve"> </w:t>
      </w:r>
      <w:r w:rsidR="00235686" w:rsidRPr="00235686">
        <w:rPr>
          <w:lang w:eastAsia="en-GB"/>
        </w:rPr>
        <w:t>current approach</w:t>
      </w:r>
      <w:r w:rsidR="00235686" w:rsidRPr="00235686">
        <w:rPr>
          <w:spacing w:val="-9"/>
          <w:lang w:eastAsia="en-GB"/>
        </w:rPr>
        <w:t xml:space="preserve"> </w:t>
      </w:r>
      <w:r w:rsidR="00235686" w:rsidRPr="00235686">
        <w:rPr>
          <w:lang w:eastAsia="en-GB"/>
        </w:rPr>
        <w:t>used</w:t>
      </w:r>
      <w:r w:rsidR="00235686" w:rsidRPr="00235686">
        <w:rPr>
          <w:spacing w:val="-12"/>
          <w:lang w:eastAsia="en-GB"/>
        </w:rPr>
        <w:t xml:space="preserve"> </w:t>
      </w:r>
      <w:r w:rsidR="00235686" w:rsidRPr="00235686">
        <w:rPr>
          <w:lang w:eastAsia="en-GB"/>
        </w:rPr>
        <w:t>by</w:t>
      </w:r>
      <w:r w:rsidR="00235686" w:rsidRPr="00235686">
        <w:rPr>
          <w:spacing w:val="-4"/>
          <w:lang w:eastAsia="en-GB"/>
        </w:rPr>
        <w:t xml:space="preserve"> </w:t>
      </w:r>
      <w:r w:rsidR="00235686" w:rsidRPr="00235686">
        <w:rPr>
          <w:lang w:eastAsia="en-GB"/>
        </w:rPr>
        <w:t>TfWM</w:t>
      </w:r>
      <w:r w:rsidR="00235686" w:rsidRPr="00235686">
        <w:rPr>
          <w:spacing w:val="-11"/>
          <w:lang w:eastAsia="en-GB"/>
        </w:rPr>
        <w:t xml:space="preserve"> </w:t>
      </w:r>
      <w:r w:rsidR="00235686" w:rsidRPr="00235686">
        <w:rPr>
          <w:lang w:eastAsia="en-GB"/>
        </w:rPr>
        <w:t>is</w:t>
      </w:r>
      <w:r w:rsidR="00235686" w:rsidRPr="00235686">
        <w:rPr>
          <w:spacing w:val="-12"/>
          <w:lang w:eastAsia="en-GB"/>
        </w:rPr>
        <w:t xml:space="preserve"> </w:t>
      </w:r>
      <w:r w:rsidR="00235686" w:rsidRPr="00235686">
        <w:rPr>
          <w:lang w:eastAsia="en-GB"/>
        </w:rPr>
        <w:t>to</w:t>
      </w:r>
      <w:r w:rsidR="00235686" w:rsidRPr="00235686">
        <w:rPr>
          <w:spacing w:val="-12"/>
          <w:lang w:eastAsia="en-GB"/>
        </w:rPr>
        <w:t xml:space="preserve"> </w:t>
      </w:r>
      <w:r w:rsidR="00235686" w:rsidRPr="00235686">
        <w:rPr>
          <w:lang w:eastAsia="en-GB"/>
        </w:rPr>
        <w:t>use</w:t>
      </w:r>
      <w:r w:rsidR="00235686" w:rsidRPr="00235686">
        <w:rPr>
          <w:spacing w:val="2"/>
          <w:lang w:eastAsia="en-GB"/>
        </w:rPr>
        <w:t xml:space="preserve"> </w:t>
      </w:r>
      <w:r w:rsidR="00235686" w:rsidRPr="00235686">
        <w:rPr>
          <w:lang w:eastAsia="en-GB"/>
        </w:rPr>
        <w:t>data</w:t>
      </w:r>
      <w:r w:rsidR="00235686" w:rsidRPr="00235686">
        <w:rPr>
          <w:spacing w:val="12"/>
          <w:lang w:eastAsia="en-GB"/>
        </w:rPr>
        <w:t xml:space="preserve"> </w:t>
      </w:r>
      <w:r w:rsidR="00235686" w:rsidRPr="00235686">
        <w:rPr>
          <w:lang w:eastAsia="en-GB"/>
        </w:rPr>
        <w:t>based</w:t>
      </w:r>
      <w:r w:rsidR="00235686" w:rsidRPr="00235686">
        <w:rPr>
          <w:spacing w:val="4"/>
          <w:lang w:eastAsia="en-GB"/>
        </w:rPr>
        <w:t xml:space="preserve"> </w:t>
      </w:r>
      <w:r w:rsidR="00235686" w:rsidRPr="00235686">
        <w:rPr>
          <w:lang w:eastAsia="en-GB"/>
        </w:rPr>
        <w:t>on</w:t>
      </w:r>
      <w:r w:rsidR="00235686" w:rsidRPr="00235686">
        <w:rPr>
          <w:spacing w:val="6"/>
          <w:lang w:eastAsia="en-GB"/>
        </w:rPr>
        <w:t xml:space="preserve"> </w:t>
      </w:r>
      <w:r w:rsidR="00235686" w:rsidRPr="00235686">
        <w:rPr>
          <w:lang w:eastAsia="en-GB"/>
        </w:rPr>
        <w:t>the</w:t>
      </w:r>
      <w:r w:rsidR="00235686" w:rsidRPr="00235686">
        <w:rPr>
          <w:spacing w:val="-12"/>
          <w:lang w:eastAsia="en-GB"/>
        </w:rPr>
        <w:t xml:space="preserve"> </w:t>
      </w:r>
      <w:r w:rsidR="00235686" w:rsidRPr="00235686">
        <w:rPr>
          <w:lang w:eastAsia="en-GB"/>
        </w:rPr>
        <w:t>entire</w:t>
      </w:r>
      <w:r w:rsidR="00235686" w:rsidRPr="00235686">
        <w:rPr>
          <w:spacing w:val="-1"/>
          <w:lang w:eastAsia="en-GB"/>
        </w:rPr>
        <w:t xml:space="preserve"> </w:t>
      </w:r>
      <w:r w:rsidR="00235686" w:rsidRPr="00235686">
        <w:rPr>
          <w:lang w:eastAsia="en-GB"/>
        </w:rPr>
        <w:t>West Midlands</w:t>
      </w:r>
      <w:r w:rsidR="00235686" w:rsidRPr="00235686">
        <w:rPr>
          <w:spacing w:val="2"/>
          <w:lang w:eastAsia="en-GB"/>
        </w:rPr>
        <w:t xml:space="preserve"> </w:t>
      </w:r>
      <w:r w:rsidR="00235686" w:rsidRPr="00235686">
        <w:rPr>
          <w:lang w:eastAsia="en-GB"/>
        </w:rPr>
        <w:t>area passenger</w:t>
      </w:r>
      <w:r w:rsidR="00235686" w:rsidRPr="00235686">
        <w:rPr>
          <w:spacing w:val="4"/>
          <w:lang w:eastAsia="en-GB"/>
        </w:rPr>
        <w:t xml:space="preserve"> </w:t>
      </w:r>
      <w:r w:rsidR="00235686" w:rsidRPr="00235686">
        <w:rPr>
          <w:lang w:eastAsia="en-GB"/>
        </w:rPr>
        <w:t>data.</w:t>
      </w:r>
      <w:r w:rsidR="00235686" w:rsidRPr="00235686">
        <w:rPr>
          <w:spacing w:val="8"/>
          <w:lang w:eastAsia="en-GB"/>
        </w:rPr>
        <w:t xml:space="preserve"> </w:t>
      </w:r>
      <w:r w:rsidR="00235686" w:rsidRPr="00235686">
        <w:rPr>
          <w:lang w:eastAsia="en-GB"/>
        </w:rPr>
        <w:t>DBL's</w:t>
      </w:r>
      <w:r w:rsidR="00235686" w:rsidRPr="00235686">
        <w:rPr>
          <w:spacing w:val="-8"/>
          <w:lang w:eastAsia="en-GB"/>
        </w:rPr>
        <w:t xml:space="preserve"> </w:t>
      </w:r>
      <w:r w:rsidR="00235686" w:rsidRPr="00235686">
        <w:rPr>
          <w:lang w:eastAsia="en-GB"/>
        </w:rPr>
        <w:t>Average</w:t>
      </w:r>
      <w:r w:rsidR="00235686" w:rsidRPr="00235686">
        <w:rPr>
          <w:spacing w:val="-1"/>
          <w:lang w:eastAsia="en-GB"/>
        </w:rPr>
        <w:t xml:space="preserve"> </w:t>
      </w:r>
      <w:r w:rsidR="00235686" w:rsidRPr="00235686">
        <w:rPr>
          <w:lang w:eastAsia="en-GB"/>
        </w:rPr>
        <w:t>Fare</w:t>
      </w:r>
      <w:r w:rsidR="00235686" w:rsidRPr="00235686">
        <w:rPr>
          <w:spacing w:val="7"/>
          <w:lang w:eastAsia="en-GB"/>
        </w:rPr>
        <w:t xml:space="preserve"> </w:t>
      </w:r>
      <w:r w:rsidR="00235686" w:rsidRPr="00235686">
        <w:rPr>
          <w:lang w:eastAsia="en-GB"/>
        </w:rPr>
        <w:t>Foregone</w:t>
      </w:r>
      <w:r w:rsidR="00235686" w:rsidRPr="00235686">
        <w:rPr>
          <w:spacing w:val="4"/>
          <w:lang w:eastAsia="en-GB"/>
        </w:rPr>
        <w:t xml:space="preserve"> </w:t>
      </w:r>
      <w:r w:rsidR="00235686" w:rsidRPr="00235686">
        <w:rPr>
          <w:lang w:eastAsia="en-GB"/>
        </w:rPr>
        <w:t>claim,</w:t>
      </w:r>
      <w:r w:rsidR="00235686" w:rsidRPr="00235686">
        <w:rPr>
          <w:spacing w:val="7"/>
          <w:lang w:eastAsia="en-GB"/>
        </w:rPr>
        <w:t xml:space="preserve"> </w:t>
      </w:r>
      <w:r w:rsidR="00235686" w:rsidRPr="00235686">
        <w:rPr>
          <w:lang w:eastAsia="en-GB"/>
        </w:rPr>
        <w:t>as</w:t>
      </w:r>
      <w:r w:rsidR="00235686" w:rsidRPr="00235686">
        <w:rPr>
          <w:spacing w:val="-12"/>
          <w:lang w:eastAsia="en-GB"/>
        </w:rPr>
        <w:t xml:space="preserve"> </w:t>
      </w:r>
      <w:r w:rsidR="00235686" w:rsidRPr="00235686">
        <w:rPr>
          <w:lang w:eastAsia="en-GB"/>
        </w:rPr>
        <w:t>set</w:t>
      </w:r>
      <w:r w:rsidR="00235686" w:rsidRPr="00235686">
        <w:rPr>
          <w:spacing w:val="-12"/>
          <w:lang w:eastAsia="en-GB"/>
        </w:rPr>
        <w:t xml:space="preserve"> </w:t>
      </w:r>
      <w:r w:rsidR="00235686" w:rsidRPr="00235686">
        <w:rPr>
          <w:lang w:eastAsia="en-GB"/>
        </w:rPr>
        <w:t>out</w:t>
      </w:r>
      <w:r w:rsidR="00235686" w:rsidRPr="00235686">
        <w:rPr>
          <w:spacing w:val="-12"/>
          <w:lang w:eastAsia="en-GB"/>
        </w:rPr>
        <w:t xml:space="preserve"> </w:t>
      </w:r>
      <w:r w:rsidR="00235686" w:rsidRPr="00235686">
        <w:rPr>
          <w:lang w:eastAsia="en-GB"/>
        </w:rPr>
        <w:t>in</w:t>
      </w:r>
      <w:r w:rsidR="00235686" w:rsidRPr="00235686">
        <w:rPr>
          <w:spacing w:val="-12"/>
          <w:lang w:eastAsia="en-GB"/>
        </w:rPr>
        <w:t xml:space="preserve"> </w:t>
      </w:r>
      <w:r w:rsidR="00235686" w:rsidRPr="00235686">
        <w:rPr>
          <w:lang w:eastAsia="en-GB"/>
        </w:rPr>
        <w:t>its</w:t>
      </w:r>
      <w:r w:rsidR="00235686" w:rsidRPr="00235686">
        <w:rPr>
          <w:spacing w:val="-15"/>
          <w:lang w:eastAsia="en-GB"/>
        </w:rPr>
        <w:t xml:space="preserve"> </w:t>
      </w:r>
      <w:r w:rsidR="00235686" w:rsidRPr="00235686">
        <w:rPr>
          <w:lang w:eastAsia="en-GB"/>
        </w:rPr>
        <w:t>draft</w:t>
      </w:r>
      <w:r w:rsidR="00235686" w:rsidRPr="00235686">
        <w:rPr>
          <w:spacing w:val="-14"/>
          <w:lang w:eastAsia="en-GB"/>
        </w:rPr>
        <w:t xml:space="preserve"> </w:t>
      </w:r>
      <w:r w:rsidR="00235686" w:rsidRPr="00235686">
        <w:rPr>
          <w:lang w:eastAsia="en-GB"/>
        </w:rPr>
        <w:t>Particulars</w:t>
      </w:r>
      <w:r w:rsidR="00235686" w:rsidRPr="00235686">
        <w:rPr>
          <w:spacing w:val="-14"/>
          <w:lang w:eastAsia="en-GB"/>
        </w:rPr>
        <w:t xml:space="preserve"> </w:t>
      </w:r>
      <w:r w:rsidR="00235686" w:rsidRPr="00235686">
        <w:rPr>
          <w:lang w:eastAsia="en-GB"/>
        </w:rPr>
        <w:t>of</w:t>
      </w:r>
      <w:r w:rsidR="00235686" w:rsidRPr="00235686">
        <w:rPr>
          <w:spacing w:val="-12"/>
          <w:lang w:eastAsia="en-GB"/>
        </w:rPr>
        <w:t xml:space="preserve"> </w:t>
      </w:r>
      <w:r w:rsidR="00235686" w:rsidRPr="00235686">
        <w:rPr>
          <w:lang w:eastAsia="en-GB"/>
        </w:rPr>
        <w:t>Claim,</w:t>
      </w:r>
      <w:r w:rsidR="00235686" w:rsidRPr="00235686">
        <w:rPr>
          <w:spacing w:val="-6"/>
          <w:lang w:eastAsia="en-GB"/>
        </w:rPr>
        <w:t xml:space="preserve"> </w:t>
      </w:r>
      <w:proofErr w:type="gramStart"/>
      <w:r w:rsidR="00235686" w:rsidRPr="00235686">
        <w:rPr>
          <w:lang w:eastAsia="en-GB"/>
        </w:rPr>
        <w:t>is</w:t>
      </w:r>
      <w:r w:rsidR="00235686" w:rsidRPr="00235686">
        <w:rPr>
          <w:spacing w:val="-12"/>
          <w:lang w:eastAsia="en-GB"/>
        </w:rPr>
        <w:t xml:space="preserve"> </w:t>
      </w:r>
      <w:r w:rsidR="00235686" w:rsidRPr="00235686">
        <w:rPr>
          <w:lang w:eastAsia="en-GB"/>
        </w:rPr>
        <w:t>based</w:t>
      </w:r>
      <w:r w:rsidR="00235686" w:rsidRPr="00235686">
        <w:rPr>
          <w:spacing w:val="-13"/>
          <w:lang w:eastAsia="en-GB"/>
        </w:rPr>
        <w:t xml:space="preserve"> </w:t>
      </w:r>
      <w:r w:rsidR="00235686" w:rsidRPr="00235686">
        <w:rPr>
          <w:lang w:eastAsia="en-GB"/>
        </w:rPr>
        <w:t>on</w:t>
      </w:r>
      <w:r w:rsidR="00235686" w:rsidRPr="00235686">
        <w:rPr>
          <w:spacing w:val="-13"/>
          <w:lang w:eastAsia="en-GB"/>
        </w:rPr>
        <w:t xml:space="preserve"> </w:t>
      </w:r>
      <w:r w:rsidR="00235686" w:rsidRPr="00235686">
        <w:rPr>
          <w:lang w:eastAsia="en-GB"/>
        </w:rPr>
        <w:t>an</w:t>
      </w:r>
      <w:r w:rsidR="00235686" w:rsidRPr="00235686">
        <w:rPr>
          <w:spacing w:val="-13"/>
          <w:lang w:eastAsia="en-GB"/>
        </w:rPr>
        <w:t xml:space="preserve"> </w:t>
      </w:r>
      <w:r w:rsidR="00235686" w:rsidRPr="00235686">
        <w:rPr>
          <w:lang w:eastAsia="en-GB"/>
        </w:rPr>
        <w:t>assumption</w:t>
      </w:r>
      <w:proofErr w:type="gramEnd"/>
      <w:r w:rsidR="00235686" w:rsidRPr="00235686">
        <w:rPr>
          <w:spacing w:val="-15"/>
          <w:lang w:eastAsia="en-GB"/>
        </w:rPr>
        <w:t xml:space="preserve"> </w:t>
      </w:r>
      <w:r w:rsidR="00235686" w:rsidRPr="00235686">
        <w:rPr>
          <w:lang w:eastAsia="en-GB"/>
        </w:rPr>
        <w:t>by</w:t>
      </w:r>
      <w:r w:rsidR="00235686" w:rsidRPr="00235686">
        <w:rPr>
          <w:spacing w:val="-12"/>
          <w:lang w:eastAsia="en-GB"/>
        </w:rPr>
        <w:t xml:space="preserve"> </w:t>
      </w:r>
      <w:r w:rsidR="00235686" w:rsidRPr="00235686">
        <w:rPr>
          <w:lang w:eastAsia="en-GB"/>
        </w:rPr>
        <w:t>DBL</w:t>
      </w:r>
      <w:r w:rsidR="00235686" w:rsidRPr="00235686">
        <w:rPr>
          <w:spacing w:val="-12"/>
          <w:lang w:eastAsia="en-GB"/>
        </w:rPr>
        <w:t xml:space="preserve"> </w:t>
      </w:r>
      <w:r w:rsidR="00235686" w:rsidRPr="00235686">
        <w:rPr>
          <w:lang w:eastAsia="en-GB"/>
        </w:rPr>
        <w:t>that</w:t>
      </w:r>
      <w:r w:rsidR="00235686" w:rsidRPr="00235686">
        <w:rPr>
          <w:spacing w:val="-12"/>
          <w:lang w:eastAsia="en-GB"/>
        </w:rPr>
        <w:t xml:space="preserve"> </w:t>
      </w:r>
      <w:r w:rsidR="00235686" w:rsidRPr="00235686">
        <w:rPr>
          <w:lang w:eastAsia="en-GB"/>
        </w:rPr>
        <w:t>demand</w:t>
      </w:r>
      <w:r w:rsidR="00235686" w:rsidRPr="00235686">
        <w:rPr>
          <w:spacing w:val="-12"/>
          <w:lang w:eastAsia="en-GB"/>
        </w:rPr>
        <w:t xml:space="preserve"> </w:t>
      </w:r>
      <w:r w:rsidR="00235686" w:rsidRPr="00235686">
        <w:rPr>
          <w:lang w:eastAsia="en-GB"/>
        </w:rPr>
        <w:t>from</w:t>
      </w:r>
      <w:r w:rsidR="00235686" w:rsidRPr="00235686">
        <w:rPr>
          <w:spacing w:val="-12"/>
          <w:lang w:eastAsia="en-GB"/>
        </w:rPr>
        <w:t xml:space="preserve"> </w:t>
      </w:r>
      <w:r w:rsidR="00235686" w:rsidRPr="00235686">
        <w:rPr>
          <w:lang w:eastAsia="en-GB"/>
        </w:rPr>
        <w:t>concessionary</w:t>
      </w:r>
      <w:r w:rsidR="00235686" w:rsidRPr="00235686">
        <w:rPr>
          <w:spacing w:val="-12"/>
          <w:lang w:eastAsia="en-GB"/>
        </w:rPr>
        <w:t xml:space="preserve"> </w:t>
      </w:r>
      <w:r w:rsidR="00235686" w:rsidRPr="00235686">
        <w:rPr>
          <w:lang w:eastAsia="en-GB"/>
        </w:rPr>
        <w:t>fare</w:t>
      </w:r>
      <w:r w:rsidR="00235686" w:rsidRPr="00235686">
        <w:rPr>
          <w:spacing w:val="-12"/>
          <w:lang w:eastAsia="en-GB"/>
        </w:rPr>
        <w:t xml:space="preserve"> </w:t>
      </w:r>
      <w:r w:rsidR="00235686" w:rsidRPr="00235686">
        <w:rPr>
          <w:lang w:eastAsia="en-GB"/>
        </w:rPr>
        <w:t>passengers</w:t>
      </w:r>
      <w:r w:rsidR="00235686" w:rsidRPr="00235686">
        <w:rPr>
          <w:spacing w:val="-12"/>
          <w:lang w:eastAsia="en-GB"/>
        </w:rPr>
        <w:t xml:space="preserve"> </w:t>
      </w:r>
      <w:r w:rsidR="00235686" w:rsidRPr="00235686">
        <w:rPr>
          <w:lang w:eastAsia="en-GB"/>
        </w:rPr>
        <w:t>is</w:t>
      </w:r>
      <w:r w:rsidR="00235686" w:rsidRPr="00235686">
        <w:rPr>
          <w:spacing w:val="-16"/>
          <w:lang w:eastAsia="en-GB"/>
        </w:rPr>
        <w:t xml:space="preserve"> </w:t>
      </w:r>
      <w:r w:rsidR="00235686" w:rsidRPr="00235686">
        <w:rPr>
          <w:lang w:eastAsia="en-GB"/>
        </w:rPr>
        <w:t>lower</w:t>
      </w:r>
      <w:r w:rsidR="00235686" w:rsidRPr="00235686">
        <w:rPr>
          <w:spacing w:val="-14"/>
          <w:lang w:eastAsia="en-GB"/>
        </w:rPr>
        <w:t xml:space="preserve"> </w:t>
      </w:r>
      <w:r w:rsidR="00235686" w:rsidRPr="00235686">
        <w:rPr>
          <w:lang w:eastAsia="en-GB"/>
        </w:rPr>
        <w:t>on</w:t>
      </w:r>
      <w:r w:rsidR="00235686" w:rsidRPr="00235686">
        <w:rPr>
          <w:spacing w:val="-15"/>
          <w:lang w:eastAsia="en-GB"/>
        </w:rPr>
        <w:t xml:space="preserve"> </w:t>
      </w:r>
      <w:r w:rsidR="00235686" w:rsidRPr="00235686">
        <w:rPr>
          <w:lang w:eastAsia="en-GB"/>
        </w:rPr>
        <w:t>its</w:t>
      </w:r>
      <w:r w:rsidR="00235686" w:rsidRPr="00235686">
        <w:rPr>
          <w:spacing w:val="-12"/>
          <w:lang w:eastAsia="en-GB"/>
        </w:rPr>
        <w:t xml:space="preserve"> </w:t>
      </w:r>
      <w:r w:rsidR="00235686" w:rsidRPr="00235686">
        <w:rPr>
          <w:lang w:eastAsia="en-GB"/>
        </w:rPr>
        <w:t>services</w:t>
      </w:r>
      <w:r w:rsidR="00235686" w:rsidRPr="00235686">
        <w:rPr>
          <w:spacing w:val="-15"/>
          <w:lang w:eastAsia="en-GB"/>
        </w:rPr>
        <w:t xml:space="preserve"> </w:t>
      </w:r>
      <w:r w:rsidR="00235686" w:rsidRPr="00235686">
        <w:rPr>
          <w:lang w:eastAsia="en-GB"/>
        </w:rPr>
        <w:t>than</w:t>
      </w:r>
      <w:r w:rsidR="00235686" w:rsidRPr="00235686">
        <w:rPr>
          <w:spacing w:val="-12"/>
          <w:lang w:eastAsia="en-GB"/>
        </w:rPr>
        <w:t xml:space="preserve"> </w:t>
      </w:r>
      <w:r w:rsidR="00235686" w:rsidRPr="00235686">
        <w:rPr>
          <w:lang w:eastAsia="en-GB"/>
        </w:rPr>
        <w:t>the</w:t>
      </w:r>
      <w:r w:rsidR="00235686" w:rsidRPr="00235686">
        <w:rPr>
          <w:spacing w:val="-12"/>
          <w:lang w:eastAsia="en-GB"/>
        </w:rPr>
        <w:t xml:space="preserve"> </w:t>
      </w:r>
      <w:r w:rsidR="00235686" w:rsidRPr="00235686">
        <w:rPr>
          <w:lang w:eastAsia="en-GB"/>
        </w:rPr>
        <w:t>average</w:t>
      </w:r>
      <w:r w:rsidR="00235686" w:rsidRPr="00235686">
        <w:rPr>
          <w:spacing w:val="-12"/>
          <w:lang w:eastAsia="en-GB"/>
        </w:rPr>
        <w:t xml:space="preserve"> </w:t>
      </w:r>
      <w:r w:rsidR="00235686" w:rsidRPr="00235686">
        <w:rPr>
          <w:lang w:eastAsia="en-GB"/>
        </w:rPr>
        <w:t>demand</w:t>
      </w:r>
      <w:r w:rsidR="00235686" w:rsidRPr="00235686">
        <w:rPr>
          <w:spacing w:val="-11"/>
          <w:lang w:eastAsia="en-GB"/>
        </w:rPr>
        <w:t xml:space="preserve"> </w:t>
      </w:r>
      <w:r w:rsidR="00235686" w:rsidRPr="00235686">
        <w:rPr>
          <w:lang w:eastAsia="en-GB"/>
        </w:rPr>
        <w:t>from</w:t>
      </w:r>
      <w:r w:rsidR="00235686" w:rsidRPr="00235686">
        <w:rPr>
          <w:spacing w:val="-8"/>
          <w:lang w:eastAsia="en-GB"/>
        </w:rPr>
        <w:t xml:space="preserve"> </w:t>
      </w:r>
      <w:r w:rsidR="00235686" w:rsidRPr="00235686">
        <w:rPr>
          <w:lang w:eastAsia="en-GB"/>
        </w:rPr>
        <w:t>concessionary</w:t>
      </w:r>
      <w:r w:rsidR="00235686" w:rsidRPr="00235686">
        <w:rPr>
          <w:spacing w:val="-7"/>
          <w:lang w:eastAsia="en-GB"/>
        </w:rPr>
        <w:t xml:space="preserve"> </w:t>
      </w:r>
      <w:r w:rsidR="00235686" w:rsidRPr="00235686">
        <w:rPr>
          <w:lang w:eastAsia="en-GB"/>
        </w:rPr>
        <w:t>fare</w:t>
      </w:r>
      <w:r w:rsidR="00235686" w:rsidRPr="00235686">
        <w:rPr>
          <w:spacing w:val="-3"/>
          <w:lang w:eastAsia="en-GB"/>
        </w:rPr>
        <w:t xml:space="preserve"> </w:t>
      </w:r>
      <w:r w:rsidR="00235686" w:rsidRPr="00235686">
        <w:rPr>
          <w:lang w:eastAsia="en-GB"/>
        </w:rPr>
        <w:t>passengers for all</w:t>
      </w:r>
      <w:r w:rsidR="00235686" w:rsidRPr="00235686">
        <w:rPr>
          <w:spacing w:val="-8"/>
          <w:lang w:eastAsia="en-GB"/>
        </w:rPr>
        <w:t xml:space="preserve"> </w:t>
      </w:r>
      <w:r w:rsidR="00235686" w:rsidRPr="00235686">
        <w:rPr>
          <w:lang w:eastAsia="en-GB"/>
        </w:rPr>
        <w:t>bus</w:t>
      </w:r>
      <w:r w:rsidR="00235686" w:rsidRPr="00235686">
        <w:rPr>
          <w:spacing w:val="-11"/>
          <w:lang w:eastAsia="en-GB"/>
        </w:rPr>
        <w:t xml:space="preserve"> </w:t>
      </w:r>
      <w:r w:rsidR="00235686" w:rsidRPr="00235686">
        <w:rPr>
          <w:lang w:eastAsia="en-GB"/>
        </w:rPr>
        <w:t>operators</w:t>
      </w:r>
      <w:r w:rsidR="00235686" w:rsidRPr="00235686">
        <w:rPr>
          <w:spacing w:val="-7"/>
          <w:lang w:eastAsia="en-GB"/>
        </w:rPr>
        <w:t xml:space="preserve"> </w:t>
      </w:r>
      <w:r w:rsidR="00235686" w:rsidRPr="00235686">
        <w:rPr>
          <w:lang w:eastAsia="en-GB"/>
        </w:rPr>
        <w:t>across</w:t>
      </w:r>
      <w:r w:rsidR="00235686" w:rsidRPr="00235686">
        <w:rPr>
          <w:spacing w:val="-3"/>
          <w:lang w:eastAsia="en-GB"/>
        </w:rPr>
        <w:t xml:space="preserve"> </w:t>
      </w:r>
      <w:r w:rsidR="00235686" w:rsidRPr="00235686">
        <w:rPr>
          <w:lang w:eastAsia="en-GB"/>
        </w:rPr>
        <w:t>the West</w:t>
      </w:r>
      <w:r w:rsidR="00235686" w:rsidRPr="00235686">
        <w:rPr>
          <w:spacing w:val="-3"/>
          <w:lang w:eastAsia="en-GB"/>
        </w:rPr>
        <w:t xml:space="preserve"> </w:t>
      </w:r>
      <w:r w:rsidR="00235686" w:rsidRPr="00235686">
        <w:rPr>
          <w:lang w:eastAsia="en-GB"/>
        </w:rPr>
        <w:t>Midlands</w:t>
      </w:r>
      <w:r w:rsidR="00235686" w:rsidRPr="00235686">
        <w:rPr>
          <w:spacing w:val="-12"/>
          <w:lang w:eastAsia="en-GB"/>
        </w:rPr>
        <w:t xml:space="preserve"> </w:t>
      </w:r>
      <w:r w:rsidR="00235686" w:rsidRPr="00235686">
        <w:rPr>
          <w:lang w:eastAsia="en-GB"/>
        </w:rPr>
        <w:t>areas.</w:t>
      </w:r>
      <w:r w:rsidR="00235686" w:rsidRPr="00235686">
        <w:rPr>
          <w:spacing w:val="12"/>
          <w:lang w:eastAsia="en-GB"/>
        </w:rPr>
        <w:t xml:space="preserve"> </w:t>
      </w:r>
      <w:r w:rsidR="00235686" w:rsidRPr="00235686">
        <w:rPr>
          <w:lang w:eastAsia="en-GB"/>
        </w:rPr>
        <w:t>The</w:t>
      </w:r>
      <w:r w:rsidR="00235686" w:rsidRPr="00235686">
        <w:rPr>
          <w:spacing w:val="2"/>
          <w:lang w:eastAsia="en-GB"/>
        </w:rPr>
        <w:t xml:space="preserve"> </w:t>
      </w:r>
      <w:r w:rsidR="00235686" w:rsidRPr="00235686">
        <w:rPr>
          <w:lang w:eastAsia="en-GB"/>
        </w:rPr>
        <w:t>level of demand</w:t>
      </w:r>
      <w:r w:rsidR="00235686" w:rsidRPr="00235686">
        <w:rPr>
          <w:spacing w:val="2"/>
          <w:lang w:eastAsia="en-GB"/>
        </w:rPr>
        <w:t xml:space="preserve"> </w:t>
      </w:r>
      <w:r w:rsidR="00235686" w:rsidRPr="00235686">
        <w:rPr>
          <w:lang w:eastAsia="en-GB"/>
        </w:rPr>
        <w:t>from concessionary</w:t>
      </w:r>
      <w:r w:rsidR="00235686" w:rsidRPr="00235686">
        <w:rPr>
          <w:spacing w:val="2"/>
          <w:lang w:eastAsia="en-GB"/>
        </w:rPr>
        <w:t xml:space="preserve"> </w:t>
      </w:r>
      <w:r w:rsidR="00235686" w:rsidRPr="00235686">
        <w:rPr>
          <w:lang w:eastAsia="en-GB"/>
        </w:rPr>
        <w:t>fare</w:t>
      </w:r>
      <w:r w:rsidR="00235686" w:rsidRPr="00235686">
        <w:rPr>
          <w:spacing w:val="1"/>
          <w:lang w:eastAsia="en-GB"/>
        </w:rPr>
        <w:t xml:space="preserve"> </w:t>
      </w:r>
      <w:r w:rsidR="00235686" w:rsidRPr="00235686">
        <w:rPr>
          <w:lang w:eastAsia="en-GB"/>
        </w:rPr>
        <w:t>passengers</w:t>
      </w:r>
      <w:r w:rsidR="00235686" w:rsidRPr="00235686">
        <w:rPr>
          <w:spacing w:val="-3"/>
          <w:lang w:eastAsia="en-GB"/>
        </w:rPr>
        <w:t xml:space="preserve"> </w:t>
      </w:r>
      <w:r w:rsidR="00235686" w:rsidRPr="00235686">
        <w:rPr>
          <w:lang w:eastAsia="en-GB"/>
        </w:rPr>
        <w:t>plays</w:t>
      </w:r>
      <w:r w:rsidR="00235686" w:rsidRPr="00235686">
        <w:rPr>
          <w:spacing w:val="2"/>
          <w:lang w:eastAsia="en-GB"/>
        </w:rPr>
        <w:t xml:space="preserve"> </w:t>
      </w:r>
      <w:r w:rsidR="00235686" w:rsidRPr="00235686">
        <w:rPr>
          <w:lang w:eastAsia="en-GB"/>
        </w:rPr>
        <w:t>a</w:t>
      </w:r>
      <w:r w:rsidR="00235686" w:rsidRPr="00235686">
        <w:rPr>
          <w:spacing w:val="1"/>
          <w:lang w:eastAsia="en-GB"/>
        </w:rPr>
        <w:t xml:space="preserve"> </w:t>
      </w:r>
      <w:r w:rsidR="00235686" w:rsidRPr="00235686">
        <w:rPr>
          <w:lang w:eastAsia="en-GB"/>
        </w:rPr>
        <w:t>significant</w:t>
      </w:r>
      <w:r w:rsidR="00235686" w:rsidRPr="00235686">
        <w:rPr>
          <w:spacing w:val="-12"/>
          <w:lang w:eastAsia="en-GB"/>
        </w:rPr>
        <w:t xml:space="preserve"> </w:t>
      </w:r>
      <w:r w:rsidR="00235686" w:rsidRPr="00235686">
        <w:rPr>
          <w:lang w:eastAsia="en-GB"/>
        </w:rPr>
        <w:t>role</w:t>
      </w:r>
      <w:r w:rsidR="00235686" w:rsidRPr="00235686">
        <w:rPr>
          <w:spacing w:val="-1"/>
          <w:lang w:eastAsia="en-GB"/>
        </w:rPr>
        <w:t xml:space="preserve"> </w:t>
      </w:r>
      <w:r w:rsidR="00235686" w:rsidRPr="00235686">
        <w:rPr>
          <w:lang w:eastAsia="en-GB"/>
        </w:rPr>
        <w:t>in</w:t>
      </w:r>
      <w:r w:rsidR="00235686" w:rsidRPr="00235686">
        <w:rPr>
          <w:spacing w:val="-6"/>
          <w:lang w:eastAsia="en-GB"/>
        </w:rPr>
        <w:t xml:space="preserve"> </w:t>
      </w:r>
      <w:r w:rsidR="00235686" w:rsidRPr="00235686">
        <w:rPr>
          <w:lang w:eastAsia="en-GB"/>
        </w:rPr>
        <w:t>the</w:t>
      </w:r>
      <w:r w:rsidR="00235686" w:rsidRPr="00235686">
        <w:rPr>
          <w:spacing w:val="-7"/>
          <w:lang w:eastAsia="en-GB"/>
        </w:rPr>
        <w:t xml:space="preserve"> </w:t>
      </w:r>
      <w:r w:rsidR="00235686" w:rsidRPr="00235686">
        <w:rPr>
          <w:lang w:eastAsia="en-GB"/>
        </w:rPr>
        <w:t>calculation</w:t>
      </w:r>
      <w:r w:rsidR="00235686" w:rsidRPr="00235686">
        <w:rPr>
          <w:spacing w:val="-5"/>
          <w:lang w:eastAsia="en-GB"/>
        </w:rPr>
        <w:t xml:space="preserve"> </w:t>
      </w:r>
      <w:r w:rsidR="00235686" w:rsidRPr="00235686">
        <w:rPr>
          <w:lang w:eastAsia="en-GB"/>
        </w:rPr>
        <w:t>of</w:t>
      </w:r>
      <w:r w:rsidR="00235686" w:rsidRPr="00235686">
        <w:rPr>
          <w:spacing w:val="-7"/>
          <w:lang w:eastAsia="en-GB"/>
        </w:rPr>
        <w:t xml:space="preserve"> </w:t>
      </w:r>
      <w:proofErr w:type="gramStart"/>
      <w:r w:rsidR="00235686" w:rsidRPr="00235686">
        <w:rPr>
          <w:lang w:eastAsia="en-GB"/>
        </w:rPr>
        <w:t>a</w:t>
      </w:r>
      <w:r w:rsidR="00235686" w:rsidRPr="00235686">
        <w:rPr>
          <w:spacing w:val="-3"/>
          <w:lang w:eastAsia="en-GB"/>
        </w:rPr>
        <w:t xml:space="preserve"> </w:t>
      </w:r>
      <w:r w:rsidR="00235686" w:rsidRPr="00235686">
        <w:rPr>
          <w:lang w:eastAsia="en-GB"/>
        </w:rPr>
        <w:t>number</w:t>
      </w:r>
      <w:r w:rsidR="00235686" w:rsidRPr="00235686">
        <w:rPr>
          <w:spacing w:val="-6"/>
          <w:lang w:eastAsia="en-GB"/>
        </w:rPr>
        <w:t xml:space="preserve"> </w:t>
      </w:r>
      <w:r w:rsidR="00235686" w:rsidRPr="00235686">
        <w:rPr>
          <w:lang w:eastAsia="en-GB"/>
        </w:rPr>
        <w:t>of</w:t>
      </w:r>
      <w:proofErr w:type="gramEnd"/>
      <w:r w:rsidR="00235686" w:rsidRPr="00235686">
        <w:rPr>
          <w:spacing w:val="-7"/>
          <w:lang w:eastAsia="en-GB"/>
        </w:rPr>
        <w:t xml:space="preserve"> </w:t>
      </w:r>
      <w:r w:rsidR="00235686" w:rsidRPr="00235686">
        <w:rPr>
          <w:lang w:eastAsia="en-GB"/>
        </w:rPr>
        <w:t>elements</w:t>
      </w:r>
      <w:r w:rsidR="00235686" w:rsidRPr="00235686">
        <w:rPr>
          <w:spacing w:val="-9"/>
          <w:lang w:eastAsia="en-GB"/>
        </w:rPr>
        <w:t xml:space="preserve"> </w:t>
      </w:r>
      <w:r w:rsidR="00235686" w:rsidRPr="00235686">
        <w:rPr>
          <w:lang w:eastAsia="en-GB"/>
        </w:rPr>
        <w:t>of</w:t>
      </w:r>
      <w:r w:rsidR="00235686" w:rsidRPr="00235686">
        <w:rPr>
          <w:spacing w:val="-10"/>
          <w:lang w:eastAsia="en-GB"/>
        </w:rPr>
        <w:t xml:space="preserve"> </w:t>
      </w:r>
      <w:r w:rsidR="00235686" w:rsidRPr="00235686">
        <w:rPr>
          <w:lang w:eastAsia="en-GB"/>
        </w:rPr>
        <w:t>reimbursement</w:t>
      </w:r>
      <w:r w:rsidR="00235686" w:rsidRPr="00235686">
        <w:rPr>
          <w:spacing w:val="-5"/>
          <w:lang w:eastAsia="en-GB"/>
        </w:rPr>
        <w:t xml:space="preserve"> </w:t>
      </w:r>
      <w:r w:rsidR="00235686" w:rsidRPr="00235686">
        <w:rPr>
          <w:lang w:eastAsia="en-GB"/>
        </w:rPr>
        <w:t>under</w:t>
      </w:r>
      <w:r w:rsidR="00235686" w:rsidRPr="00235686">
        <w:rPr>
          <w:spacing w:val="-7"/>
          <w:lang w:eastAsia="en-GB"/>
        </w:rPr>
        <w:t xml:space="preserve"> </w:t>
      </w:r>
      <w:r w:rsidR="00235686" w:rsidRPr="00235686">
        <w:rPr>
          <w:lang w:eastAsia="en-GB"/>
        </w:rPr>
        <w:t>the</w:t>
      </w:r>
      <w:r w:rsidR="00235686" w:rsidRPr="00235686">
        <w:rPr>
          <w:spacing w:val="-5"/>
          <w:lang w:eastAsia="en-GB"/>
        </w:rPr>
        <w:t xml:space="preserve"> </w:t>
      </w:r>
      <w:r w:rsidR="00235686" w:rsidRPr="00235686">
        <w:rPr>
          <w:lang w:eastAsia="en-GB"/>
        </w:rPr>
        <w:t>scheme,</w:t>
      </w:r>
      <w:r w:rsidR="00235686" w:rsidRPr="00235686">
        <w:rPr>
          <w:spacing w:val="-12"/>
          <w:lang w:eastAsia="en-GB"/>
        </w:rPr>
        <w:t xml:space="preserve"> </w:t>
      </w:r>
      <w:r w:rsidR="00235686" w:rsidRPr="00235686">
        <w:rPr>
          <w:lang w:eastAsia="en-GB"/>
        </w:rPr>
        <w:t>not</w:t>
      </w:r>
      <w:r w:rsidR="00235686" w:rsidRPr="00235686">
        <w:rPr>
          <w:spacing w:val="6"/>
          <w:lang w:eastAsia="en-GB"/>
        </w:rPr>
        <w:t xml:space="preserve"> </w:t>
      </w:r>
      <w:r w:rsidR="00235686" w:rsidRPr="00235686">
        <w:rPr>
          <w:lang w:eastAsia="en-GB"/>
        </w:rPr>
        <w:t>just</w:t>
      </w:r>
      <w:r w:rsidR="00235686" w:rsidRPr="00235686">
        <w:rPr>
          <w:spacing w:val="18"/>
          <w:lang w:eastAsia="en-GB"/>
        </w:rPr>
        <w:t xml:space="preserve"> </w:t>
      </w:r>
      <w:r w:rsidR="00235686" w:rsidRPr="00235686">
        <w:rPr>
          <w:lang w:eastAsia="en-GB"/>
        </w:rPr>
        <w:t>in</w:t>
      </w:r>
      <w:r w:rsidR="00235686" w:rsidRPr="00235686">
        <w:rPr>
          <w:spacing w:val="13"/>
          <w:lang w:eastAsia="en-GB"/>
        </w:rPr>
        <w:t xml:space="preserve"> </w:t>
      </w:r>
      <w:r w:rsidR="00235686" w:rsidRPr="00235686">
        <w:rPr>
          <w:lang w:eastAsia="en-GB"/>
        </w:rPr>
        <w:t>the</w:t>
      </w:r>
      <w:r w:rsidR="00235686" w:rsidRPr="00235686">
        <w:rPr>
          <w:spacing w:val="16"/>
          <w:lang w:eastAsia="en-GB"/>
        </w:rPr>
        <w:t xml:space="preserve"> </w:t>
      </w:r>
      <w:r w:rsidR="00235686" w:rsidRPr="00235686">
        <w:rPr>
          <w:lang w:eastAsia="en-GB"/>
        </w:rPr>
        <w:t>calculation</w:t>
      </w:r>
      <w:r w:rsidR="00235686" w:rsidRPr="00235686">
        <w:rPr>
          <w:spacing w:val="18"/>
          <w:lang w:eastAsia="en-GB"/>
        </w:rPr>
        <w:t xml:space="preserve"> </w:t>
      </w:r>
      <w:r w:rsidR="00235686" w:rsidRPr="00235686">
        <w:rPr>
          <w:lang w:eastAsia="en-GB"/>
        </w:rPr>
        <w:t>of</w:t>
      </w:r>
      <w:r w:rsidR="00235686" w:rsidRPr="00235686">
        <w:rPr>
          <w:spacing w:val="12"/>
          <w:lang w:eastAsia="en-GB"/>
        </w:rPr>
        <w:t xml:space="preserve"> </w:t>
      </w:r>
      <w:r w:rsidR="00235686" w:rsidRPr="00235686">
        <w:rPr>
          <w:lang w:eastAsia="en-GB"/>
        </w:rPr>
        <w:t>the</w:t>
      </w:r>
      <w:r w:rsidR="00235686" w:rsidRPr="00235686">
        <w:rPr>
          <w:spacing w:val="10"/>
          <w:lang w:eastAsia="en-GB"/>
        </w:rPr>
        <w:t xml:space="preserve"> </w:t>
      </w:r>
      <w:r w:rsidR="00235686" w:rsidRPr="00235686">
        <w:rPr>
          <w:lang w:eastAsia="en-GB"/>
        </w:rPr>
        <w:t>Average</w:t>
      </w:r>
      <w:r w:rsidR="00235686" w:rsidRPr="00235686">
        <w:rPr>
          <w:spacing w:val="17"/>
          <w:lang w:eastAsia="en-GB"/>
        </w:rPr>
        <w:t xml:space="preserve"> </w:t>
      </w:r>
      <w:r w:rsidR="00235686" w:rsidRPr="00235686">
        <w:rPr>
          <w:lang w:eastAsia="en-GB"/>
        </w:rPr>
        <w:t>Fare</w:t>
      </w:r>
      <w:r w:rsidR="00235686" w:rsidRPr="00235686">
        <w:rPr>
          <w:spacing w:val="14"/>
          <w:lang w:eastAsia="en-GB"/>
        </w:rPr>
        <w:t xml:space="preserve"> </w:t>
      </w:r>
      <w:r w:rsidR="00235686" w:rsidRPr="00235686">
        <w:rPr>
          <w:lang w:eastAsia="en-GB"/>
        </w:rPr>
        <w:t>Foregone.</w:t>
      </w:r>
      <w:r w:rsidR="00235686" w:rsidRPr="00235686">
        <w:rPr>
          <w:spacing w:val="35"/>
          <w:lang w:eastAsia="en-GB"/>
        </w:rPr>
        <w:t xml:space="preserve"> </w:t>
      </w:r>
      <w:r w:rsidR="00235686" w:rsidRPr="00235686">
        <w:rPr>
          <w:lang w:eastAsia="en-GB"/>
        </w:rPr>
        <w:t>If</w:t>
      </w:r>
      <w:r w:rsidR="00235686" w:rsidRPr="00235686">
        <w:rPr>
          <w:spacing w:val="12"/>
          <w:lang w:eastAsia="en-GB"/>
        </w:rPr>
        <w:t xml:space="preserve"> </w:t>
      </w:r>
      <w:r w:rsidR="00235686" w:rsidRPr="00235686">
        <w:rPr>
          <w:lang w:eastAsia="en-GB"/>
        </w:rPr>
        <w:t>the</w:t>
      </w:r>
      <w:r w:rsidR="00235686" w:rsidRPr="00235686">
        <w:rPr>
          <w:spacing w:val="20"/>
          <w:lang w:eastAsia="en-GB"/>
        </w:rPr>
        <w:t xml:space="preserve"> </w:t>
      </w:r>
      <w:r w:rsidR="00235686" w:rsidRPr="00235686">
        <w:rPr>
          <w:lang w:eastAsia="en-GB"/>
        </w:rPr>
        <w:t>disclosure</w:t>
      </w:r>
      <w:r w:rsidR="00235686" w:rsidRPr="00235686">
        <w:rPr>
          <w:spacing w:val="17"/>
          <w:lang w:eastAsia="en-GB"/>
        </w:rPr>
        <w:t xml:space="preserve"> </w:t>
      </w:r>
      <w:r w:rsidR="00235686" w:rsidRPr="00235686">
        <w:rPr>
          <w:lang w:eastAsia="en-GB"/>
        </w:rPr>
        <w:t>of</w:t>
      </w:r>
      <w:r w:rsidR="00235686" w:rsidRPr="00235686">
        <w:rPr>
          <w:spacing w:val="16"/>
          <w:lang w:eastAsia="en-GB"/>
        </w:rPr>
        <w:t xml:space="preserve"> </w:t>
      </w:r>
      <w:r w:rsidR="00235686" w:rsidRPr="00235686">
        <w:rPr>
          <w:lang w:eastAsia="en-GB"/>
        </w:rPr>
        <w:t>the</w:t>
      </w:r>
      <w:r w:rsidR="00235686" w:rsidRPr="00235686">
        <w:rPr>
          <w:spacing w:val="-12"/>
          <w:lang w:eastAsia="en-GB"/>
        </w:rPr>
        <w:t xml:space="preserve"> </w:t>
      </w:r>
      <w:r w:rsidR="00235686" w:rsidRPr="00235686">
        <w:rPr>
          <w:lang w:eastAsia="en-GB"/>
        </w:rPr>
        <w:t>requested</w:t>
      </w:r>
      <w:r w:rsidR="00235686" w:rsidRPr="00235686">
        <w:rPr>
          <w:spacing w:val="10"/>
          <w:lang w:eastAsia="en-GB"/>
        </w:rPr>
        <w:t xml:space="preserve"> </w:t>
      </w:r>
      <w:r w:rsidR="00235686" w:rsidRPr="00235686">
        <w:rPr>
          <w:lang w:eastAsia="en-GB"/>
        </w:rPr>
        <w:t>information</w:t>
      </w:r>
      <w:r w:rsidR="00235686" w:rsidRPr="00235686">
        <w:rPr>
          <w:spacing w:val="12"/>
          <w:lang w:eastAsia="en-GB"/>
        </w:rPr>
        <w:t xml:space="preserve"> </w:t>
      </w:r>
      <w:r w:rsidR="00235686" w:rsidRPr="00235686">
        <w:rPr>
          <w:lang w:eastAsia="en-GB"/>
        </w:rPr>
        <w:t>supports</w:t>
      </w:r>
      <w:r w:rsidR="00235686" w:rsidRPr="00235686">
        <w:rPr>
          <w:spacing w:val="12"/>
          <w:lang w:eastAsia="en-GB"/>
        </w:rPr>
        <w:t xml:space="preserve"> </w:t>
      </w:r>
      <w:r w:rsidR="00235686" w:rsidRPr="00235686">
        <w:rPr>
          <w:lang w:eastAsia="en-GB"/>
        </w:rPr>
        <w:t>the</w:t>
      </w:r>
      <w:r w:rsidR="00235686" w:rsidRPr="00235686">
        <w:rPr>
          <w:spacing w:val="13"/>
          <w:lang w:eastAsia="en-GB"/>
        </w:rPr>
        <w:t xml:space="preserve"> </w:t>
      </w:r>
      <w:r w:rsidR="00235686" w:rsidRPr="00235686">
        <w:rPr>
          <w:lang w:eastAsia="en-GB"/>
        </w:rPr>
        <w:t>assumption</w:t>
      </w:r>
      <w:r w:rsidR="00235686" w:rsidRPr="00235686">
        <w:rPr>
          <w:spacing w:val="9"/>
          <w:lang w:eastAsia="en-GB"/>
        </w:rPr>
        <w:t xml:space="preserve"> </w:t>
      </w:r>
      <w:r w:rsidR="00235686" w:rsidRPr="00235686">
        <w:rPr>
          <w:lang w:eastAsia="en-GB"/>
        </w:rPr>
        <w:t>that</w:t>
      </w:r>
      <w:r w:rsidR="00235686" w:rsidRPr="00235686">
        <w:rPr>
          <w:spacing w:val="16"/>
          <w:lang w:eastAsia="en-GB"/>
        </w:rPr>
        <w:t xml:space="preserve"> </w:t>
      </w:r>
      <w:r w:rsidR="00235686" w:rsidRPr="00235686">
        <w:rPr>
          <w:lang w:eastAsia="en-GB"/>
        </w:rPr>
        <w:t>demand</w:t>
      </w:r>
      <w:r w:rsidR="00235686" w:rsidRPr="00235686">
        <w:rPr>
          <w:spacing w:val="15"/>
          <w:lang w:eastAsia="en-GB"/>
        </w:rPr>
        <w:t xml:space="preserve"> </w:t>
      </w:r>
      <w:r w:rsidR="00235686" w:rsidRPr="00235686">
        <w:rPr>
          <w:lang w:eastAsia="en-GB"/>
        </w:rPr>
        <w:t>on</w:t>
      </w:r>
      <w:r w:rsidR="00235686" w:rsidRPr="00235686">
        <w:rPr>
          <w:spacing w:val="12"/>
          <w:lang w:eastAsia="en-GB"/>
        </w:rPr>
        <w:t xml:space="preserve"> </w:t>
      </w:r>
      <w:r w:rsidR="00235686" w:rsidRPr="00235686">
        <w:rPr>
          <w:lang w:eastAsia="en-GB"/>
        </w:rPr>
        <w:t>DBL's</w:t>
      </w:r>
      <w:r w:rsidR="00235686" w:rsidRPr="00235686">
        <w:rPr>
          <w:spacing w:val="12"/>
          <w:lang w:eastAsia="en-GB"/>
        </w:rPr>
        <w:t xml:space="preserve"> </w:t>
      </w:r>
      <w:r w:rsidR="00235686" w:rsidRPr="00235686">
        <w:rPr>
          <w:lang w:eastAsia="en-GB"/>
        </w:rPr>
        <w:t>services</w:t>
      </w:r>
      <w:r w:rsidR="00235686" w:rsidRPr="00235686">
        <w:rPr>
          <w:spacing w:val="8"/>
          <w:lang w:eastAsia="en-GB"/>
        </w:rPr>
        <w:t xml:space="preserve"> </w:t>
      </w:r>
      <w:r w:rsidR="00235686" w:rsidRPr="00235686">
        <w:rPr>
          <w:lang w:eastAsia="en-GB"/>
        </w:rPr>
        <w:t>is</w:t>
      </w:r>
      <w:r w:rsidR="00235686" w:rsidRPr="00235686">
        <w:rPr>
          <w:spacing w:val="-12"/>
          <w:lang w:eastAsia="en-GB"/>
        </w:rPr>
        <w:t xml:space="preserve"> </w:t>
      </w:r>
      <w:r w:rsidR="00235686" w:rsidRPr="00235686">
        <w:rPr>
          <w:lang w:eastAsia="en-GB"/>
        </w:rPr>
        <w:t>lower,</w:t>
      </w:r>
      <w:r w:rsidR="00235686" w:rsidRPr="00235686">
        <w:rPr>
          <w:spacing w:val="27"/>
          <w:lang w:eastAsia="en-GB"/>
        </w:rPr>
        <w:t xml:space="preserve"> </w:t>
      </w:r>
      <w:r w:rsidR="00235686" w:rsidRPr="00235686">
        <w:rPr>
          <w:lang w:eastAsia="en-GB"/>
        </w:rPr>
        <w:t>and</w:t>
      </w:r>
      <w:r w:rsidR="00235686" w:rsidRPr="00235686">
        <w:rPr>
          <w:spacing w:val="15"/>
          <w:lang w:eastAsia="en-GB"/>
        </w:rPr>
        <w:t xml:space="preserve"> </w:t>
      </w:r>
      <w:r w:rsidR="00235686" w:rsidRPr="00235686">
        <w:rPr>
          <w:lang w:eastAsia="en-GB"/>
        </w:rPr>
        <w:t>Oxera</w:t>
      </w:r>
      <w:r w:rsidR="00235686" w:rsidRPr="00235686">
        <w:rPr>
          <w:spacing w:val="20"/>
          <w:lang w:eastAsia="en-GB"/>
        </w:rPr>
        <w:t xml:space="preserve"> </w:t>
      </w:r>
      <w:r w:rsidR="00235686" w:rsidRPr="00235686">
        <w:rPr>
          <w:lang w:eastAsia="en-GB"/>
        </w:rPr>
        <w:t>produce</w:t>
      </w:r>
      <w:r w:rsidR="00235686" w:rsidRPr="00235686">
        <w:rPr>
          <w:spacing w:val="21"/>
          <w:lang w:eastAsia="en-GB"/>
        </w:rPr>
        <w:t xml:space="preserve"> </w:t>
      </w:r>
      <w:r w:rsidR="00235686" w:rsidRPr="00235686">
        <w:rPr>
          <w:lang w:eastAsia="en-GB"/>
        </w:rPr>
        <w:t>an</w:t>
      </w:r>
      <w:r w:rsidR="00235686" w:rsidRPr="00235686">
        <w:rPr>
          <w:spacing w:val="20"/>
          <w:lang w:eastAsia="en-GB"/>
        </w:rPr>
        <w:t xml:space="preserve"> </w:t>
      </w:r>
      <w:r w:rsidR="00235686" w:rsidRPr="00235686">
        <w:rPr>
          <w:lang w:eastAsia="en-GB"/>
        </w:rPr>
        <w:t>updated</w:t>
      </w:r>
      <w:r w:rsidR="00235686" w:rsidRPr="00235686">
        <w:rPr>
          <w:spacing w:val="17"/>
          <w:lang w:eastAsia="en-GB"/>
        </w:rPr>
        <w:t xml:space="preserve"> </w:t>
      </w:r>
      <w:r w:rsidR="00111FF1">
        <w:rPr>
          <w:lang w:eastAsia="en-GB"/>
        </w:rPr>
        <w:t>Look-up</w:t>
      </w:r>
      <w:r w:rsidR="00235686" w:rsidRPr="00235686">
        <w:rPr>
          <w:spacing w:val="17"/>
          <w:lang w:eastAsia="en-GB"/>
        </w:rPr>
        <w:t xml:space="preserve"> </w:t>
      </w:r>
      <w:r w:rsidR="00235686" w:rsidRPr="00235686">
        <w:rPr>
          <w:lang w:eastAsia="en-GB"/>
        </w:rPr>
        <w:t>table</w:t>
      </w:r>
      <w:r w:rsidR="00235686" w:rsidRPr="00235686">
        <w:rPr>
          <w:spacing w:val="16"/>
          <w:lang w:eastAsia="en-GB"/>
        </w:rPr>
        <w:t xml:space="preserve"> </w:t>
      </w:r>
      <w:r w:rsidR="00235686" w:rsidRPr="00235686">
        <w:rPr>
          <w:lang w:eastAsia="en-GB"/>
        </w:rPr>
        <w:t>to</w:t>
      </w:r>
      <w:r w:rsidR="00235686" w:rsidRPr="00235686">
        <w:rPr>
          <w:spacing w:val="17"/>
          <w:lang w:eastAsia="en-GB"/>
        </w:rPr>
        <w:t xml:space="preserve"> </w:t>
      </w:r>
      <w:r w:rsidR="00235686" w:rsidRPr="00235686">
        <w:rPr>
          <w:lang w:eastAsia="en-GB"/>
        </w:rPr>
        <w:t>reflect</w:t>
      </w:r>
      <w:r w:rsidR="00235686" w:rsidRPr="00235686">
        <w:rPr>
          <w:spacing w:val="16"/>
          <w:lang w:eastAsia="en-GB"/>
        </w:rPr>
        <w:t xml:space="preserve"> </w:t>
      </w:r>
      <w:r w:rsidR="00235686" w:rsidRPr="00235686">
        <w:rPr>
          <w:lang w:eastAsia="en-GB"/>
        </w:rPr>
        <w:t>this,</w:t>
      </w:r>
      <w:r w:rsidR="00235686" w:rsidRPr="00235686">
        <w:rPr>
          <w:spacing w:val="31"/>
          <w:lang w:eastAsia="en-GB"/>
        </w:rPr>
        <w:t xml:space="preserve"> </w:t>
      </w:r>
      <w:r w:rsidR="00235686" w:rsidRPr="00235686">
        <w:rPr>
          <w:lang w:eastAsia="en-GB"/>
        </w:rPr>
        <w:t>with</w:t>
      </w:r>
      <w:r w:rsidR="00235686" w:rsidRPr="00235686">
        <w:rPr>
          <w:spacing w:val="17"/>
          <w:lang w:eastAsia="en-GB"/>
        </w:rPr>
        <w:t xml:space="preserve"> </w:t>
      </w:r>
      <w:r w:rsidR="00235686" w:rsidRPr="00235686">
        <w:rPr>
          <w:lang w:eastAsia="en-GB"/>
        </w:rPr>
        <w:t>a</w:t>
      </w:r>
      <w:r w:rsidR="00235686" w:rsidRPr="00235686">
        <w:rPr>
          <w:spacing w:val="17"/>
          <w:lang w:eastAsia="en-GB"/>
        </w:rPr>
        <w:t xml:space="preserve"> </w:t>
      </w:r>
      <w:r w:rsidR="00235686" w:rsidRPr="00235686">
        <w:rPr>
          <w:lang w:eastAsia="en-GB"/>
        </w:rPr>
        <w:t>higher</w:t>
      </w:r>
      <w:r w:rsidR="00235686" w:rsidRPr="00235686">
        <w:rPr>
          <w:spacing w:val="-12"/>
          <w:lang w:eastAsia="en-GB"/>
        </w:rPr>
        <w:t xml:space="preserve"> </w:t>
      </w:r>
      <w:r w:rsidR="00235686" w:rsidRPr="00235686">
        <w:rPr>
          <w:lang w:eastAsia="en-GB"/>
        </w:rPr>
        <w:t>Average</w:t>
      </w:r>
      <w:r w:rsidR="00235686" w:rsidRPr="00235686">
        <w:rPr>
          <w:spacing w:val="-12"/>
          <w:lang w:eastAsia="en-GB"/>
        </w:rPr>
        <w:t xml:space="preserve"> </w:t>
      </w:r>
      <w:r w:rsidR="00235686" w:rsidRPr="00235686">
        <w:rPr>
          <w:lang w:eastAsia="en-GB"/>
        </w:rPr>
        <w:t>Fare</w:t>
      </w:r>
      <w:r w:rsidR="00235686" w:rsidRPr="00235686">
        <w:rPr>
          <w:spacing w:val="-12"/>
          <w:lang w:eastAsia="en-GB"/>
        </w:rPr>
        <w:t xml:space="preserve"> </w:t>
      </w:r>
      <w:r w:rsidR="00235686" w:rsidRPr="00235686">
        <w:rPr>
          <w:lang w:eastAsia="en-GB"/>
        </w:rPr>
        <w:t>Foregone, the</w:t>
      </w:r>
      <w:r w:rsidR="00235686" w:rsidRPr="00235686">
        <w:rPr>
          <w:spacing w:val="-12"/>
          <w:lang w:eastAsia="en-GB"/>
        </w:rPr>
        <w:t xml:space="preserve"> </w:t>
      </w:r>
      <w:r w:rsidR="00235686" w:rsidRPr="00235686">
        <w:rPr>
          <w:lang w:eastAsia="en-GB"/>
        </w:rPr>
        <w:t>lower</w:t>
      </w:r>
      <w:r w:rsidR="00235686" w:rsidRPr="00235686">
        <w:rPr>
          <w:spacing w:val="-12"/>
          <w:lang w:eastAsia="en-GB"/>
        </w:rPr>
        <w:t xml:space="preserve"> </w:t>
      </w:r>
      <w:r w:rsidR="00235686" w:rsidRPr="00235686">
        <w:rPr>
          <w:lang w:eastAsia="en-GB"/>
        </w:rPr>
        <w:t>demand</w:t>
      </w:r>
      <w:r w:rsidR="00235686" w:rsidRPr="00235686">
        <w:rPr>
          <w:spacing w:val="-12"/>
          <w:lang w:eastAsia="en-GB"/>
        </w:rPr>
        <w:t xml:space="preserve"> </w:t>
      </w:r>
      <w:r w:rsidR="00235686" w:rsidRPr="00235686">
        <w:rPr>
          <w:lang w:eastAsia="en-GB"/>
        </w:rPr>
        <w:t>would</w:t>
      </w:r>
      <w:r w:rsidR="00235686" w:rsidRPr="00235686">
        <w:rPr>
          <w:spacing w:val="-12"/>
          <w:lang w:eastAsia="en-GB"/>
        </w:rPr>
        <w:t xml:space="preserve"> </w:t>
      </w:r>
      <w:r w:rsidR="00235686" w:rsidRPr="00235686">
        <w:rPr>
          <w:lang w:eastAsia="en-GB"/>
        </w:rPr>
        <w:t>mean</w:t>
      </w:r>
      <w:r w:rsidR="00235686" w:rsidRPr="00235686">
        <w:rPr>
          <w:spacing w:val="-12"/>
          <w:lang w:eastAsia="en-GB"/>
        </w:rPr>
        <w:t xml:space="preserve"> </w:t>
      </w:r>
      <w:r w:rsidR="00235686" w:rsidRPr="00235686">
        <w:rPr>
          <w:lang w:eastAsia="en-GB"/>
        </w:rPr>
        <w:t>that</w:t>
      </w:r>
      <w:r w:rsidR="00235686" w:rsidRPr="00235686">
        <w:rPr>
          <w:spacing w:val="-12"/>
          <w:lang w:eastAsia="en-GB"/>
        </w:rPr>
        <w:t xml:space="preserve"> </w:t>
      </w:r>
      <w:r w:rsidR="00235686" w:rsidRPr="00235686">
        <w:rPr>
          <w:lang w:eastAsia="en-GB"/>
        </w:rPr>
        <w:t>DBL</w:t>
      </w:r>
      <w:r w:rsidR="00235686" w:rsidRPr="00235686">
        <w:rPr>
          <w:spacing w:val="-12"/>
          <w:lang w:eastAsia="en-GB"/>
        </w:rPr>
        <w:t xml:space="preserve"> </w:t>
      </w:r>
      <w:r w:rsidR="00235686" w:rsidRPr="00235686">
        <w:rPr>
          <w:lang w:eastAsia="en-GB"/>
        </w:rPr>
        <w:lastRenderedPageBreak/>
        <w:t>would</w:t>
      </w:r>
      <w:r w:rsidR="00235686" w:rsidRPr="00235686">
        <w:rPr>
          <w:spacing w:val="-12"/>
          <w:lang w:eastAsia="en-GB"/>
        </w:rPr>
        <w:t xml:space="preserve"> </w:t>
      </w:r>
      <w:r w:rsidR="00235686" w:rsidRPr="00235686">
        <w:rPr>
          <w:lang w:eastAsia="en-GB"/>
        </w:rPr>
        <w:t>be</w:t>
      </w:r>
      <w:r w:rsidR="00235686" w:rsidRPr="00235686">
        <w:rPr>
          <w:spacing w:val="-12"/>
          <w:lang w:eastAsia="en-GB"/>
        </w:rPr>
        <w:t xml:space="preserve"> </w:t>
      </w:r>
      <w:r w:rsidR="00235686" w:rsidRPr="00235686">
        <w:rPr>
          <w:lang w:eastAsia="en-GB"/>
        </w:rPr>
        <w:t>entitled</w:t>
      </w:r>
      <w:r w:rsidR="00235686" w:rsidRPr="00235686">
        <w:rPr>
          <w:spacing w:val="-11"/>
          <w:lang w:eastAsia="en-GB"/>
        </w:rPr>
        <w:t xml:space="preserve"> </w:t>
      </w:r>
      <w:r w:rsidR="00235686" w:rsidRPr="00235686">
        <w:rPr>
          <w:lang w:eastAsia="en-GB"/>
        </w:rPr>
        <w:t>to</w:t>
      </w:r>
      <w:r w:rsidR="00235686" w:rsidRPr="00235686">
        <w:rPr>
          <w:spacing w:val="-12"/>
          <w:lang w:eastAsia="en-GB"/>
        </w:rPr>
        <w:t xml:space="preserve"> </w:t>
      </w:r>
      <w:r w:rsidR="00235686" w:rsidRPr="00235686">
        <w:rPr>
          <w:lang w:eastAsia="en-GB"/>
        </w:rPr>
        <w:t>lower</w:t>
      </w:r>
      <w:r w:rsidR="00235686" w:rsidRPr="00235686">
        <w:rPr>
          <w:spacing w:val="13"/>
          <w:lang w:eastAsia="en-GB"/>
        </w:rPr>
        <w:t xml:space="preserve"> </w:t>
      </w:r>
      <w:r w:rsidR="00235686" w:rsidRPr="00235686">
        <w:rPr>
          <w:lang w:eastAsia="en-GB"/>
        </w:rPr>
        <w:t>reimbursements</w:t>
      </w:r>
      <w:r w:rsidR="00235686" w:rsidRPr="00235686">
        <w:rPr>
          <w:spacing w:val="7"/>
          <w:lang w:eastAsia="en-GB"/>
        </w:rPr>
        <w:t xml:space="preserve"> </w:t>
      </w:r>
      <w:r w:rsidR="00235686" w:rsidRPr="00235686">
        <w:rPr>
          <w:lang w:eastAsia="en-GB"/>
        </w:rPr>
        <w:t>in</w:t>
      </w:r>
      <w:r w:rsidR="00235686" w:rsidRPr="00235686">
        <w:rPr>
          <w:spacing w:val="7"/>
          <w:lang w:eastAsia="en-GB"/>
        </w:rPr>
        <w:t xml:space="preserve"> </w:t>
      </w:r>
      <w:r w:rsidR="00235686" w:rsidRPr="00235686">
        <w:rPr>
          <w:lang w:eastAsia="en-GB"/>
        </w:rPr>
        <w:t>relation</w:t>
      </w:r>
      <w:r w:rsidR="00235686" w:rsidRPr="00235686">
        <w:rPr>
          <w:spacing w:val="10"/>
          <w:lang w:eastAsia="en-GB"/>
        </w:rPr>
        <w:t xml:space="preserve"> </w:t>
      </w:r>
      <w:r w:rsidR="00235686" w:rsidRPr="00235686">
        <w:rPr>
          <w:lang w:eastAsia="en-GB"/>
        </w:rPr>
        <w:t>to</w:t>
      </w:r>
      <w:r w:rsidR="00235686" w:rsidRPr="00235686">
        <w:rPr>
          <w:spacing w:val="17"/>
          <w:lang w:eastAsia="en-GB"/>
        </w:rPr>
        <w:t xml:space="preserve"> </w:t>
      </w:r>
      <w:r w:rsidR="00235686" w:rsidRPr="00235686">
        <w:rPr>
          <w:lang w:eastAsia="en-GB"/>
        </w:rPr>
        <w:t>other</w:t>
      </w:r>
      <w:r w:rsidR="00235686" w:rsidRPr="00235686">
        <w:rPr>
          <w:spacing w:val="21"/>
          <w:lang w:eastAsia="en-GB"/>
        </w:rPr>
        <w:t xml:space="preserve"> </w:t>
      </w:r>
      <w:r w:rsidR="00235686" w:rsidRPr="00235686">
        <w:rPr>
          <w:lang w:eastAsia="en-GB"/>
        </w:rPr>
        <w:t>elements</w:t>
      </w:r>
      <w:r w:rsidR="00235686" w:rsidRPr="00235686">
        <w:rPr>
          <w:spacing w:val="21"/>
          <w:lang w:eastAsia="en-GB"/>
        </w:rPr>
        <w:t xml:space="preserve"> </w:t>
      </w:r>
      <w:r w:rsidR="00235686" w:rsidRPr="00235686">
        <w:rPr>
          <w:lang w:eastAsia="en-GB"/>
        </w:rPr>
        <w:t>of</w:t>
      </w:r>
      <w:r w:rsidR="00235686" w:rsidRPr="00235686">
        <w:rPr>
          <w:spacing w:val="8"/>
          <w:lang w:eastAsia="en-GB"/>
        </w:rPr>
        <w:t xml:space="preserve"> </w:t>
      </w:r>
      <w:r w:rsidR="00235686" w:rsidRPr="00235686">
        <w:rPr>
          <w:lang w:eastAsia="en-GB"/>
        </w:rPr>
        <w:t>the</w:t>
      </w:r>
      <w:r w:rsidR="00235686" w:rsidRPr="00235686">
        <w:rPr>
          <w:spacing w:val="21"/>
          <w:lang w:eastAsia="en-GB"/>
        </w:rPr>
        <w:t xml:space="preserve"> </w:t>
      </w:r>
      <w:r w:rsidR="00235686" w:rsidRPr="00235686">
        <w:rPr>
          <w:lang w:eastAsia="en-GB"/>
        </w:rPr>
        <w:t>Scheme</w:t>
      </w:r>
      <w:r w:rsidR="00235686" w:rsidRPr="00235686">
        <w:rPr>
          <w:spacing w:val="22"/>
          <w:lang w:eastAsia="en-GB"/>
        </w:rPr>
        <w:t xml:space="preserve"> </w:t>
      </w:r>
      <w:r w:rsidR="00235686" w:rsidRPr="00235686">
        <w:rPr>
          <w:lang w:eastAsia="en-GB"/>
        </w:rPr>
        <w:t>reimbursement</w:t>
      </w:r>
      <w:r w:rsidR="00235686" w:rsidRPr="00235686">
        <w:rPr>
          <w:spacing w:val="-12"/>
          <w:lang w:eastAsia="en-GB"/>
        </w:rPr>
        <w:t xml:space="preserve"> </w:t>
      </w:r>
      <w:r w:rsidR="00235686" w:rsidRPr="00235686">
        <w:rPr>
          <w:lang w:eastAsia="en-GB"/>
        </w:rPr>
        <w:t>calculations.</w:t>
      </w:r>
      <w:r w:rsidR="00235686" w:rsidRPr="00235686">
        <w:rPr>
          <w:spacing w:val="44"/>
          <w:lang w:eastAsia="en-GB"/>
        </w:rPr>
        <w:t xml:space="preserve"> </w:t>
      </w:r>
      <w:r w:rsidR="00235686" w:rsidRPr="00235686">
        <w:rPr>
          <w:lang w:eastAsia="en-GB"/>
        </w:rPr>
        <w:t>By</w:t>
      </w:r>
      <w:r w:rsidR="00235686" w:rsidRPr="00235686">
        <w:rPr>
          <w:spacing w:val="31"/>
          <w:lang w:eastAsia="en-GB"/>
        </w:rPr>
        <w:t xml:space="preserve"> </w:t>
      </w:r>
      <w:r w:rsidR="00235686" w:rsidRPr="00235686">
        <w:rPr>
          <w:lang w:eastAsia="en-GB"/>
        </w:rPr>
        <w:t>way</w:t>
      </w:r>
      <w:r w:rsidR="00235686" w:rsidRPr="00235686">
        <w:rPr>
          <w:spacing w:val="34"/>
          <w:lang w:eastAsia="en-GB"/>
        </w:rPr>
        <w:t xml:space="preserve"> </w:t>
      </w:r>
      <w:r w:rsidR="00235686" w:rsidRPr="00235686">
        <w:rPr>
          <w:lang w:eastAsia="en-GB"/>
        </w:rPr>
        <w:t>of</w:t>
      </w:r>
      <w:r w:rsidR="00235686" w:rsidRPr="00235686">
        <w:rPr>
          <w:spacing w:val="28"/>
          <w:lang w:eastAsia="en-GB"/>
        </w:rPr>
        <w:t xml:space="preserve"> </w:t>
      </w:r>
      <w:r w:rsidR="00235686" w:rsidRPr="00235686">
        <w:rPr>
          <w:lang w:eastAsia="en-GB"/>
        </w:rPr>
        <w:t>an</w:t>
      </w:r>
      <w:r w:rsidR="00235686" w:rsidRPr="00235686">
        <w:rPr>
          <w:spacing w:val="34"/>
          <w:lang w:eastAsia="en-GB"/>
        </w:rPr>
        <w:t xml:space="preserve"> </w:t>
      </w:r>
      <w:r w:rsidR="00235686" w:rsidRPr="00235686">
        <w:rPr>
          <w:lang w:eastAsia="en-GB"/>
        </w:rPr>
        <w:t>example</w:t>
      </w:r>
      <w:r w:rsidR="00235686" w:rsidRPr="00235686">
        <w:rPr>
          <w:spacing w:val="36"/>
          <w:lang w:eastAsia="en-GB"/>
        </w:rPr>
        <w:t xml:space="preserve"> </w:t>
      </w:r>
      <w:r w:rsidR="00235686" w:rsidRPr="00235686">
        <w:rPr>
          <w:lang w:eastAsia="en-GB"/>
        </w:rPr>
        <w:t>the</w:t>
      </w:r>
      <w:r w:rsidR="00235686" w:rsidRPr="00235686">
        <w:rPr>
          <w:spacing w:val="32"/>
          <w:lang w:eastAsia="en-GB"/>
        </w:rPr>
        <w:t xml:space="preserve"> </w:t>
      </w:r>
      <w:r w:rsidR="00235686" w:rsidRPr="00235686">
        <w:rPr>
          <w:lang w:eastAsia="en-GB"/>
        </w:rPr>
        <w:t>base</w:t>
      </w:r>
      <w:r w:rsidR="00235686" w:rsidRPr="00235686">
        <w:rPr>
          <w:spacing w:val="35"/>
          <w:lang w:eastAsia="en-GB"/>
        </w:rPr>
        <w:t xml:space="preserve"> </w:t>
      </w:r>
      <w:r w:rsidR="00235686" w:rsidRPr="00235686">
        <w:rPr>
          <w:lang w:eastAsia="en-GB"/>
        </w:rPr>
        <w:t>level</w:t>
      </w:r>
      <w:r w:rsidR="00235686" w:rsidRPr="00235686">
        <w:rPr>
          <w:spacing w:val="28"/>
          <w:lang w:eastAsia="en-GB"/>
        </w:rPr>
        <w:t xml:space="preserve"> </w:t>
      </w:r>
      <w:r w:rsidR="00235686" w:rsidRPr="00235686">
        <w:rPr>
          <w:lang w:eastAsia="en-GB"/>
        </w:rPr>
        <w:t>of</w:t>
      </w:r>
      <w:r w:rsidR="00235686" w:rsidRPr="00235686">
        <w:rPr>
          <w:spacing w:val="32"/>
          <w:lang w:eastAsia="en-GB"/>
        </w:rPr>
        <w:t xml:space="preserve"> </w:t>
      </w:r>
      <w:r w:rsidR="00235686" w:rsidRPr="00235686">
        <w:rPr>
          <w:lang w:eastAsia="en-GB"/>
        </w:rPr>
        <w:t>demand</w:t>
      </w:r>
      <w:r w:rsidR="00235686" w:rsidRPr="00235686">
        <w:rPr>
          <w:spacing w:val="28"/>
          <w:lang w:eastAsia="en-GB"/>
        </w:rPr>
        <w:t xml:space="preserve"> </w:t>
      </w:r>
      <w:r w:rsidR="00235686" w:rsidRPr="00235686">
        <w:rPr>
          <w:lang w:eastAsia="en-GB"/>
        </w:rPr>
        <w:t>used</w:t>
      </w:r>
      <w:r w:rsidR="00235686" w:rsidRPr="00235686">
        <w:rPr>
          <w:spacing w:val="36"/>
          <w:lang w:eastAsia="en-GB"/>
        </w:rPr>
        <w:t xml:space="preserve"> </w:t>
      </w:r>
      <w:r w:rsidR="00235686" w:rsidRPr="00235686">
        <w:rPr>
          <w:lang w:eastAsia="en-GB"/>
        </w:rPr>
        <w:t>within</w:t>
      </w:r>
      <w:r w:rsidR="00235686" w:rsidRPr="00235686">
        <w:rPr>
          <w:spacing w:val="33"/>
          <w:lang w:eastAsia="en-GB"/>
        </w:rPr>
        <w:t xml:space="preserve"> </w:t>
      </w:r>
      <w:r w:rsidR="00235686" w:rsidRPr="00235686">
        <w:rPr>
          <w:lang w:eastAsia="en-GB"/>
        </w:rPr>
        <w:t>the</w:t>
      </w:r>
      <w:r w:rsidR="00235686" w:rsidRPr="00235686">
        <w:rPr>
          <w:spacing w:val="-12"/>
          <w:lang w:eastAsia="en-GB"/>
        </w:rPr>
        <w:t xml:space="preserve"> </w:t>
      </w:r>
      <w:r w:rsidR="00235686" w:rsidRPr="00235686">
        <w:rPr>
          <w:lang w:eastAsia="en-GB"/>
        </w:rPr>
        <w:t>generation</w:t>
      </w:r>
      <w:r w:rsidR="00235686" w:rsidRPr="00235686">
        <w:rPr>
          <w:spacing w:val="22"/>
          <w:lang w:eastAsia="en-GB"/>
        </w:rPr>
        <w:t xml:space="preserve"> </w:t>
      </w:r>
      <w:r w:rsidR="00235686" w:rsidRPr="00235686">
        <w:rPr>
          <w:lang w:eastAsia="en-GB"/>
        </w:rPr>
        <w:t>factor</w:t>
      </w:r>
      <w:r w:rsidR="00235686" w:rsidRPr="00235686">
        <w:rPr>
          <w:spacing w:val="23"/>
          <w:lang w:eastAsia="en-GB"/>
        </w:rPr>
        <w:t xml:space="preserve"> </w:t>
      </w:r>
      <w:r w:rsidR="00235686" w:rsidRPr="00235686">
        <w:rPr>
          <w:lang w:eastAsia="en-GB"/>
        </w:rPr>
        <w:t>element</w:t>
      </w:r>
      <w:r w:rsidR="00235686" w:rsidRPr="00235686">
        <w:rPr>
          <w:spacing w:val="18"/>
          <w:lang w:eastAsia="en-GB"/>
        </w:rPr>
        <w:t xml:space="preserve"> </w:t>
      </w:r>
      <w:r w:rsidR="00235686" w:rsidRPr="00235686">
        <w:rPr>
          <w:lang w:eastAsia="en-GB"/>
        </w:rPr>
        <w:t>of</w:t>
      </w:r>
      <w:r w:rsidR="00235686" w:rsidRPr="00235686">
        <w:rPr>
          <w:spacing w:val="8"/>
          <w:lang w:eastAsia="en-GB"/>
        </w:rPr>
        <w:t xml:space="preserve"> </w:t>
      </w:r>
      <w:r w:rsidR="00235686" w:rsidRPr="00235686">
        <w:rPr>
          <w:lang w:eastAsia="en-GB"/>
        </w:rPr>
        <w:t>the</w:t>
      </w:r>
      <w:r w:rsidR="00235686" w:rsidRPr="00235686">
        <w:rPr>
          <w:spacing w:val="10"/>
          <w:lang w:eastAsia="en-GB"/>
        </w:rPr>
        <w:t xml:space="preserve"> </w:t>
      </w:r>
      <w:r w:rsidR="00235686" w:rsidRPr="00235686">
        <w:rPr>
          <w:lang w:eastAsia="en-GB"/>
        </w:rPr>
        <w:t>reimbursement</w:t>
      </w:r>
      <w:r w:rsidR="00235686" w:rsidRPr="00235686">
        <w:rPr>
          <w:spacing w:val="18"/>
          <w:lang w:eastAsia="en-GB"/>
        </w:rPr>
        <w:t xml:space="preserve"> </w:t>
      </w:r>
      <w:r w:rsidR="00235686" w:rsidRPr="00235686">
        <w:rPr>
          <w:lang w:eastAsia="en-GB"/>
        </w:rPr>
        <w:t>calculations</w:t>
      </w:r>
      <w:r w:rsidR="00235686" w:rsidRPr="00235686">
        <w:rPr>
          <w:spacing w:val="25"/>
          <w:lang w:eastAsia="en-GB"/>
        </w:rPr>
        <w:t xml:space="preserve"> </w:t>
      </w:r>
      <w:r w:rsidR="00235686" w:rsidRPr="00235686">
        <w:rPr>
          <w:lang w:eastAsia="en-GB"/>
        </w:rPr>
        <w:t>under</w:t>
      </w:r>
      <w:r w:rsidR="00235686" w:rsidRPr="00235686">
        <w:rPr>
          <w:spacing w:val="15"/>
          <w:lang w:eastAsia="en-GB"/>
        </w:rPr>
        <w:t xml:space="preserve"> </w:t>
      </w:r>
      <w:r w:rsidR="00235686" w:rsidRPr="00235686">
        <w:rPr>
          <w:lang w:eastAsia="en-GB"/>
        </w:rPr>
        <w:t>the</w:t>
      </w:r>
      <w:r w:rsidR="00235686" w:rsidRPr="00235686">
        <w:rPr>
          <w:spacing w:val="24"/>
          <w:lang w:eastAsia="en-GB"/>
        </w:rPr>
        <w:t xml:space="preserve"> </w:t>
      </w:r>
      <w:r w:rsidR="00235686" w:rsidRPr="00235686">
        <w:rPr>
          <w:lang w:eastAsia="en-GB"/>
        </w:rPr>
        <w:t>Scheme</w:t>
      </w:r>
      <w:r w:rsidR="00235686" w:rsidRPr="00235686">
        <w:rPr>
          <w:spacing w:val="17"/>
          <w:lang w:eastAsia="en-GB"/>
        </w:rPr>
        <w:t xml:space="preserve"> </w:t>
      </w:r>
      <w:r w:rsidR="00235686" w:rsidRPr="00235686">
        <w:rPr>
          <w:lang w:eastAsia="en-GB"/>
        </w:rPr>
        <w:t>is</w:t>
      </w:r>
      <w:r w:rsidR="00235686" w:rsidRPr="00235686">
        <w:rPr>
          <w:spacing w:val="-12"/>
          <w:lang w:eastAsia="en-GB"/>
        </w:rPr>
        <w:t xml:space="preserve"> </w:t>
      </w:r>
      <w:r w:rsidR="00235686" w:rsidRPr="00235686">
        <w:rPr>
          <w:lang w:eastAsia="en-GB"/>
        </w:rPr>
        <w:t>based</w:t>
      </w:r>
      <w:r w:rsidR="00235686" w:rsidRPr="00235686">
        <w:rPr>
          <w:spacing w:val="6"/>
          <w:lang w:eastAsia="en-GB"/>
        </w:rPr>
        <w:t xml:space="preserve"> </w:t>
      </w:r>
      <w:r w:rsidR="00235686" w:rsidRPr="00235686">
        <w:rPr>
          <w:lang w:eastAsia="en-GB"/>
        </w:rPr>
        <w:t>on</w:t>
      </w:r>
      <w:r w:rsidR="00235686" w:rsidRPr="00235686">
        <w:rPr>
          <w:spacing w:val="11"/>
          <w:lang w:eastAsia="en-GB"/>
        </w:rPr>
        <w:t xml:space="preserve"> </w:t>
      </w:r>
      <w:r w:rsidR="00235686" w:rsidRPr="00235686">
        <w:rPr>
          <w:lang w:eastAsia="en-GB"/>
        </w:rPr>
        <w:t>averages</w:t>
      </w:r>
      <w:r w:rsidR="00235686" w:rsidRPr="00235686">
        <w:rPr>
          <w:spacing w:val="16"/>
          <w:lang w:eastAsia="en-GB"/>
        </w:rPr>
        <w:t xml:space="preserve"> </w:t>
      </w:r>
      <w:r w:rsidR="00235686" w:rsidRPr="00235686">
        <w:rPr>
          <w:lang w:eastAsia="en-GB"/>
        </w:rPr>
        <w:t>across</w:t>
      </w:r>
      <w:r w:rsidR="00235686" w:rsidRPr="00235686">
        <w:rPr>
          <w:spacing w:val="12"/>
          <w:lang w:eastAsia="en-GB"/>
        </w:rPr>
        <w:t xml:space="preserve"> </w:t>
      </w:r>
      <w:r w:rsidR="00235686" w:rsidRPr="00235686">
        <w:rPr>
          <w:lang w:eastAsia="en-GB"/>
        </w:rPr>
        <w:t>the</w:t>
      </w:r>
      <w:r w:rsidR="00235686" w:rsidRPr="00235686">
        <w:rPr>
          <w:spacing w:val="2"/>
          <w:lang w:eastAsia="en-GB"/>
        </w:rPr>
        <w:t xml:space="preserve"> </w:t>
      </w:r>
      <w:r w:rsidR="00235686" w:rsidRPr="00235686">
        <w:rPr>
          <w:lang w:eastAsia="en-GB"/>
        </w:rPr>
        <w:t>West</w:t>
      </w:r>
      <w:r w:rsidR="00235686" w:rsidRPr="00235686">
        <w:rPr>
          <w:spacing w:val="14"/>
          <w:lang w:eastAsia="en-GB"/>
        </w:rPr>
        <w:t xml:space="preserve"> </w:t>
      </w:r>
      <w:r w:rsidR="00235686" w:rsidRPr="00235686">
        <w:rPr>
          <w:lang w:eastAsia="en-GB"/>
        </w:rPr>
        <w:t>Midlands</w:t>
      </w:r>
      <w:r w:rsidR="00235686" w:rsidRPr="00235686">
        <w:rPr>
          <w:spacing w:val="14"/>
          <w:lang w:eastAsia="en-GB"/>
        </w:rPr>
        <w:t xml:space="preserve"> </w:t>
      </w:r>
      <w:r w:rsidR="00235686" w:rsidRPr="00235686">
        <w:rPr>
          <w:lang w:eastAsia="en-GB"/>
        </w:rPr>
        <w:t>area.</w:t>
      </w:r>
      <w:r w:rsidR="00235686" w:rsidRPr="00235686">
        <w:rPr>
          <w:spacing w:val="23"/>
          <w:lang w:eastAsia="en-GB"/>
        </w:rPr>
        <w:t xml:space="preserve"> </w:t>
      </w:r>
      <w:r w:rsidR="00235686" w:rsidRPr="00235686">
        <w:rPr>
          <w:lang w:eastAsia="en-GB"/>
        </w:rPr>
        <w:t>If</w:t>
      </w:r>
      <w:r w:rsidR="00235686" w:rsidRPr="00235686">
        <w:rPr>
          <w:spacing w:val="7"/>
          <w:lang w:eastAsia="en-GB"/>
        </w:rPr>
        <w:t xml:space="preserve"> </w:t>
      </w:r>
      <w:r w:rsidR="00235686" w:rsidRPr="00235686">
        <w:rPr>
          <w:lang w:eastAsia="en-GB"/>
        </w:rPr>
        <w:t>DBL's</w:t>
      </w:r>
      <w:r w:rsidR="00235686" w:rsidRPr="00235686">
        <w:rPr>
          <w:spacing w:val="6"/>
          <w:lang w:eastAsia="en-GB"/>
        </w:rPr>
        <w:t xml:space="preserve"> </w:t>
      </w:r>
      <w:r w:rsidR="00235686" w:rsidRPr="00235686">
        <w:rPr>
          <w:lang w:eastAsia="en-GB"/>
        </w:rPr>
        <w:t>demand</w:t>
      </w:r>
      <w:r w:rsidR="00235686" w:rsidRPr="00235686">
        <w:rPr>
          <w:spacing w:val="5"/>
          <w:lang w:eastAsia="en-GB"/>
        </w:rPr>
        <w:t xml:space="preserve"> </w:t>
      </w:r>
      <w:r w:rsidR="00235686" w:rsidRPr="00235686">
        <w:rPr>
          <w:lang w:eastAsia="en-GB"/>
        </w:rPr>
        <w:t>is</w:t>
      </w:r>
      <w:r w:rsidR="00235686" w:rsidRPr="00235686">
        <w:rPr>
          <w:spacing w:val="5"/>
          <w:lang w:eastAsia="en-GB"/>
        </w:rPr>
        <w:t xml:space="preserve"> </w:t>
      </w:r>
      <w:r w:rsidR="00235686" w:rsidRPr="00235686">
        <w:rPr>
          <w:lang w:eastAsia="en-GB"/>
        </w:rPr>
        <w:t>lower</w:t>
      </w:r>
      <w:r w:rsidR="00235686" w:rsidRPr="00235686">
        <w:rPr>
          <w:spacing w:val="6"/>
          <w:lang w:eastAsia="en-GB"/>
        </w:rPr>
        <w:t xml:space="preserve"> </w:t>
      </w:r>
      <w:r w:rsidR="00235686" w:rsidRPr="00235686">
        <w:rPr>
          <w:lang w:eastAsia="en-GB"/>
        </w:rPr>
        <w:t>than</w:t>
      </w:r>
      <w:r w:rsidR="00235686" w:rsidRPr="00235686">
        <w:rPr>
          <w:spacing w:val="-12"/>
          <w:lang w:eastAsia="en-GB"/>
        </w:rPr>
        <w:t xml:space="preserve"> </w:t>
      </w:r>
      <w:r w:rsidR="00235686" w:rsidRPr="00235686">
        <w:rPr>
          <w:lang w:eastAsia="en-GB"/>
        </w:rPr>
        <w:t>average,</w:t>
      </w:r>
      <w:r w:rsidR="00235686" w:rsidRPr="00235686">
        <w:rPr>
          <w:spacing w:val="22"/>
          <w:lang w:eastAsia="en-GB"/>
        </w:rPr>
        <w:t xml:space="preserve"> </w:t>
      </w:r>
      <w:r w:rsidR="00235686" w:rsidRPr="00235686">
        <w:rPr>
          <w:lang w:eastAsia="en-GB"/>
        </w:rPr>
        <w:t>then</w:t>
      </w:r>
      <w:r w:rsidR="00235686" w:rsidRPr="00235686">
        <w:rPr>
          <w:spacing w:val="10"/>
          <w:lang w:eastAsia="en-GB"/>
        </w:rPr>
        <w:t xml:space="preserve"> </w:t>
      </w:r>
      <w:r w:rsidR="00235686" w:rsidRPr="00235686">
        <w:rPr>
          <w:lang w:eastAsia="en-GB"/>
        </w:rPr>
        <w:t>this</w:t>
      </w:r>
      <w:r w:rsidR="00235686" w:rsidRPr="00235686">
        <w:rPr>
          <w:spacing w:val="12"/>
          <w:lang w:eastAsia="en-GB"/>
        </w:rPr>
        <w:t xml:space="preserve"> </w:t>
      </w:r>
      <w:r w:rsidR="00235686" w:rsidRPr="00235686">
        <w:rPr>
          <w:lang w:eastAsia="en-GB"/>
        </w:rPr>
        <w:t>would</w:t>
      </w:r>
      <w:r w:rsidR="00235686" w:rsidRPr="00235686">
        <w:rPr>
          <w:spacing w:val="8"/>
          <w:lang w:eastAsia="en-GB"/>
        </w:rPr>
        <w:t xml:space="preserve"> </w:t>
      </w:r>
      <w:r w:rsidR="00235686" w:rsidRPr="00235686">
        <w:rPr>
          <w:lang w:eastAsia="en-GB"/>
        </w:rPr>
        <w:t>need</w:t>
      </w:r>
      <w:r w:rsidR="00235686" w:rsidRPr="00235686">
        <w:rPr>
          <w:spacing w:val="11"/>
          <w:lang w:eastAsia="en-GB"/>
        </w:rPr>
        <w:t xml:space="preserve"> </w:t>
      </w:r>
      <w:r w:rsidR="00235686" w:rsidRPr="00235686">
        <w:rPr>
          <w:lang w:eastAsia="en-GB"/>
        </w:rPr>
        <w:t>to</w:t>
      </w:r>
      <w:r w:rsidR="00235686" w:rsidRPr="00235686">
        <w:rPr>
          <w:spacing w:val="8"/>
          <w:lang w:eastAsia="en-GB"/>
        </w:rPr>
        <w:t xml:space="preserve"> </w:t>
      </w:r>
      <w:r w:rsidR="00235686" w:rsidRPr="00235686">
        <w:rPr>
          <w:lang w:eastAsia="en-GB"/>
        </w:rPr>
        <w:t>be</w:t>
      </w:r>
      <w:r w:rsidR="00235686" w:rsidRPr="00235686">
        <w:rPr>
          <w:spacing w:val="9"/>
          <w:lang w:eastAsia="en-GB"/>
        </w:rPr>
        <w:t xml:space="preserve"> </w:t>
      </w:r>
      <w:r w:rsidR="00235686" w:rsidRPr="00235686">
        <w:rPr>
          <w:lang w:eastAsia="en-GB"/>
        </w:rPr>
        <w:t>applied</w:t>
      </w:r>
      <w:r w:rsidR="00235686" w:rsidRPr="00235686">
        <w:rPr>
          <w:spacing w:val="11"/>
          <w:lang w:eastAsia="en-GB"/>
        </w:rPr>
        <w:t xml:space="preserve"> </w:t>
      </w:r>
      <w:r w:rsidR="00235686" w:rsidRPr="00235686">
        <w:rPr>
          <w:lang w:eastAsia="en-GB"/>
        </w:rPr>
        <w:t>to</w:t>
      </w:r>
      <w:r w:rsidR="00235686" w:rsidRPr="00235686">
        <w:rPr>
          <w:spacing w:val="7"/>
          <w:lang w:eastAsia="en-GB"/>
        </w:rPr>
        <w:t xml:space="preserve"> </w:t>
      </w:r>
      <w:r w:rsidR="00235686" w:rsidRPr="00235686">
        <w:rPr>
          <w:lang w:eastAsia="en-GB"/>
        </w:rPr>
        <w:t>this</w:t>
      </w:r>
      <w:r w:rsidR="00235686" w:rsidRPr="00235686">
        <w:rPr>
          <w:spacing w:val="10"/>
          <w:lang w:eastAsia="en-GB"/>
        </w:rPr>
        <w:t xml:space="preserve"> </w:t>
      </w:r>
      <w:r w:rsidR="00235686" w:rsidRPr="00235686">
        <w:rPr>
          <w:lang w:eastAsia="en-GB"/>
        </w:rPr>
        <w:t>element</w:t>
      </w:r>
      <w:r w:rsidR="00235686" w:rsidRPr="00235686">
        <w:rPr>
          <w:spacing w:val="9"/>
          <w:lang w:eastAsia="en-GB"/>
        </w:rPr>
        <w:t xml:space="preserve"> </w:t>
      </w:r>
      <w:r w:rsidR="00235686" w:rsidRPr="00235686">
        <w:rPr>
          <w:lang w:eastAsia="en-GB"/>
        </w:rPr>
        <w:t>of</w:t>
      </w:r>
      <w:r w:rsidR="00235686" w:rsidRPr="00235686">
        <w:rPr>
          <w:spacing w:val="8"/>
          <w:lang w:eastAsia="en-GB"/>
        </w:rPr>
        <w:t xml:space="preserve"> </w:t>
      </w:r>
      <w:r w:rsidR="00235686" w:rsidRPr="00235686">
        <w:rPr>
          <w:lang w:eastAsia="en-GB"/>
        </w:rPr>
        <w:t>the</w:t>
      </w:r>
      <w:r w:rsidR="00235686" w:rsidRPr="00235686">
        <w:rPr>
          <w:spacing w:val="14"/>
          <w:lang w:eastAsia="en-GB"/>
        </w:rPr>
        <w:t xml:space="preserve"> </w:t>
      </w:r>
      <w:r w:rsidR="00235686" w:rsidRPr="00235686">
        <w:rPr>
          <w:lang w:eastAsia="en-GB"/>
        </w:rPr>
        <w:t>reimbursement</w:t>
      </w:r>
      <w:r w:rsidR="00235686" w:rsidRPr="00235686">
        <w:rPr>
          <w:spacing w:val="-12"/>
          <w:lang w:eastAsia="en-GB"/>
        </w:rPr>
        <w:t xml:space="preserve"> </w:t>
      </w:r>
      <w:r w:rsidR="00235686" w:rsidRPr="00235686">
        <w:rPr>
          <w:lang w:eastAsia="en-GB"/>
        </w:rPr>
        <w:t>calculations.</w:t>
      </w:r>
      <w:r w:rsidR="00235686" w:rsidRPr="00235686">
        <w:rPr>
          <w:spacing w:val="23"/>
          <w:lang w:eastAsia="en-GB"/>
        </w:rPr>
        <w:t xml:space="preserve"> </w:t>
      </w:r>
      <w:r w:rsidR="00235686" w:rsidRPr="00235686">
        <w:rPr>
          <w:lang w:eastAsia="en-GB"/>
        </w:rPr>
        <w:t>The</w:t>
      </w:r>
      <w:r w:rsidR="00235686" w:rsidRPr="00235686">
        <w:rPr>
          <w:spacing w:val="10"/>
          <w:lang w:eastAsia="en-GB"/>
        </w:rPr>
        <w:t xml:space="preserve"> </w:t>
      </w:r>
      <w:r w:rsidR="00235686" w:rsidRPr="00235686">
        <w:rPr>
          <w:lang w:eastAsia="en-GB"/>
        </w:rPr>
        <w:t>result</w:t>
      </w:r>
      <w:r w:rsidR="00235686" w:rsidRPr="00235686">
        <w:rPr>
          <w:spacing w:val="9"/>
          <w:lang w:eastAsia="en-GB"/>
        </w:rPr>
        <w:t xml:space="preserve"> </w:t>
      </w:r>
      <w:r w:rsidR="00235686" w:rsidRPr="00235686">
        <w:rPr>
          <w:lang w:eastAsia="en-GB"/>
        </w:rPr>
        <w:t>of</w:t>
      </w:r>
      <w:r w:rsidR="00235686" w:rsidRPr="00235686">
        <w:rPr>
          <w:spacing w:val="12"/>
          <w:lang w:eastAsia="en-GB"/>
        </w:rPr>
        <w:t xml:space="preserve"> </w:t>
      </w:r>
      <w:r w:rsidR="00235686" w:rsidRPr="00235686">
        <w:rPr>
          <w:lang w:eastAsia="en-GB"/>
        </w:rPr>
        <w:t>this</w:t>
      </w:r>
      <w:r w:rsidR="00235686" w:rsidRPr="00235686">
        <w:rPr>
          <w:spacing w:val="7"/>
          <w:lang w:eastAsia="en-GB"/>
        </w:rPr>
        <w:t xml:space="preserve"> </w:t>
      </w:r>
      <w:r w:rsidR="00235686" w:rsidRPr="00235686">
        <w:rPr>
          <w:lang w:eastAsia="en-GB"/>
        </w:rPr>
        <w:t>would</w:t>
      </w:r>
      <w:r w:rsidR="00235686" w:rsidRPr="00235686">
        <w:rPr>
          <w:spacing w:val="11"/>
          <w:lang w:eastAsia="en-GB"/>
        </w:rPr>
        <w:t xml:space="preserve"> </w:t>
      </w:r>
      <w:r w:rsidR="00235686" w:rsidRPr="00235686">
        <w:rPr>
          <w:lang w:eastAsia="en-GB"/>
        </w:rPr>
        <w:t>be</w:t>
      </w:r>
      <w:r w:rsidR="00235686" w:rsidRPr="00235686">
        <w:rPr>
          <w:spacing w:val="13"/>
          <w:lang w:eastAsia="en-GB"/>
        </w:rPr>
        <w:t xml:space="preserve"> </w:t>
      </w:r>
      <w:r w:rsidR="00235686" w:rsidRPr="00235686">
        <w:rPr>
          <w:lang w:eastAsia="en-GB"/>
        </w:rPr>
        <w:t>a</w:t>
      </w:r>
      <w:r w:rsidR="00235686" w:rsidRPr="00235686">
        <w:rPr>
          <w:spacing w:val="9"/>
          <w:lang w:eastAsia="en-GB"/>
        </w:rPr>
        <w:t xml:space="preserve"> </w:t>
      </w:r>
      <w:r w:rsidR="00235686" w:rsidRPr="00235686">
        <w:rPr>
          <w:lang w:eastAsia="en-GB"/>
        </w:rPr>
        <w:t>smaller</w:t>
      </w:r>
      <w:r w:rsidR="00235686" w:rsidRPr="00235686">
        <w:rPr>
          <w:spacing w:val="12"/>
          <w:lang w:eastAsia="en-GB"/>
        </w:rPr>
        <w:t xml:space="preserve"> </w:t>
      </w:r>
      <w:r w:rsidR="00235686" w:rsidRPr="00235686">
        <w:rPr>
          <w:lang w:eastAsia="en-GB"/>
        </w:rPr>
        <w:t>number</w:t>
      </w:r>
      <w:r w:rsidR="00235686" w:rsidRPr="00235686">
        <w:rPr>
          <w:spacing w:val="10"/>
          <w:lang w:eastAsia="en-GB"/>
        </w:rPr>
        <w:t xml:space="preserve"> </w:t>
      </w:r>
      <w:r w:rsidR="00235686" w:rsidRPr="00235686">
        <w:rPr>
          <w:lang w:eastAsia="en-GB"/>
        </w:rPr>
        <w:t>of</w:t>
      </w:r>
      <w:r w:rsidR="00235686" w:rsidRPr="00235686">
        <w:rPr>
          <w:spacing w:val="-3"/>
          <w:lang w:eastAsia="en-GB"/>
        </w:rPr>
        <w:t xml:space="preserve"> </w:t>
      </w:r>
      <w:r w:rsidR="00235686" w:rsidRPr="00235686">
        <w:rPr>
          <w:lang w:eastAsia="en-GB"/>
        </w:rPr>
        <w:t>journeys</w:t>
      </w:r>
      <w:r w:rsidR="00235686" w:rsidRPr="00235686">
        <w:rPr>
          <w:spacing w:val="10"/>
          <w:lang w:eastAsia="en-GB"/>
        </w:rPr>
        <w:t xml:space="preserve"> </w:t>
      </w:r>
      <w:r w:rsidR="00235686" w:rsidRPr="00235686">
        <w:rPr>
          <w:lang w:eastAsia="en-GB"/>
        </w:rPr>
        <w:t>paid</w:t>
      </w:r>
      <w:r w:rsidR="00235686" w:rsidRPr="00235686">
        <w:rPr>
          <w:spacing w:val="7"/>
          <w:lang w:eastAsia="en-GB"/>
        </w:rPr>
        <w:t xml:space="preserve"> </w:t>
      </w:r>
      <w:r w:rsidR="00235686" w:rsidRPr="00235686">
        <w:rPr>
          <w:lang w:eastAsia="en-GB"/>
        </w:rPr>
        <w:t>at</w:t>
      </w:r>
      <w:r w:rsidR="00235686" w:rsidRPr="00235686">
        <w:rPr>
          <w:spacing w:val="12"/>
          <w:lang w:eastAsia="en-GB"/>
        </w:rPr>
        <w:t xml:space="preserve"> </w:t>
      </w:r>
      <w:r w:rsidR="00235686" w:rsidRPr="00235686">
        <w:rPr>
          <w:lang w:eastAsia="en-GB"/>
        </w:rPr>
        <w:t>the</w:t>
      </w:r>
      <w:r w:rsidR="00235686" w:rsidRPr="00235686">
        <w:rPr>
          <w:spacing w:val="-12"/>
          <w:lang w:eastAsia="en-GB"/>
        </w:rPr>
        <w:t xml:space="preserve"> </w:t>
      </w:r>
      <w:r w:rsidR="00235686" w:rsidRPr="00235686">
        <w:rPr>
          <w:lang w:eastAsia="en-GB"/>
        </w:rPr>
        <w:t>Average</w:t>
      </w:r>
      <w:r w:rsidR="00235686" w:rsidRPr="00235686">
        <w:rPr>
          <w:spacing w:val="-12"/>
          <w:lang w:eastAsia="en-GB"/>
        </w:rPr>
        <w:t xml:space="preserve"> </w:t>
      </w:r>
      <w:r w:rsidR="00235686" w:rsidRPr="00235686">
        <w:rPr>
          <w:lang w:eastAsia="en-GB"/>
        </w:rPr>
        <w:t>Fare</w:t>
      </w:r>
      <w:r w:rsidR="00235686" w:rsidRPr="00235686">
        <w:rPr>
          <w:spacing w:val="-12"/>
          <w:lang w:eastAsia="en-GB"/>
        </w:rPr>
        <w:t xml:space="preserve"> </w:t>
      </w:r>
      <w:r w:rsidR="00235686" w:rsidRPr="00235686">
        <w:rPr>
          <w:lang w:eastAsia="en-GB"/>
        </w:rPr>
        <w:t>Forgone</w:t>
      </w:r>
      <w:r w:rsidR="00235686" w:rsidRPr="00235686">
        <w:rPr>
          <w:spacing w:val="-10"/>
          <w:lang w:eastAsia="en-GB"/>
        </w:rPr>
        <w:t xml:space="preserve"> </w:t>
      </w:r>
      <w:r w:rsidR="00235686" w:rsidRPr="00235686">
        <w:rPr>
          <w:lang w:eastAsia="en-GB"/>
        </w:rPr>
        <w:t>cost</w:t>
      </w:r>
      <w:r w:rsidR="00235686" w:rsidRPr="00235686">
        <w:rPr>
          <w:spacing w:val="-12"/>
          <w:lang w:eastAsia="en-GB"/>
        </w:rPr>
        <w:t xml:space="preserve"> </w:t>
      </w:r>
      <w:r w:rsidR="00235686" w:rsidRPr="00235686">
        <w:rPr>
          <w:lang w:eastAsia="en-GB"/>
        </w:rPr>
        <w:t>rate</w:t>
      </w:r>
      <w:r w:rsidR="00235686" w:rsidRPr="00235686">
        <w:rPr>
          <w:spacing w:val="-12"/>
          <w:lang w:eastAsia="en-GB"/>
        </w:rPr>
        <w:t xml:space="preserve"> </w:t>
      </w:r>
      <w:r w:rsidR="00235686" w:rsidRPr="00235686">
        <w:rPr>
          <w:lang w:eastAsia="en-GB"/>
        </w:rPr>
        <w:t>and</w:t>
      </w:r>
      <w:r w:rsidR="00235686" w:rsidRPr="00235686">
        <w:rPr>
          <w:spacing w:val="-10"/>
          <w:lang w:eastAsia="en-GB"/>
        </w:rPr>
        <w:t xml:space="preserve"> </w:t>
      </w:r>
      <w:r w:rsidR="00235686" w:rsidRPr="00235686">
        <w:rPr>
          <w:lang w:eastAsia="en-GB"/>
        </w:rPr>
        <w:t>larger</w:t>
      </w:r>
      <w:r w:rsidR="00235686" w:rsidRPr="00235686">
        <w:rPr>
          <w:spacing w:val="-12"/>
          <w:lang w:eastAsia="en-GB"/>
        </w:rPr>
        <w:t xml:space="preserve"> </w:t>
      </w:r>
      <w:r w:rsidR="00235686" w:rsidRPr="00235686">
        <w:rPr>
          <w:lang w:eastAsia="en-GB"/>
        </w:rPr>
        <w:t>number</w:t>
      </w:r>
      <w:r w:rsidR="00235686" w:rsidRPr="00235686">
        <w:rPr>
          <w:spacing w:val="-12"/>
          <w:lang w:eastAsia="en-GB"/>
        </w:rPr>
        <w:t xml:space="preserve"> </w:t>
      </w:r>
      <w:r w:rsidR="00235686" w:rsidRPr="00235686">
        <w:rPr>
          <w:lang w:eastAsia="en-GB"/>
        </w:rPr>
        <w:t>at</w:t>
      </w:r>
      <w:r w:rsidR="00235686" w:rsidRPr="00235686">
        <w:rPr>
          <w:spacing w:val="-11"/>
          <w:lang w:eastAsia="en-GB"/>
        </w:rPr>
        <w:t xml:space="preserve"> </w:t>
      </w:r>
      <w:r w:rsidR="00235686" w:rsidRPr="00235686">
        <w:rPr>
          <w:lang w:eastAsia="en-GB"/>
        </w:rPr>
        <w:t>marginal</w:t>
      </w:r>
      <w:r w:rsidR="00235686" w:rsidRPr="00235686">
        <w:rPr>
          <w:spacing w:val="-12"/>
          <w:lang w:eastAsia="en-GB"/>
        </w:rPr>
        <w:t xml:space="preserve"> </w:t>
      </w:r>
      <w:r w:rsidR="00235686" w:rsidRPr="00235686">
        <w:rPr>
          <w:lang w:eastAsia="en-GB"/>
        </w:rPr>
        <w:t>cost</w:t>
      </w:r>
      <w:r w:rsidR="00235686" w:rsidRPr="00235686">
        <w:rPr>
          <w:spacing w:val="-12"/>
          <w:lang w:eastAsia="en-GB"/>
        </w:rPr>
        <w:t xml:space="preserve"> </w:t>
      </w:r>
      <w:r w:rsidR="00235686" w:rsidRPr="00235686">
        <w:rPr>
          <w:lang w:eastAsia="en-GB"/>
        </w:rPr>
        <w:t>rate, reducing</w:t>
      </w:r>
      <w:r w:rsidR="00235686" w:rsidRPr="00235686">
        <w:rPr>
          <w:spacing w:val="-6"/>
          <w:lang w:eastAsia="en-GB"/>
        </w:rPr>
        <w:t xml:space="preserve"> </w:t>
      </w:r>
      <w:r w:rsidR="00235686" w:rsidRPr="00235686">
        <w:rPr>
          <w:lang w:eastAsia="en-GB"/>
        </w:rPr>
        <w:t>the</w:t>
      </w:r>
      <w:r w:rsidR="00235686" w:rsidRPr="00235686">
        <w:rPr>
          <w:spacing w:val="-12"/>
          <w:lang w:eastAsia="en-GB"/>
        </w:rPr>
        <w:t xml:space="preserve"> </w:t>
      </w:r>
      <w:r w:rsidR="00235686" w:rsidRPr="00235686">
        <w:rPr>
          <w:lang w:eastAsia="en-GB"/>
        </w:rPr>
        <w:t>reimbursement</w:t>
      </w:r>
      <w:r w:rsidR="00235686" w:rsidRPr="00235686">
        <w:rPr>
          <w:spacing w:val="-9"/>
          <w:lang w:eastAsia="en-GB"/>
        </w:rPr>
        <w:t xml:space="preserve"> </w:t>
      </w:r>
      <w:r w:rsidR="00235686" w:rsidRPr="00235686">
        <w:rPr>
          <w:lang w:eastAsia="en-GB"/>
        </w:rPr>
        <w:t>rate</w:t>
      </w:r>
      <w:r w:rsidR="00235686" w:rsidRPr="00235686">
        <w:rPr>
          <w:spacing w:val="-11"/>
          <w:lang w:eastAsia="en-GB"/>
        </w:rPr>
        <w:t xml:space="preserve"> </w:t>
      </w:r>
      <w:r w:rsidR="00235686" w:rsidRPr="00235686">
        <w:rPr>
          <w:lang w:eastAsia="en-GB"/>
        </w:rPr>
        <w:t>and</w:t>
      </w:r>
      <w:r w:rsidR="00235686" w:rsidRPr="00235686">
        <w:rPr>
          <w:spacing w:val="-6"/>
          <w:lang w:eastAsia="en-GB"/>
        </w:rPr>
        <w:t xml:space="preserve"> </w:t>
      </w:r>
      <w:r w:rsidR="00235686" w:rsidRPr="00235686">
        <w:rPr>
          <w:lang w:eastAsia="en-GB"/>
        </w:rPr>
        <w:t>therefore</w:t>
      </w:r>
      <w:r w:rsidR="00235686" w:rsidRPr="00235686">
        <w:rPr>
          <w:spacing w:val="5"/>
          <w:lang w:eastAsia="en-GB"/>
        </w:rPr>
        <w:t xml:space="preserve"> </w:t>
      </w:r>
      <w:r w:rsidR="00235686" w:rsidRPr="00235686">
        <w:rPr>
          <w:lang w:eastAsia="en-GB"/>
        </w:rPr>
        <w:t>overall level</w:t>
      </w:r>
      <w:r w:rsidR="00235686" w:rsidRPr="00235686">
        <w:rPr>
          <w:spacing w:val="-10"/>
          <w:lang w:eastAsia="en-GB"/>
        </w:rPr>
        <w:t xml:space="preserve"> </w:t>
      </w:r>
      <w:r w:rsidR="00235686" w:rsidRPr="00235686">
        <w:rPr>
          <w:lang w:eastAsia="en-GB"/>
        </w:rPr>
        <w:t>of</w:t>
      </w:r>
      <w:r w:rsidR="00235686" w:rsidRPr="00235686">
        <w:rPr>
          <w:spacing w:val="-12"/>
          <w:lang w:eastAsia="en-GB"/>
        </w:rPr>
        <w:t xml:space="preserve"> </w:t>
      </w:r>
      <w:r w:rsidR="00235686" w:rsidRPr="00235686">
        <w:rPr>
          <w:lang w:eastAsia="en-GB"/>
        </w:rPr>
        <w:t>reimbursement</w:t>
      </w:r>
      <w:r w:rsidR="00235686" w:rsidRPr="00235686">
        <w:rPr>
          <w:spacing w:val="-12"/>
          <w:lang w:eastAsia="en-GB"/>
        </w:rPr>
        <w:t xml:space="preserve"> </w:t>
      </w:r>
      <w:r w:rsidR="00235686" w:rsidRPr="00235686">
        <w:rPr>
          <w:lang w:eastAsia="en-GB"/>
        </w:rPr>
        <w:t>that</w:t>
      </w:r>
      <w:r w:rsidR="00235686" w:rsidRPr="00235686">
        <w:rPr>
          <w:spacing w:val="-9"/>
          <w:lang w:eastAsia="en-GB"/>
        </w:rPr>
        <w:t xml:space="preserve"> </w:t>
      </w:r>
      <w:r w:rsidR="00235686" w:rsidRPr="00235686">
        <w:rPr>
          <w:lang w:eastAsia="en-GB"/>
        </w:rPr>
        <w:t>DBL</w:t>
      </w:r>
      <w:r w:rsidR="00235686" w:rsidRPr="00235686">
        <w:rPr>
          <w:spacing w:val="-8"/>
          <w:lang w:eastAsia="en-GB"/>
        </w:rPr>
        <w:t xml:space="preserve"> </w:t>
      </w:r>
      <w:r w:rsidR="00235686" w:rsidRPr="00235686">
        <w:rPr>
          <w:lang w:eastAsia="en-GB"/>
        </w:rPr>
        <w:t>receive.</w:t>
      </w:r>
    </w:p>
    <w:p w14:paraId="643BEC82" w14:textId="7C5B5BC0" w:rsidR="002D39AD" w:rsidRPr="002D39AD" w:rsidRDefault="00403612" w:rsidP="001846CE">
      <w:pPr>
        <w:pStyle w:val="ParaLevel1"/>
        <w:numPr>
          <w:ilvl w:val="0"/>
          <w:numId w:val="0"/>
        </w:numPr>
        <w:ind w:left="1689" w:right="654" w:hanging="555"/>
      </w:pPr>
      <w:r>
        <w:t>77</w:t>
      </w:r>
      <w:r>
        <w:tab/>
      </w:r>
      <w:r w:rsidR="00E95138">
        <w:t>Accordingly,</w:t>
      </w:r>
      <w:r w:rsidR="00E95138" w:rsidRPr="002D39AD">
        <w:rPr>
          <w:spacing w:val="-1"/>
        </w:rPr>
        <w:t xml:space="preserve"> </w:t>
      </w:r>
      <w:r w:rsidR="00E95138">
        <w:t>if</w:t>
      </w:r>
      <w:r w:rsidR="00E95138" w:rsidRPr="002D39AD">
        <w:rPr>
          <w:spacing w:val="-8"/>
        </w:rPr>
        <w:t xml:space="preserve"> </w:t>
      </w:r>
      <w:r w:rsidR="00E95138">
        <w:t>TfWM</w:t>
      </w:r>
      <w:r w:rsidR="00E95138" w:rsidRPr="002D39AD">
        <w:rPr>
          <w:spacing w:val="-8"/>
        </w:rPr>
        <w:t xml:space="preserve"> </w:t>
      </w:r>
      <w:r w:rsidR="00E95138">
        <w:t>were</w:t>
      </w:r>
      <w:r w:rsidR="00E95138" w:rsidRPr="002D39AD">
        <w:rPr>
          <w:spacing w:val="-14"/>
        </w:rPr>
        <w:t xml:space="preserve"> </w:t>
      </w:r>
      <w:r w:rsidR="00E95138">
        <w:t>to</w:t>
      </w:r>
      <w:r w:rsidR="00E95138" w:rsidRPr="002D39AD">
        <w:rPr>
          <w:spacing w:val="-10"/>
        </w:rPr>
        <w:t xml:space="preserve"> </w:t>
      </w:r>
      <w:r w:rsidR="00E95138">
        <w:t>accept</w:t>
      </w:r>
      <w:r w:rsidR="00E95138" w:rsidRPr="002D39AD">
        <w:rPr>
          <w:spacing w:val="-9"/>
        </w:rPr>
        <w:t xml:space="preserve"> </w:t>
      </w:r>
      <w:r w:rsidR="00E95138">
        <w:t>an</w:t>
      </w:r>
      <w:r w:rsidR="00E95138" w:rsidRPr="002D39AD">
        <w:rPr>
          <w:spacing w:val="-8"/>
        </w:rPr>
        <w:t xml:space="preserve"> </w:t>
      </w:r>
      <w:r w:rsidR="00E95138">
        <w:t>alternative</w:t>
      </w:r>
      <w:r w:rsidR="00E95138" w:rsidRPr="002D39AD">
        <w:rPr>
          <w:spacing w:val="-8"/>
        </w:rPr>
        <w:t xml:space="preserve"> </w:t>
      </w:r>
      <w:r w:rsidR="00E95138">
        <w:t>look</w:t>
      </w:r>
      <w:r w:rsidR="00E95138" w:rsidRPr="002D39AD">
        <w:rPr>
          <w:spacing w:val="-12"/>
        </w:rPr>
        <w:t xml:space="preserve"> </w:t>
      </w:r>
      <w:r w:rsidR="00E95138">
        <w:t>up</w:t>
      </w:r>
      <w:r w:rsidR="00E95138" w:rsidRPr="002D39AD">
        <w:rPr>
          <w:spacing w:val="-14"/>
        </w:rPr>
        <w:t xml:space="preserve"> </w:t>
      </w:r>
      <w:r w:rsidR="00E95138">
        <w:t>table</w:t>
      </w:r>
      <w:r w:rsidR="00E95138" w:rsidRPr="002D39AD">
        <w:rPr>
          <w:spacing w:val="-6"/>
        </w:rPr>
        <w:t xml:space="preserve"> </w:t>
      </w:r>
      <w:r w:rsidR="00E95138">
        <w:t>produced</w:t>
      </w:r>
      <w:r w:rsidR="00E95138" w:rsidRPr="002D39AD">
        <w:rPr>
          <w:spacing w:val="-4"/>
        </w:rPr>
        <w:t xml:space="preserve"> </w:t>
      </w:r>
      <w:r w:rsidR="00E95138">
        <w:t>by</w:t>
      </w:r>
      <w:r w:rsidR="00E95138" w:rsidRPr="002D39AD">
        <w:rPr>
          <w:spacing w:val="-10"/>
        </w:rPr>
        <w:t xml:space="preserve"> </w:t>
      </w:r>
      <w:r w:rsidR="00E95138">
        <w:t>Oxera, then</w:t>
      </w:r>
      <w:r w:rsidR="00E95138" w:rsidRPr="002D39AD">
        <w:rPr>
          <w:spacing w:val="-10"/>
        </w:rPr>
        <w:t xml:space="preserve"> </w:t>
      </w:r>
      <w:r w:rsidR="00E95138">
        <w:t>it</w:t>
      </w:r>
      <w:r w:rsidR="00E95138" w:rsidRPr="002D39AD">
        <w:rPr>
          <w:spacing w:val="-14"/>
        </w:rPr>
        <w:t xml:space="preserve"> </w:t>
      </w:r>
      <w:r w:rsidR="00E95138">
        <w:t>would</w:t>
      </w:r>
      <w:r w:rsidR="00E95138" w:rsidRPr="002D39AD">
        <w:rPr>
          <w:spacing w:val="-13"/>
        </w:rPr>
        <w:t xml:space="preserve"> </w:t>
      </w:r>
      <w:r w:rsidR="00E95138">
        <w:t>also</w:t>
      </w:r>
      <w:r w:rsidR="00E95138" w:rsidRPr="002D39AD">
        <w:rPr>
          <w:spacing w:val="-12"/>
        </w:rPr>
        <w:t xml:space="preserve"> </w:t>
      </w:r>
      <w:r w:rsidR="00E95138">
        <w:t>be</w:t>
      </w:r>
      <w:r w:rsidR="00E95138" w:rsidRPr="002D39AD">
        <w:rPr>
          <w:spacing w:val="-7"/>
        </w:rPr>
        <w:t xml:space="preserve"> </w:t>
      </w:r>
      <w:r w:rsidR="00E95138">
        <w:t>necessary</w:t>
      </w:r>
      <w:r w:rsidR="00E95138" w:rsidRPr="002D39AD">
        <w:rPr>
          <w:spacing w:val="-3"/>
        </w:rPr>
        <w:t xml:space="preserve"> </w:t>
      </w:r>
      <w:r w:rsidR="00E95138">
        <w:t>to</w:t>
      </w:r>
      <w:r w:rsidR="00E95138" w:rsidRPr="002D39AD">
        <w:rPr>
          <w:spacing w:val="-10"/>
        </w:rPr>
        <w:t xml:space="preserve"> </w:t>
      </w:r>
      <w:r w:rsidR="00E95138">
        <w:t>recalculate</w:t>
      </w:r>
      <w:r w:rsidR="00E95138" w:rsidRPr="002D39AD">
        <w:rPr>
          <w:spacing w:val="-9"/>
        </w:rPr>
        <w:t xml:space="preserve"> </w:t>
      </w:r>
      <w:r w:rsidR="00E95138">
        <w:t>wider</w:t>
      </w:r>
      <w:r w:rsidR="00E95138" w:rsidRPr="002D39AD">
        <w:rPr>
          <w:spacing w:val="-10"/>
        </w:rPr>
        <w:t xml:space="preserve"> </w:t>
      </w:r>
      <w:r w:rsidR="00E95138">
        <w:t>elements</w:t>
      </w:r>
      <w:r w:rsidR="00E95138" w:rsidRPr="002D39AD">
        <w:rPr>
          <w:spacing w:val="-9"/>
        </w:rPr>
        <w:t xml:space="preserve"> </w:t>
      </w:r>
      <w:r w:rsidR="00E95138">
        <w:t>of</w:t>
      </w:r>
      <w:r w:rsidR="00E95138" w:rsidRPr="002D39AD">
        <w:rPr>
          <w:spacing w:val="-5"/>
        </w:rPr>
        <w:t xml:space="preserve"> </w:t>
      </w:r>
      <w:r w:rsidR="00E95138">
        <w:t>reimbursement</w:t>
      </w:r>
      <w:r w:rsidR="00E95138" w:rsidRPr="002D39AD">
        <w:rPr>
          <w:spacing w:val="-4"/>
        </w:rPr>
        <w:t xml:space="preserve"> </w:t>
      </w:r>
      <w:r w:rsidR="00E95138">
        <w:t>u</w:t>
      </w:r>
      <w:r w:rsidR="002D39AD">
        <w:t xml:space="preserve">nder </w:t>
      </w:r>
      <w:r w:rsidR="002D39AD" w:rsidRPr="002D39AD">
        <w:t xml:space="preserve">the Scheme Arrangements. It is for this reason that TfWM consider that the Average Fare Foregone dispute should be determined by an independent under the Dispute Resolution Procedure, looking at the </w:t>
      </w:r>
      <w:proofErr w:type="gramStart"/>
      <w:r w:rsidR="002D39AD" w:rsidRPr="002D39AD">
        <w:t>calculations as a whole</w:t>
      </w:r>
      <w:proofErr w:type="gramEnd"/>
      <w:r w:rsidR="002D39AD" w:rsidRPr="002D39AD">
        <w:t xml:space="preserve">. On that basis, it is therefore unlikely that disclosure of the data and production of a further </w:t>
      </w:r>
      <w:r w:rsidR="00111FF1">
        <w:t>Look-up</w:t>
      </w:r>
      <w:r w:rsidR="002D39AD" w:rsidRPr="002D39AD">
        <w:t xml:space="preserve"> table in relation to one element of reimbursement under the scheme will be of use to the parties in either disposing of or narrowing the Average Fare Foregone Dispute as it</w:t>
      </w:r>
      <w:r w:rsidR="002D39AD">
        <w:t xml:space="preserve"> </w:t>
      </w:r>
      <w:r w:rsidR="002D39AD" w:rsidRPr="002D39AD">
        <w:t xml:space="preserve">will not capture the wider ramifications of such changes to </w:t>
      </w:r>
      <w:proofErr w:type="gramStart"/>
      <w:r w:rsidR="002D39AD" w:rsidRPr="002D39AD">
        <w:t>reimbursement as a</w:t>
      </w:r>
      <w:r w:rsidR="002D39AD">
        <w:t xml:space="preserve"> whole</w:t>
      </w:r>
      <w:proofErr w:type="gramEnd"/>
      <w:r w:rsidR="002D39AD">
        <w:t>.”</w:t>
      </w:r>
    </w:p>
    <w:p w14:paraId="72018499" w14:textId="77777777" w:rsidR="005C70E0" w:rsidRDefault="00822DB8" w:rsidP="001846CE">
      <w:pPr>
        <w:pStyle w:val="ParaLevel1"/>
      </w:pPr>
      <w:r>
        <w:t xml:space="preserve">TfWM’s </w:t>
      </w:r>
      <w:r w:rsidR="004D416F">
        <w:t>position had been explained in similar terms</w:t>
      </w:r>
      <w:r w:rsidR="00A810E2">
        <w:t xml:space="preserve"> in paragraphs 24 to 27 of </w:t>
      </w:r>
      <w:r w:rsidR="004C775D">
        <w:t>AG</w:t>
      </w:r>
      <w:r w:rsidR="00A810E2">
        <w:t xml:space="preserve">’s letter dated </w:t>
      </w:r>
      <w:r w:rsidR="00600B8A">
        <w:t>17 November 2021</w:t>
      </w:r>
      <w:r w:rsidR="00783E5F">
        <w:t xml:space="preserve">, </w:t>
      </w:r>
      <w:r w:rsidR="00124B85">
        <w:t>which rejected Diamond’s request for the data sought. However,</w:t>
      </w:r>
      <w:r w:rsidR="00333746">
        <w:t xml:space="preserve"> at paragraph 33 of that letter AG stated that TfWM was willing to agree to provide some limited information in response to the request for data</w:t>
      </w:r>
      <w:r w:rsidR="00891C19">
        <w:t xml:space="preserve"> on the basis that: (a) the parties agreed confidential terms for the disclosure thereof; (b) </w:t>
      </w:r>
      <w:r w:rsidR="002F6A70">
        <w:t xml:space="preserve">the data was used for the purposes of an Expert Determination pursuant to Schedule 7 </w:t>
      </w:r>
      <w:r w:rsidR="005D45A7">
        <w:t>of the 2000 Act Arrangements</w:t>
      </w:r>
      <w:r w:rsidR="00650322">
        <w:t xml:space="preserve">; and (iii) when using the data, Oxera’s analysis </w:t>
      </w:r>
      <w:r w:rsidR="00242515">
        <w:t xml:space="preserve">included consequential amendments to other scheme calculations, for example if the proposed </w:t>
      </w:r>
      <w:r w:rsidR="00111FF1">
        <w:t>Look-up</w:t>
      </w:r>
      <w:r w:rsidR="00242515">
        <w:t xml:space="preserve"> table reflected the position that</w:t>
      </w:r>
      <w:r w:rsidR="000E2128">
        <w:t xml:space="preserve"> Diamond’s customers had lower than average demand, this was reflected in other components of the reimbursement tool such as the Reimbursement Factor.</w:t>
      </w:r>
      <w:r w:rsidR="00B7061C">
        <w:t xml:space="preserve"> </w:t>
      </w:r>
    </w:p>
    <w:p w14:paraId="4900443F" w14:textId="72933355" w:rsidR="00F745CC" w:rsidRDefault="00A657B6" w:rsidP="001846CE">
      <w:pPr>
        <w:pStyle w:val="ParaLevel1"/>
      </w:pPr>
      <w:r>
        <w:t>On the above basis, it is TfWM’s case that</w:t>
      </w:r>
      <w:r w:rsidR="00F745CC">
        <w:t xml:space="preserve"> Diamond has failed to satisfy the jurisdictional threshold, and so the question of discretion </w:t>
      </w:r>
      <w:r w:rsidR="00FE058F">
        <w:t>does</w:t>
      </w:r>
      <w:r w:rsidR="00F745CC">
        <w:t xml:space="preserve"> not arise.</w:t>
      </w:r>
    </w:p>
    <w:p w14:paraId="6083D484" w14:textId="06065140" w:rsidR="00E95138" w:rsidRPr="00511BD4" w:rsidRDefault="00F745CC" w:rsidP="001846CE">
      <w:pPr>
        <w:pStyle w:val="ParaLevel1"/>
        <w:numPr>
          <w:ilvl w:val="0"/>
          <w:numId w:val="0"/>
        </w:numPr>
        <w:ind w:left="720" w:hanging="720"/>
        <w:rPr>
          <w:b/>
          <w:bCs/>
        </w:rPr>
      </w:pPr>
      <w:bookmarkStart w:id="17" w:name="H3"/>
      <w:r w:rsidRPr="00511BD4">
        <w:rPr>
          <w:b/>
          <w:bCs/>
        </w:rPr>
        <w:t>Discretion</w:t>
      </w:r>
      <w:r w:rsidR="00D5315F" w:rsidRPr="00511BD4">
        <w:rPr>
          <w:b/>
          <w:bCs/>
        </w:rPr>
        <w:t xml:space="preserve"> </w:t>
      </w:r>
    </w:p>
    <w:bookmarkEnd w:id="17"/>
    <w:p w14:paraId="691F4F66" w14:textId="02D5CC2D" w:rsidR="00235686" w:rsidRDefault="00511BD4" w:rsidP="001846CE">
      <w:pPr>
        <w:pStyle w:val="ParaLevel1"/>
        <w:rPr>
          <w:lang w:eastAsia="en-GB"/>
        </w:rPr>
      </w:pPr>
      <w:r>
        <w:rPr>
          <w:lang w:eastAsia="en-GB"/>
        </w:rPr>
        <w:t xml:space="preserve">If, </w:t>
      </w:r>
      <w:r w:rsidR="001A3B0E">
        <w:rPr>
          <w:lang w:eastAsia="en-GB"/>
        </w:rPr>
        <w:t xml:space="preserve">contrary to TfWM’s </w:t>
      </w:r>
      <w:r w:rsidR="00776592">
        <w:rPr>
          <w:lang w:eastAsia="en-GB"/>
        </w:rPr>
        <w:t xml:space="preserve">primary case, </w:t>
      </w:r>
      <w:r w:rsidR="001A3B0E">
        <w:rPr>
          <w:lang w:eastAsia="en-GB"/>
        </w:rPr>
        <w:t xml:space="preserve">it </w:t>
      </w:r>
      <w:r w:rsidR="00BC5AF5">
        <w:rPr>
          <w:lang w:eastAsia="en-GB"/>
        </w:rPr>
        <w:t xml:space="preserve">is appropriate for the Court to </w:t>
      </w:r>
      <w:r w:rsidR="00814F56">
        <w:rPr>
          <w:lang w:eastAsia="en-GB"/>
        </w:rPr>
        <w:t xml:space="preserve">move on to </w:t>
      </w:r>
      <w:r w:rsidR="00BC5AF5">
        <w:rPr>
          <w:lang w:eastAsia="en-GB"/>
        </w:rPr>
        <w:t xml:space="preserve">consider the exercise of its discretion, then for </w:t>
      </w:r>
      <w:proofErr w:type="gramStart"/>
      <w:r w:rsidR="00BC5AF5">
        <w:rPr>
          <w:lang w:eastAsia="en-GB"/>
        </w:rPr>
        <w:t xml:space="preserve">a </w:t>
      </w:r>
      <w:r w:rsidR="00776592">
        <w:rPr>
          <w:lang w:eastAsia="en-GB"/>
        </w:rPr>
        <w:t xml:space="preserve">number </w:t>
      </w:r>
      <w:r w:rsidR="00BC5AF5">
        <w:rPr>
          <w:lang w:eastAsia="en-GB"/>
        </w:rPr>
        <w:t>of</w:t>
      </w:r>
      <w:proofErr w:type="gramEnd"/>
      <w:r w:rsidR="00BC5AF5">
        <w:rPr>
          <w:lang w:eastAsia="en-GB"/>
        </w:rPr>
        <w:t xml:space="preserve"> reasons, TfWM submits that the Court should exercise its discretion against </w:t>
      </w:r>
      <w:r w:rsidR="005553BC">
        <w:rPr>
          <w:lang w:eastAsia="en-GB"/>
        </w:rPr>
        <w:t xml:space="preserve">ordering pre-action disclosure. </w:t>
      </w:r>
      <w:r w:rsidR="00ED6135">
        <w:rPr>
          <w:lang w:eastAsia="en-GB"/>
        </w:rPr>
        <w:t xml:space="preserve">The reasons advanced on behalf of TfWM are considered in turn. </w:t>
      </w:r>
    </w:p>
    <w:p w14:paraId="45E67B54" w14:textId="3FCE14A5" w:rsidR="005553BC" w:rsidRPr="005553BC" w:rsidRDefault="00A33229" w:rsidP="001846CE">
      <w:pPr>
        <w:pStyle w:val="ParaLevel1"/>
        <w:numPr>
          <w:ilvl w:val="0"/>
          <w:numId w:val="0"/>
        </w:numPr>
        <w:ind w:left="720" w:hanging="720"/>
        <w:rPr>
          <w:i/>
          <w:iCs/>
          <w:lang w:eastAsia="en-GB"/>
        </w:rPr>
      </w:pPr>
      <w:r>
        <w:rPr>
          <w:i/>
          <w:iCs/>
          <w:lang w:eastAsia="en-GB"/>
        </w:rPr>
        <w:t>Desirability</w:t>
      </w:r>
    </w:p>
    <w:p w14:paraId="0D7B99A0" w14:textId="278EDB88" w:rsidR="005553BC" w:rsidRPr="00ED062E" w:rsidRDefault="00A33229" w:rsidP="001846CE">
      <w:pPr>
        <w:pStyle w:val="ParaLevel1"/>
        <w:rPr>
          <w:lang w:eastAsia="en-GB"/>
        </w:rPr>
      </w:pPr>
      <w:r>
        <w:rPr>
          <w:lang w:eastAsia="en-GB"/>
        </w:rPr>
        <w:t>Even if it can be said that there is a real prospect of</w:t>
      </w:r>
      <w:r w:rsidR="00EC7543">
        <w:rPr>
          <w:lang w:eastAsia="en-GB"/>
        </w:rPr>
        <w:t xml:space="preserve"> the pre-action disclosure sought</w:t>
      </w:r>
      <w:r w:rsidR="00C23D77">
        <w:rPr>
          <w:lang w:eastAsia="en-GB"/>
        </w:rPr>
        <w:t xml:space="preserve"> achieving one of the objectives set out in 31.16(d)</w:t>
      </w:r>
      <w:r w:rsidR="00A701BF">
        <w:rPr>
          <w:lang w:eastAsia="en-GB"/>
        </w:rPr>
        <w:t xml:space="preserve">, thus </w:t>
      </w:r>
      <w:r w:rsidR="00FC7586">
        <w:rPr>
          <w:lang w:eastAsia="en-GB"/>
        </w:rPr>
        <w:t xml:space="preserve">satisfying the jurisdiction </w:t>
      </w:r>
      <w:r w:rsidR="00FC7586">
        <w:rPr>
          <w:lang w:eastAsia="en-GB"/>
        </w:rPr>
        <w:lastRenderedPageBreak/>
        <w:t xml:space="preserve">threshold, </w:t>
      </w:r>
      <w:r w:rsidR="00EC4F93">
        <w:rPr>
          <w:iCs/>
          <w:lang w:eastAsia="en-GB"/>
        </w:rPr>
        <w:t xml:space="preserve">TfWM </w:t>
      </w:r>
      <w:r w:rsidR="003D3E11">
        <w:rPr>
          <w:iCs/>
          <w:lang w:eastAsia="en-GB"/>
        </w:rPr>
        <w:t>relies upon the fact that Diamond has been able to prepare Draft POC,</w:t>
      </w:r>
      <w:r w:rsidR="00666A82">
        <w:rPr>
          <w:iCs/>
          <w:lang w:eastAsia="en-GB"/>
        </w:rPr>
        <w:t xml:space="preserve"> and as to differences of principle between the parties with regard to the matters identified in paragraphs 76 and 77 of Mr Lewis’s witness statement</w:t>
      </w:r>
      <w:r w:rsidR="00B36A16">
        <w:rPr>
          <w:iCs/>
          <w:lang w:eastAsia="en-GB"/>
        </w:rPr>
        <w:t>, as be</w:t>
      </w:r>
      <w:r w:rsidR="004C313A">
        <w:rPr>
          <w:iCs/>
          <w:lang w:eastAsia="en-GB"/>
        </w:rPr>
        <w:t xml:space="preserve">ing </w:t>
      </w:r>
      <w:r w:rsidR="00B36A16">
        <w:rPr>
          <w:iCs/>
          <w:lang w:eastAsia="en-GB"/>
        </w:rPr>
        <w:t>factors that</w:t>
      </w:r>
      <w:r w:rsidR="004C313A">
        <w:rPr>
          <w:iCs/>
          <w:lang w:eastAsia="en-GB"/>
        </w:rPr>
        <w:t>, taken together with</w:t>
      </w:r>
      <w:r w:rsidR="007C575D">
        <w:rPr>
          <w:iCs/>
          <w:lang w:eastAsia="en-GB"/>
        </w:rPr>
        <w:t xml:space="preserve"> other discretionary considerations,</w:t>
      </w:r>
      <w:r w:rsidR="00E34EA6">
        <w:rPr>
          <w:iCs/>
          <w:lang w:eastAsia="en-GB"/>
        </w:rPr>
        <w:t xml:space="preserve"> ought to weigh in the balance against the Court exercising its discretion in Diamond’s favour.</w:t>
      </w:r>
    </w:p>
    <w:p w14:paraId="7C9B607B" w14:textId="2CDF25BD" w:rsidR="00ED062E" w:rsidRPr="007C575D" w:rsidRDefault="00446907" w:rsidP="001846CE">
      <w:pPr>
        <w:pStyle w:val="ParaLevel1"/>
        <w:rPr>
          <w:lang w:eastAsia="en-GB"/>
        </w:rPr>
      </w:pPr>
      <w:r>
        <w:rPr>
          <w:lang w:eastAsia="en-GB"/>
        </w:rPr>
        <w:t>Allied to the</w:t>
      </w:r>
      <w:r w:rsidR="006D00D6">
        <w:rPr>
          <w:lang w:eastAsia="en-GB"/>
        </w:rPr>
        <w:t xml:space="preserve"> question of fundamental differences in principle</w:t>
      </w:r>
      <w:r w:rsidR="00F75CF3">
        <w:rPr>
          <w:lang w:eastAsia="en-GB"/>
        </w:rPr>
        <w:t xml:space="preserve">, and </w:t>
      </w:r>
      <w:r w:rsidR="000A5F38">
        <w:rPr>
          <w:lang w:eastAsia="en-GB"/>
        </w:rPr>
        <w:t>a</w:t>
      </w:r>
      <w:r w:rsidR="00F75CF3">
        <w:rPr>
          <w:lang w:eastAsia="en-GB"/>
        </w:rPr>
        <w:t>s touched upon in paragraphs 76 and 77 of Mr Lewis’s witness statement,</w:t>
      </w:r>
      <w:r w:rsidR="006D00D6">
        <w:rPr>
          <w:lang w:eastAsia="en-GB"/>
        </w:rPr>
        <w:t xml:space="preserve"> are TfWM’s complaints that Diamond is </w:t>
      </w:r>
      <w:r w:rsidR="006D00D6" w:rsidRPr="006D00D6">
        <w:rPr>
          <w:i/>
          <w:iCs/>
          <w:lang w:eastAsia="en-GB"/>
        </w:rPr>
        <w:t>“cherry picking”</w:t>
      </w:r>
      <w:r w:rsidR="00455F7E">
        <w:rPr>
          <w:i/>
          <w:iCs/>
          <w:lang w:eastAsia="en-GB"/>
        </w:rPr>
        <w:t xml:space="preserve"> </w:t>
      </w:r>
      <w:r w:rsidR="00455F7E">
        <w:rPr>
          <w:iCs/>
          <w:lang w:eastAsia="en-GB"/>
        </w:rPr>
        <w:t>its use of data</w:t>
      </w:r>
      <w:r w:rsidR="00FB17FC">
        <w:rPr>
          <w:iCs/>
          <w:lang w:eastAsia="en-GB"/>
        </w:rPr>
        <w:t xml:space="preserve"> by not having </w:t>
      </w:r>
      <w:r w:rsidR="0061697E">
        <w:rPr>
          <w:iCs/>
          <w:lang w:eastAsia="en-GB"/>
        </w:rPr>
        <w:t xml:space="preserve">adequate </w:t>
      </w:r>
      <w:r w:rsidR="00FB17FC">
        <w:rPr>
          <w:iCs/>
          <w:lang w:eastAsia="en-GB"/>
        </w:rPr>
        <w:t>regard to the fact that the matters identified</w:t>
      </w:r>
      <w:r w:rsidR="005746A9">
        <w:rPr>
          <w:iCs/>
          <w:lang w:eastAsia="en-GB"/>
        </w:rPr>
        <w:t>, wh</w:t>
      </w:r>
      <w:r w:rsidR="00126CE8">
        <w:rPr>
          <w:iCs/>
          <w:lang w:eastAsia="en-GB"/>
        </w:rPr>
        <w:t>ilst</w:t>
      </w:r>
      <w:r w:rsidR="005746A9">
        <w:rPr>
          <w:iCs/>
          <w:lang w:eastAsia="en-GB"/>
        </w:rPr>
        <w:t xml:space="preserve"> potentially skewing the position against Diamond</w:t>
      </w:r>
      <w:r w:rsidR="0099689C">
        <w:rPr>
          <w:iCs/>
          <w:lang w:eastAsia="en-GB"/>
        </w:rPr>
        <w:t>,</w:t>
      </w:r>
      <w:r w:rsidR="00126CE8">
        <w:rPr>
          <w:iCs/>
          <w:lang w:eastAsia="en-GB"/>
        </w:rPr>
        <w:t xml:space="preserve"> </w:t>
      </w:r>
      <w:r w:rsidR="0061697E">
        <w:rPr>
          <w:iCs/>
          <w:lang w:eastAsia="en-GB"/>
        </w:rPr>
        <w:t xml:space="preserve">could potentially </w:t>
      </w:r>
      <w:r w:rsidR="00ED0B8E">
        <w:rPr>
          <w:iCs/>
          <w:lang w:eastAsia="en-GB"/>
        </w:rPr>
        <w:t xml:space="preserve">at least </w:t>
      </w:r>
      <w:r w:rsidR="0061697E">
        <w:rPr>
          <w:iCs/>
          <w:lang w:eastAsia="en-GB"/>
        </w:rPr>
        <w:t>work against Diamond in respect of other aspects of the</w:t>
      </w:r>
      <w:r w:rsidR="00C96376">
        <w:rPr>
          <w:iCs/>
          <w:lang w:eastAsia="en-GB"/>
        </w:rPr>
        <w:t xml:space="preserve"> relevant calculations</w:t>
      </w:r>
      <w:r w:rsidR="00ED0B8E">
        <w:rPr>
          <w:iCs/>
          <w:lang w:eastAsia="en-GB"/>
        </w:rPr>
        <w:t xml:space="preserve"> behind </w:t>
      </w:r>
      <w:r w:rsidR="00460FC0">
        <w:rPr>
          <w:iCs/>
          <w:lang w:eastAsia="en-GB"/>
        </w:rPr>
        <w:t>the Revenue Foregone figure</w:t>
      </w:r>
      <w:r w:rsidR="00C96376">
        <w:rPr>
          <w:iCs/>
          <w:lang w:eastAsia="en-GB"/>
        </w:rPr>
        <w:t xml:space="preserve">. Allied to this is a concern on TfWM’s part that Diamond is </w:t>
      </w:r>
      <w:r w:rsidR="00965EFB">
        <w:rPr>
          <w:iCs/>
          <w:lang w:eastAsia="en-GB"/>
        </w:rPr>
        <w:t xml:space="preserve">impermissibly </w:t>
      </w:r>
      <w:r w:rsidR="00965EFB" w:rsidRPr="00965EFB">
        <w:rPr>
          <w:i/>
          <w:lang w:eastAsia="en-GB"/>
        </w:rPr>
        <w:t>“</w:t>
      </w:r>
      <w:r w:rsidR="00C96376" w:rsidRPr="00965EFB">
        <w:rPr>
          <w:i/>
          <w:lang w:eastAsia="en-GB"/>
        </w:rPr>
        <w:t>fishing</w:t>
      </w:r>
      <w:r w:rsidR="00965EFB" w:rsidRPr="00965EFB">
        <w:rPr>
          <w:i/>
          <w:lang w:eastAsia="en-GB"/>
        </w:rPr>
        <w:t>”</w:t>
      </w:r>
      <w:r w:rsidR="00C96376">
        <w:rPr>
          <w:iCs/>
          <w:lang w:eastAsia="en-GB"/>
        </w:rPr>
        <w:t xml:space="preserve"> </w:t>
      </w:r>
      <w:r w:rsidR="00965EFB">
        <w:rPr>
          <w:iCs/>
          <w:lang w:eastAsia="en-GB"/>
        </w:rPr>
        <w:t xml:space="preserve">for data that might assist its case. </w:t>
      </w:r>
    </w:p>
    <w:p w14:paraId="64AF7234" w14:textId="2956147F" w:rsidR="007C575D" w:rsidRPr="002C5285" w:rsidRDefault="007C575D" w:rsidP="001846CE">
      <w:pPr>
        <w:pStyle w:val="ParaLevel1"/>
        <w:numPr>
          <w:ilvl w:val="0"/>
          <w:numId w:val="0"/>
        </w:numPr>
        <w:ind w:left="720" w:hanging="720"/>
        <w:rPr>
          <w:i/>
          <w:lang w:eastAsia="en-GB"/>
        </w:rPr>
      </w:pPr>
      <w:r w:rsidRPr="002C5285">
        <w:rPr>
          <w:i/>
          <w:lang w:eastAsia="en-GB"/>
        </w:rPr>
        <w:t xml:space="preserve">Dispute </w:t>
      </w:r>
      <w:r w:rsidR="002C5285" w:rsidRPr="002C5285">
        <w:rPr>
          <w:i/>
          <w:lang w:eastAsia="en-GB"/>
        </w:rPr>
        <w:t xml:space="preserve">Resolution </w:t>
      </w:r>
      <w:r w:rsidR="00D368E2">
        <w:rPr>
          <w:i/>
          <w:lang w:eastAsia="en-GB"/>
        </w:rPr>
        <w:t xml:space="preserve">Procedure </w:t>
      </w:r>
    </w:p>
    <w:p w14:paraId="39F4CFC3" w14:textId="54C3C44B" w:rsidR="007C575D" w:rsidRDefault="0091569A" w:rsidP="001846CE">
      <w:pPr>
        <w:pStyle w:val="ParaLevel1"/>
        <w:rPr>
          <w:lang w:eastAsia="en-GB"/>
        </w:rPr>
      </w:pPr>
      <w:r>
        <w:rPr>
          <w:lang w:eastAsia="en-GB"/>
        </w:rPr>
        <w:t>Paragraph</w:t>
      </w:r>
      <w:r w:rsidR="007F7BE0">
        <w:rPr>
          <w:lang w:eastAsia="en-GB"/>
        </w:rPr>
        <w:t xml:space="preserve"> 27 of the 2000 Act Arrangements provides that certain disputes between</w:t>
      </w:r>
      <w:r w:rsidR="00E216F5">
        <w:rPr>
          <w:lang w:eastAsia="en-GB"/>
        </w:rPr>
        <w:t xml:space="preserve"> Diamond and TfWM in respect of the level of reimbursement</w:t>
      </w:r>
      <w:r w:rsidR="000252E9">
        <w:rPr>
          <w:lang w:eastAsia="en-GB"/>
        </w:rPr>
        <w:t xml:space="preserve"> should be the subject matter of the dispute resolution procedure set out in Schedule 7 to the </w:t>
      </w:r>
      <w:r w:rsidR="009C2644">
        <w:rPr>
          <w:lang w:eastAsia="en-GB"/>
        </w:rPr>
        <w:t>2000 Act Arrangements</w:t>
      </w:r>
      <w:r w:rsidR="000E6E40">
        <w:rPr>
          <w:lang w:eastAsia="en-GB"/>
        </w:rPr>
        <w:t xml:space="preserve"> (“</w:t>
      </w:r>
      <w:r w:rsidR="000E6E40" w:rsidRPr="000E6E40">
        <w:rPr>
          <w:b/>
          <w:bCs/>
          <w:lang w:eastAsia="en-GB"/>
        </w:rPr>
        <w:t>the DRP</w:t>
      </w:r>
      <w:r w:rsidR="000E6E40">
        <w:rPr>
          <w:lang w:eastAsia="en-GB"/>
        </w:rPr>
        <w:t>”)</w:t>
      </w:r>
      <w:r w:rsidR="009C2644">
        <w:rPr>
          <w:lang w:eastAsia="en-GB"/>
        </w:rPr>
        <w:t xml:space="preserve">. The disputes in question include: </w:t>
      </w:r>
      <w:r w:rsidR="009C2644" w:rsidRPr="009124D6">
        <w:rPr>
          <w:i/>
          <w:iCs/>
          <w:lang w:eastAsia="en-GB"/>
        </w:rPr>
        <w:t xml:space="preserve">“(a) the fares value to be attributed to journeys by persons eligible to receive concessions on the operators </w:t>
      </w:r>
      <w:r w:rsidR="009124D6">
        <w:rPr>
          <w:i/>
          <w:iCs/>
          <w:lang w:eastAsia="en-GB"/>
        </w:rPr>
        <w:t xml:space="preserve">(sic) </w:t>
      </w:r>
      <w:r w:rsidR="009C2644" w:rsidRPr="009124D6">
        <w:rPr>
          <w:i/>
          <w:iCs/>
          <w:lang w:eastAsia="en-GB"/>
        </w:rPr>
        <w:t>eligible services covered by the Arrangements</w:t>
      </w:r>
      <w:r w:rsidR="009124D6" w:rsidRPr="009124D6">
        <w:rPr>
          <w:i/>
          <w:iCs/>
          <w:lang w:eastAsia="en-GB"/>
        </w:rPr>
        <w:t>.”</w:t>
      </w:r>
      <w:r w:rsidR="000252E9" w:rsidRPr="009124D6">
        <w:rPr>
          <w:i/>
          <w:iCs/>
          <w:lang w:eastAsia="en-GB"/>
        </w:rPr>
        <w:t>.</w:t>
      </w:r>
      <w:r w:rsidR="009124D6">
        <w:rPr>
          <w:lang w:eastAsia="en-GB"/>
        </w:rPr>
        <w:t xml:space="preserve"> </w:t>
      </w:r>
      <w:r w:rsidR="00770743">
        <w:rPr>
          <w:lang w:eastAsia="en-GB"/>
        </w:rPr>
        <w:t xml:space="preserve">Schedule 7 is </w:t>
      </w:r>
      <w:r w:rsidR="00AC6E18">
        <w:rPr>
          <w:lang w:eastAsia="en-GB"/>
        </w:rPr>
        <w:t xml:space="preserve">included as </w:t>
      </w:r>
      <w:r w:rsidR="00770743">
        <w:rPr>
          <w:lang w:eastAsia="en-GB"/>
        </w:rPr>
        <w:t>an Appendix to this Judgment.</w:t>
      </w:r>
    </w:p>
    <w:p w14:paraId="6A70CCFC" w14:textId="7C0A0C7F" w:rsidR="00FB73B9" w:rsidRDefault="00FA26AA" w:rsidP="001846CE">
      <w:pPr>
        <w:pStyle w:val="ParaLevel1"/>
        <w:rPr>
          <w:lang w:eastAsia="en-GB"/>
        </w:rPr>
      </w:pPr>
      <w:r>
        <w:rPr>
          <w:lang w:eastAsia="en-GB"/>
        </w:rPr>
        <w:t>Mr Maynard-Connor KC points out that a</w:t>
      </w:r>
      <w:r w:rsidR="00FB73B9">
        <w:rPr>
          <w:lang w:eastAsia="en-GB"/>
        </w:rPr>
        <w:t>lthough</w:t>
      </w:r>
      <w:r w:rsidR="00417818">
        <w:rPr>
          <w:lang w:eastAsia="en-GB"/>
        </w:rPr>
        <w:t xml:space="preserve"> </w:t>
      </w:r>
      <w:r w:rsidR="00EA0D08">
        <w:rPr>
          <w:lang w:eastAsia="en-GB"/>
        </w:rPr>
        <w:t xml:space="preserve">regulatory </w:t>
      </w:r>
      <w:r w:rsidR="00417818">
        <w:rPr>
          <w:lang w:eastAsia="en-GB"/>
        </w:rPr>
        <w:t>in origin, the Scheme Arrangements were voluntar</w:t>
      </w:r>
      <w:r w:rsidR="00146566">
        <w:rPr>
          <w:lang w:eastAsia="en-GB"/>
        </w:rPr>
        <w:t>il</w:t>
      </w:r>
      <w:r w:rsidR="00417818">
        <w:rPr>
          <w:lang w:eastAsia="en-GB"/>
        </w:rPr>
        <w:t>y agreed to by Diamond, and they are binding on it. Mr Connolly did not seek to</w:t>
      </w:r>
      <w:r w:rsidR="00277927">
        <w:rPr>
          <w:lang w:eastAsia="en-GB"/>
        </w:rPr>
        <w:t xml:space="preserve"> argue to the contrary.</w:t>
      </w:r>
    </w:p>
    <w:p w14:paraId="2573EF5E" w14:textId="1866ADA8" w:rsidR="00277927" w:rsidRDefault="00727C0B" w:rsidP="001846CE">
      <w:pPr>
        <w:pStyle w:val="ParaLevel1"/>
        <w:rPr>
          <w:lang w:eastAsia="en-GB"/>
        </w:rPr>
      </w:pPr>
      <w:r>
        <w:rPr>
          <w:lang w:eastAsia="en-GB"/>
        </w:rPr>
        <w:t>By a letter dated</w:t>
      </w:r>
      <w:r w:rsidR="00D368E2">
        <w:rPr>
          <w:lang w:eastAsia="en-GB"/>
        </w:rPr>
        <w:t xml:space="preserve"> 18 July 2018, Backhouse Jones, on behalf of Diamond, </w:t>
      </w:r>
      <w:r w:rsidR="00E00F9B">
        <w:rPr>
          <w:lang w:eastAsia="en-GB"/>
        </w:rPr>
        <w:t xml:space="preserve">sought to initiate the DRP </w:t>
      </w:r>
      <w:r w:rsidR="007C6F2F">
        <w:rPr>
          <w:lang w:eastAsia="en-GB"/>
        </w:rPr>
        <w:t xml:space="preserve">by requesting a meeting </w:t>
      </w:r>
      <w:r w:rsidR="00A43E13">
        <w:rPr>
          <w:lang w:eastAsia="en-GB"/>
        </w:rPr>
        <w:t xml:space="preserve">as provided for by paragraph 1 of Schedule 7. </w:t>
      </w:r>
      <w:r w:rsidR="00265A14">
        <w:rPr>
          <w:lang w:eastAsia="en-GB"/>
        </w:rPr>
        <w:t>Following a meeting</w:t>
      </w:r>
      <w:r w:rsidR="00F425B0">
        <w:rPr>
          <w:lang w:eastAsia="en-GB"/>
        </w:rPr>
        <w:t xml:space="preserve"> that did not resolve the matter, an expert was approached</w:t>
      </w:r>
      <w:r w:rsidR="00CA7DD5">
        <w:rPr>
          <w:lang w:eastAsia="en-GB"/>
        </w:rPr>
        <w:t xml:space="preserve"> but as referred to in an email from Backhouse Jones dated 26 October 2018, the expert ultimately declined an invitation </w:t>
      </w:r>
      <w:r w:rsidR="00E759D2">
        <w:rPr>
          <w:lang w:eastAsia="en-GB"/>
        </w:rPr>
        <w:t>t</w:t>
      </w:r>
      <w:r w:rsidR="00CA7DD5">
        <w:rPr>
          <w:lang w:eastAsia="en-GB"/>
        </w:rPr>
        <w:t>o act</w:t>
      </w:r>
      <w:r w:rsidR="00B069E7">
        <w:rPr>
          <w:lang w:eastAsia="en-GB"/>
        </w:rPr>
        <w:t>, and the DRP has proceeded no further.</w:t>
      </w:r>
      <w:r w:rsidR="00544532">
        <w:rPr>
          <w:lang w:eastAsia="en-GB"/>
        </w:rPr>
        <w:t xml:space="preserve"> </w:t>
      </w:r>
    </w:p>
    <w:p w14:paraId="262F5A8F" w14:textId="4D8B22EC" w:rsidR="00544532" w:rsidRDefault="00544532" w:rsidP="001846CE">
      <w:pPr>
        <w:pStyle w:val="ParaLevel1"/>
        <w:rPr>
          <w:lang w:eastAsia="en-GB"/>
        </w:rPr>
      </w:pPr>
      <w:r>
        <w:rPr>
          <w:lang w:eastAsia="en-GB"/>
        </w:rPr>
        <w:t xml:space="preserve">However, it is TfWM’s </w:t>
      </w:r>
      <w:r w:rsidR="00F53E5B">
        <w:rPr>
          <w:lang w:eastAsia="en-GB"/>
        </w:rPr>
        <w:t xml:space="preserve">case that it </w:t>
      </w:r>
      <w:r w:rsidR="00D53305">
        <w:rPr>
          <w:lang w:eastAsia="en-GB"/>
        </w:rPr>
        <w:t>is entitled to invoke</w:t>
      </w:r>
      <w:r w:rsidR="00C12307">
        <w:rPr>
          <w:lang w:eastAsia="en-GB"/>
        </w:rPr>
        <w:t xml:space="preserve">, or perhaps rather resurrect, </w:t>
      </w:r>
      <w:r w:rsidR="00D53305">
        <w:rPr>
          <w:lang w:eastAsia="en-GB"/>
        </w:rPr>
        <w:t>the DRP, and if necessary to</w:t>
      </w:r>
      <w:r w:rsidR="00BC285C">
        <w:rPr>
          <w:lang w:eastAsia="en-GB"/>
        </w:rPr>
        <w:t xml:space="preserve"> seek a stay of any proceedings that might be issued by Diamond</w:t>
      </w:r>
      <w:r w:rsidR="006A38B4">
        <w:rPr>
          <w:lang w:eastAsia="en-GB"/>
        </w:rPr>
        <w:t xml:space="preserve"> in respect of its claims. </w:t>
      </w:r>
      <w:r w:rsidR="008118E0">
        <w:rPr>
          <w:lang w:eastAsia="en-GB"/>
        </w:rPr>
        <w:t xml:space="preserve">Although there is a dispute between the parties as to this, TfWM’s </w:t>
      </w:r>
      <w:r w:rsidR="003B095D">
        <w:rPr>
          <w:lang w:eastAsia="en-GB"/>
        </w:rPr>
        <w:t xml:space="preserve">position is, as stated in AG’s letter dated 18 July 2023, that there are </w:t>
      </w:r>
      <w:proofErr w:type="gramStart"/>
      <w:r w:rsidR="003B095D">
        <w:rPr>
          <w:lang w:eastAsia="en-GB"/>
        </w:rPr>
        <w:t>a number of</w:t>
      </w:r>
      <w:proofErr w:type="gramEnd"/>
      <w:r w:rsidR="003B095D">
        <w:rPr>
          <w:lang w:eastAsia="en-GB"/>
        </w:rPr>
        <w:t xml:space="preserve"> suitable experts available who could make a fair determination</w:t>
      </w:r>
      <w:r w:rsidR="00ED0F0C">
        <w:rPr>
          <w:lang w:eastAsia="en-GB"/>
        </w:rPr>
        <w:t xml:space="preserve"> of the Additional Costs Claim and the Fares Foregone Claim.</w:t>
      </w:r>
    </w:p>
    <w:p w14:paraId="15589F26" w14:textId="4E1D418E" w:rsidR="00B14D9C" w:rsidRDefault="00B14D9C" w:rsidP="001846CE">
      <w:pPr>
        <w:pStyle w:val="ParaLevel1"/>
        <w:rPr>
          <w:lang w:eastAsia="en-GB"/>
        </w:rPr>
      </w:pPr>
      <w:r>
        <w:rPr>
          <w:lang w:eastAsia="en-GB"/>
        </w:rPr>
        <w:t>Mr Maynard</w:t>
      </w:r>
      <w:r w:rsidR="00C9421C">
        <w:rPr>
          <w:lang w:eastAsia="en-GB"/>
        </w:rPr>
        <w:t>-</w:t>
      </w:r>
      <w:r>
        <w:rPr>
          <w:lang w:eastAsia="en-GB"/>
        </w:rPr>
        <w:t>Connor KC recognises</w:t>
      </w:r>
      <w:r w:rsidR="00C9421C">
        <w:rPr>
          <w:lang w:eastAsia="en-GB"/>
        </w:rPr>
        <w:t xml:space="preserve"> that the provisions of Schedule 7 of the 2000 Act Arrangements are not as detailed and comprehensive as those considered by</w:t>
      </w:r>
      <w:r w:rsidR="00EB77DE">
        <w:rPr>
          <w:lang w:eastAsia="en-GB"/>
        </w:rPr>
        <w:t xml:space="preserve"> Fraser J in </w:t>
      </w:r>
      <w:r w:rsidR="00EB77DE" w:rsidRPr="00EB77DE">
        <w:rPr>
          <w:i/>
          <w:iCs/>
          <w:lang w:eastAsia="en-GB"/>
        </w:rPr>
        <w:t>Taylor Wimpey UK Ltd v Harron Homes</w:t>
      </w:r>
      <w:r w:rsidR="00EB77DE">
        <w:rPr>
          <w:i/>
          <w:iCs/>
          <w:lang w:eastAsia="en-GB"/>
        </w:rPr>
        <w:t xml:space="preserve"> </w:t>
      </w:r>
      <w:r w:rsidR="00EB77DE" w:rsidRPr="00EB77DE">
        <w:rPr>
          <w:i/>
          <w:iCs/>
          <w:lang w:eastAsia="en-GB"/>
        </w:rPr>
        <w:t>Ltd</w:t>
      </w:r>
      <w:r w:rsidR="00EB77DE">
        <w:rPr>
          <w:i/>
          <w:iCs/>
          <w:lang w:eastAsia="en-GB"/>
        </w:rPr>
        <w:t xml:space="preserve"> </w:t>
      </w:r>
      <w:r w:rsidR="00EB77DE">
        <w:rPr>
          <w:lang w:eastAsia="en-GB"/>
        </w:rPr>
        <w:t>(supra)</w:t>
      </w:r>
      <w:r w:rsidR="0089575D">
        <w:rPr>
          <w:lang w:eastAsia="en-GB"/>
        </w:rPr>
        <w:t xml:space="preserve">, </w:t>
      </w:r>
      <w:r w:rsidR="00125042">
        <w:rPr>
          <w:lang w:eastAsia="en-GB"/>
        </w:rPr>
        <w:t>and therefore</w:t>
      </w:r>
      <w:r w:rsidR="00396B35">
        <w:rPr>
          <w:lang w:eastAsia="en-GB"/>
        </w:rPr>
        <w:t xml:space="preserve"> the grounds for </w:t>
      </w:r>
      <w:r w:rsidR="00960CE1">
        <w:rPr>
          <w:lang w:eastAsia="en-GB"/>
        </w:rPr>
        <w:t xml:space="preserve">seeking </w:t>
      </w:r>
      <w:r w:rsidR="00396B35">
        <w:rPr>
          <w:lang w:eastAsia="en-GB"/>
        </w:rPr>
        <w:t xml:space="preserve">a stay </w:t>
      </w:r>
      <w:r w:rsidR="00960CE1">
        <w:rPr>
          <w:lang w:eastAsia="en-GB"/>
        </w:rPr>
        <w:t xml:space="preserve">to </w:t>
      </w:r>
      <w:r w:rsidR="00396B35">
        <w:rPr>
          <w:lang w:eastAsia="en-GB"/>
        </w:rPr>
        <w:t>any proceedings, and the basis for objecting to pre-action disclosure</w:t>
      </w:r>
      <w:r w:rsidR="00A912C3">
        <w:rPr>
          <w:lang w:eastAsia="en-GB"/>
        </w:rPr>
        <w:t xml:space="preserve"> </w:t>
      </w:r>
      <w:proofErr w:type="gramStart"/>
      <w:r w:rsidR="00981432">
        <w:rPr>
          <w:lang w:eastAsia="en-GB"/>
        </w:rPr>
        <w:t>on the basis of</w:t>
      </w:r>
      <w:proofErr w:type="gramEnd"/>
      <w:r w:rsidR="00981432">
        <w:rPr>
          <w:lang w:eastAsia="en-GB"/>
        </w:rPr>
        <w:t xml:space="preserve"> the exis</w:t>
      </w:r>
      <w:r w:rsidR="00960CE1">
        <w:rPr>
          <w:lang w:eastAsia="en-GB"/>
        </w:rPr>
        <w:t xml:space="preserve">tence of the DRP, </w:t>
      </w:r>
      <w:r w:rsidR="00A912C3">
        <w:rPr>
          <w:lang w:eastAsia="en-GB"/>
        </w:rPr>
        <w:t>are therefore not as compelling as in that case. Nevertheless, Mr Maynard-Connor KC submits that</w:t>
      </w:r>
      <w:r w:rsidR="00827FA3">
        <w:rPr>
          <w:lang w:eastAsia="en-GB"/>
        </w:rPr>
        <w:t xml:space="preserve"> the existence of the DRP is </w:t>
      </w:r>
      <w:r w:rsidR="00ED2FCF">
        <w:rPr>
          <w:lang w:eastAsia="en-GB"/>
        </w:rPr>
        <w:t xml:space="preserve">still </w:t>
      </w:r>
      <w:r w:rsidR="00827FA3">
        <w:rPr>
          <w:lang w:eastAsia="en-GB"/>
        </w:rPr>
        <w:t>a compelling consideration in the exercise of the Court’s discretion, particularly in the light of TfWM’s offer</w:t>
      </w:r>
      <w:r w:rsidR="003051A6">
        <w:rPr>
          <w:lang w:eastAsia="en-GB"/>
        </w:rPr>
        <w:t>, as contained in AG’s letter dated 17 November 2021, to provide a limited amount of the data for the purposes thereof.</w:t>
      </w:r>
    </w:p>
    <w:p w14:paraId="78B8D98E" w14:textId="7C4C652E" w:rsidR="006E13A7" w:rsidRPr="006E13A7" w:rsidRDefault="00FB7EEE" w:rsidP="001846CE">
      <w:pPr>
        <w:pStyle w:val="ParaLevel1"/>
        <w:numPr>
          <w:ilvl w:val="0"/>
          <w:numId w:val="0"/>
        </w:numPr>
        <w:ind w:left="720" w:hanging="720"/>
        <w:rPr>
          <w:i/>
          <w:iCs/>
          <w:lang w:eastAsia="en-GB"/>
        </w:rPr>
      </w:pPr>
      <w:r>
        <w:rPr>
          <w:i/>
          <w:iCs/>
          <w:lang w:eastAsia="en-GB"/>
        </w:rPr>
        <w:lastRenderedPageBreak/>
        <w:t>Confidentiality</w:t>
      </w:r>
    </w:p>
    <w:p w14:paraId="5DB09A9D" w14:textId="4A926C4F" w:rsidR="006E13A7" w:rsidRPr="00235686" w:rsidRDefault="00D777C0" w:rsidP="001846CE">
      <w:pPr>
        <w:pStyle w:val="ParaLevel1"/>
        <w:rPr>
          <w:lang w:eastAsia="en-GB"/>
        </w:rPr>
      </w:pPr>
      <w:r>
        <w:rPr>
          <w:lang w:eastAsia="en-GB"/>
        </w:rPr>
        <w:t>Mr Maynard-</w:t>
      </w:r>
      <w:r w:rsidR="008A2A2E">
        <w:rPr>
          <w:lang w:eastAsia="en-GB"/>
        </w:rPr>
        <w:t xml:space="preserve">Connor KC submits that </w:t>
      </w:r>
      <w:r w:rsidR="008A2A2E" w:rsidRPr="008A2A2E">
        <w:rPr>
          <w:lang w:eastAsia="en-GB"/>
        </w:rPr>
        <w:t>TfWM</w:t>
      </w:r>
      <w:r w:rsidR="008A2A2E">
        <w:rPr>
          <w:lang w:eastAsia="en-GB"/>
        </w:rPr>
        <w:t>,</w:t>
      </w:r>
      <w:r w:rsidR="008A2A2E" w:rsidRPr="008A2A2E">
        <w:rPr>
          <w:lang w:eastAsia="en-GB"/>
        </w:rPr>
        <w:t xml:space="preserve"> as a public body</w:t>
      </w:r>
      <w:r w:rsidR="008A2A2E">
        <w:rPr>
          <w:lang w:eastAsia="en-GB"/>
        </w:rPr>
        <w:t>,</w:t>
      </w:r>
      <w:r w:rsidR="008A2A2E" w:rsidRPr="008A2A2E">
        <w:rPr>
          <w:lang w:eastAsia="en-GB"/>
        </w:rPr>
        <w:t xml:space="preserve"> simply cannot consent to the disclosure of </w:t>
      </w:r>
      <w:r w:rsidR="004635B3">
        <w:rPr>
          <w:lang w:eastAsia="en-GB"/>
        </w:rPr>
        <w:t xml:space="preserve">what is </w:t>
      </w:r>
      <w:r w:rsidR="00AB188E">
        <w:rPr>
          <w:lang w:eastAsia="en-GB"/>
        </w:rPr>
        <w:t xml:space="preserve">said to be the </w:t>
      </w:r>
      <w:r w:rsidR="008A2A2E" w:rsidRPr="008A2A2E">
        <w:rPr>
          <w:lang w:eastAsia="en-GB"/>
        </w:rPr>
        <w:t>wide ranging data</w:t>
      </w:r>
      <w:r w:rsidR="00AB188E">
        <w:rPr>
          <w:lang w:eastAsia="en-GB"/>
        </w:rPr>
        <w:t xml:space="preserve"> </w:t>
      </w:r>
      <w:r w:rsidR="008A2A2E" w:rsidRPr="008A2A2E">
        <w:rPr>
          <w:lang w:eastAsia="en-GB"/>
        </w:rPr>
        <w:t xml:space="preserve">sought by </w:t>
      </w:r>
      <w:r w:rsidR="004635B3">
        <w:rPr>
          <w:lang w:eastAsia="en-GB"/>
        </w:rPr>
        <w:t>D</w:t>
      </w:r>
      <w:r w:rsidR="00AB188E">
        <w:rPr>
          <w:lang w:eastAsia="en-GB"/>
        </w:rPr>
        <w:t xml:space="preserve">iamond </w:t>
      </w:r>
      <w:r w:rsidR="008A2A2E" w:rsidRPr="008A2A2E">
        <w:rPr>
          <w:lang w:eastAsia="en-GB"/>
        </w:rPr>
        <w:t xml:space="preserve">given that </w:t>
      </w:r>
      <w:r w:rsidR="00E4245C">
        <w:rPr>
          <w:lang w:eastAsia="en-GB"/>
        </w:rPr>
        <w:t xml:space="preserve">it </w:t>
      </w:r>
      <w:r w:rsidR="008A2A2E" w:rsidRPr="008A2A2E">
        <w:rPr>
          <w:lang w:eastAsia="en-GB"/>
        </w:rPr>
        <w:t xml:space="preserve">relates to third party competitors of </w:t>
      </w:r>
      <w:r w:rsidR="00E4245C">
        <w:rPr>
          <w:lang w:eastAsia="en-GB"/>
        </w:rPr>
        <w:t xml:space="preserve">Diamond </w:t>
      </w:r>
      <w:r w:rsidR="008A2A2E" w:rsidRPr="008A2A2E">
        <w:rPr>
          <w:lang w:eastAsia="en-GB"/>
        </w:rPr>
        <w:t>and is commercially</w:t>
      </w:r>
      <w:r w:rsidR="004635B3">
        <w:rPr>
          <w:lang w:eastAsia="en-GB"/>
        </w:rPr>
        <w:t xml:space="preserve"> sensitive</w:t>
      </w:r>
      <w:r w:rsidR="00E4245C">
        <w:rPr>
          <w:lang w:eastAsia="en-GB"/>
        </w:rPr>
        <w:t>.</w:t>
      </w:r>
      <w:r w:rsidR="001621C4">
        <w:rPr>
          <w:lang w:eastAsia="en-GB"/>
        </w:rPr>
        <w:t xml:space="preserve"> </w:t>
      </w:r>
      <w:r w:rsidR="006F3D9B">
        <w:rPr>
          <w:lang w:eastAsia="en-GB"/>
        </w:rPr>
        <w:t xml:space="preserve">He submits that </w:t>
      </w:r>
      <w:r w:rsidR="001621C4">
        <w:rPr>
          <w:lang w:eastAsia="en-GB"/>
        </w:rPr>
        <w:t>even</w:t>
      </w:r>
      <w:r w:rsidR="008A2A2E" w:rsidRPr="008A2A2E">
        <w:rPr>
          <w:lang w:eastAsia="en-GB"/>
        </w:rPr>
        <w:t xml:space="preserve"> if documents are</w:t>
      </w:r>
      <w:r w:rsidR="001621C4">
        <w:rPr>
          <w:lang w:eastAsia="en-GB"/>
        </w:rPr>
        <w:t xml:space="preserve"> </w:t>
      </w:r>
      <w:r w:rsidR="008A2A2E" w:rsidRPr="008A2A2E">
        <w:rPr>
          <w:lang w:eastAsia="en-GB"/>
        </w:rPr>
        <w:t>anonymised, the disclosure sought</w:t>
      </w:r>
      <w:r w:rsidR="007600A9">
        <w:rPr>
          <w:lang w:eastAsia="en-GB"/>
        </w:rPr>
        <w:t xml:space="preserve"> </w:t>
      </w:r>
      <w:r w:rsidR="008A2A2E" w:rsidRPr="008A2A2E">
        <w:rPr>
          <w:lang w:eastAsia="en-GB"/>
        </w:rPr>
        <w:t xml:space="preserve">would provide </w:t>
      </w:r>
      <w:r w:rsidR="006F3D9B">
        <w:rPr>
          <w:lang w:eastAsia="en-GB"/>
        </w:rPr>
        <w:t xml:space="preserve">Diamond </w:t>
      </w:r>
      <w:r w:rsidR="008A2A2E" w:rsidRPr="008A2A2E">
        <w:rPr>
          <w:lang w:eastAsia="en-GB"/>
        </w:rPr>
        <w:t xml:space="preserve">with access to passenger volumes and demand on </w:t>
      </w:r>
      <w:proofErr w:type="gramStart"/>
      <w:r w:rsidR="008A2A2E" w:rsidRPr="008A2A2E">
        <w:rPr>
          <w:lang w:eastAsia="en-GB"/>
        </w:rPr>
        <w:t>particular bus</w:t>
      </w:r>
      <w:proofErr w:type="gramEnd"/>
      <w:r w:rsidR="008A2A2E" w:rsidRPr="008A2A2E">
        <w:rPr>
          <w:lang w:eastAsia="en-GB"/>
        </w:rPr>
        <w:t xml:space="preserve"> routes,</w:t>
      </w:r>
      <w:r w:rsidR="007600A9">
        <w:rPr>
          <w:lang w:eastAsia="en-GB"/>
        </w:rPr>
        <w:t xml:space="preserve"> </w:t>
      </w:r>
      <w:r w:rsidR="008A2A2E" w:rsidRPr="008A2A2E">
        <w:rPr>
          <w:lang w:eastAsia="en-GB"/>
        </w:rPr>
        <w:t xml:space="preserve">time of journeys and stop levels which could readily provide </w:t>
      </w:r>
      <w:r w:rsidR="007600A9">
        <w:rPr>
          <w:lang w:eastAsia="en-GB"/>
        </w:rPr>
        <w:t xml:space="preserve">Diamond </w:t>
      </w:r>
      <w:r w:rsidR="008A2A2E" w:rsidRPr="008A2A2E">
        <w:rPr>
          <w:lang w:eastAsia="en-GB"/>
        </w:rPr>
        <w:t>with a competitive</w:t>
      </w:r>
      <w:r w:rsidR="007600A9">
        <w:rPr>
          <w:lang w:eastAsia="en-GB"/>
        </w:rPr>
        <w:t xml:space="preserve"> </w:t>
      </w:r>
      <w:r w:rsidR="008A2A2E" w:rsidRPr="008A2A2E">
        <w:rPr>
          <w:lang w:eastAsia="en-GB"/>
        </w:rPr>
        <w:t>edge as it could revise its routes and services accordingly.</w:t>
      </w:r>
    </w:p>
    <w:p w14:paraId="592B7BD5" w14:textId="619BD62A" w:rsidR="00A70755" w:rsidRDefault="004F1994" w:rsidP="001846CE">
      <w:pPr>
        <w:pStyle w:val="ParaLevel1"/>
      </w:pPr>
      <w:r>
        <w:t>Mr Maynard-Connor KC submits that</w:t>
      </w:r>
      <w:r w:rsidR="00AC7119">
        <w:t>,</w:t>
      </w:r>
      <w:r>
        <w:t xml:space="preserve"> whilst undertakings have been proffered, </w:t>
      </w:r>
      <w:r w:rsidR="00CD3719">
        <w:t xml:space="preserve">there is a difficulty in TfWM policing those undertakings, and that, in any event, TfWM, as a public body, </w:t>
      </w:r>
      <w:r w:rsidR="006E1D91">
        <w:t xml:space="preserve">should not be obliged to police the same when there is a DRP available which, so it is said, would enable </w:t>
      </w:r>
      <w:r w:rsidR="000E6E9A">
        <w:rPr>
          <w:i/>
          <w:iCs/>
        </w:rPr>
        <w:t>“</w:t>
      </w:r>
      <w:r w:rsidR="006E1D91" w:rsidRPr="000E6E9A">
        <w:rPr>
          <w:i/>
          <w:iCs/>
        </w:rPr>
        <w:t>sa</w:t>
      </w:r>
      <w:r w:rsidR="000E6E9A" w:rsidRPr="000E6E9A">
        <w:rPr>
          <w:i/>
          <w:iCs/>
        </w:rPr>
        <w:t>f</w:t>
      </w:r>
      <w:r w:rsidR="006E1D91" w:rsidRPr="000E6E9A">
        <w:rPr>
          <w:i/>
          <w:iCs/>
        </w:rPr>
        <w:t>e”</w:t>
      </w:r>
      <w:r w:rsidR="006E1D91">
        <w:t xml:space="preserve"> disclosure if required. </w:t>
      </w:r>
      <w:r w:rsidR="00F13476">
        <w:t xml:space="preserve">TfWM has not elaborated on what it means by </w:t>
      </w:r>
      <w:r w:rsidR="00F13476" w:rsidRPr="00F13476">
        <w:rPr>
          <w:i/>
          <w:iCs/>
        </w:rPr>
        <w:t>“safe”</w:t>
      </w:r>
      <w:r w:rsidR="00F13476">
        <w:t xml:space="preserve"> disclosure.</w:t>
      </w:r>
    </w:p>
    <w:p w14:paraId="0950C610" w14:textId="34E3A49E" w:rsidR="00A70755" w:rsidRDefault="00750800" w:rsidP="001846CE">
      <w:pPr>
        <w:pStyle w:val="ParaLevel1"/>
      </w:pPr>
      <w:r>
        <w:t>Thus,</w:t>
      </w:r>
      <w:r w:rsidR="00A80FD0">
        <w:t xml:space="preserve"> it is </w:t>
      </w:r>
      <w:r w:rsidR="009A6817">
        <w:t>submitted</w:t>
      </w:r>
      <w:r w:rsidR="00A80FD0">
        <w:t xml:space="preserve"> that these issues regarding </w:t>
      </w:r>
      <w:r w:rsidR="00F1355D">
        <w:t xml:space="preserve">confidentiality are </w:t>
      </w:r>
      <w:r w:rsidR="009A6817">
        <w:t>discretionary factor</w:t>
      </w:r>
      <w:r w:rsidR="00F1355D">
        <w:t>s</w:t>
      </w:r>
      <w:r w:rsidR="009A6817">
        <w:t xml:space="preserve"> which militate against ordering the pre-action disclosure sought</w:t>
      </w:r>
      <w:r w:rsidR="00D51654">
        <w:t>.</w:t>
      </w:r>
    </w:p>
    <w:p w14:paraId="5371EE28" w14:textId="5648487A" w:rsidR="00D51654" w:rsidRPr="00D51654" w:rsidRDefault="00D51654" w:rsidP="001846CE">
      <w:pPr>
        <w:pStyle w:val="ParaLevel1"/>
        <w:numPr>
          <w:ilvl w:val="0"/>
          <w:numId w:val="0"/>
        </w:numPr>
        <w:ind w:left="720" w:hanging="720"/>
        <w:rPr>
          <w:i/>
          <w:iCs/>
        </w:rPr>
      </w:pPr>
      <w:r w:rsidRPr="00D51654">
        <w:rPr>
          <w:i/>
          <w:iCs/>
        </w:rPr>
        <w:t>Delay</w:t>
      </w:r>
    </w:p>
    <w:p w14:paraId="22C753A2" w14:textId="77777777" w:rsidR="000801B6" w:rsidRDefault="00EA2D9F" w:rsidP="001846CE">
      <w:pPr>
        <w:pStyle w:val="ParaLevel1"/>
      </w:pPr>
      <w:r>
        <w:t xml:space="preserve">TfWM </w:t>
      </w:r>
      <w:r w:rsidR="000801B6">
        <w:t xml:space="preserve">takes the </w:t>
      </w:r>
      <w:r>
        <w:t>point that</w:t>
      </w:r>
      <w:r w:rsidR="00C77D00">
        <w:t xml:space="preserve"> Diamond’s complaints of </w:t>
      </w:r>
      <w:r w:rsidR="00A5022D">
        <w:t xml:space="preserve">under reimbursement </w:t>
      </w:r>
      <w:r w:rsidR="00C77D00">
        <w:t>go back to 2018</w:t>
      </w:r>
      <w:r w:rsidR="00A5022D">
        <w:t>, and that</w:t>
      </w:r>
      <w:r w:rsidR="00D331DD">
        <w:t xml:space="preserve"> it is well over two years</w:t>
      </w:r>
      <w:r w:rsidR="00487577">
        <w:t xml:space="preserve"> since Diamond provided the Draft POC. Further, the point is taken that</w:t>
      </w:r>
      <w:r w:rsidR="00251B1D">
        <w:t xml:space="preserve"> it took Diamond over 14 months to respond to AG’s letter dated 17 November 2021.</w:t>
      </w:r>
      <w:r w:rsidR="000801B6">
        <w:t xml:space="preserve"> </w:t>
      </w:r>
    </w:p>
    <w:p w14:paraId="0FD7497E" w14:textId="528E8FC9" w:rsidR="00D51654" w:rsidRDefault="000801B6" w:rsidP="001846CE">
      <w:pPr>
        <w:pStyle w:val="ParaLevel1"/>
      </w:pPr>
      <w:r>
        <w:t>Mr Maynard-Connor KC submits that</w:t>
      </w:r>
      <w:r w:rsidR="00D77E0E">
        <w:t xml:space="preserve"> as </w:t>
      </w:r>
      <w:r>
        <w:t>it is incumbent on an applicant for pre-action disclosure</w:t>
      </w:r>
      <w:r w:rsidR="00F4263A">
        <w:t xml:space="preserve"> to demonstrate that the documents sought to be obtained are </w:t>
      </w:r>
      <w:r w:rsidR="00F4263A" w:rsidRPr="00F4263A">
        <w:rPr>
          <w:i/>
          <w:iCs/>
        </w:rPr>
        <w:t>“strictly necessary”</w:t>
      </w:r>
      <w:r w:rsidR="00F4263A">
        <w:t>, the</w:t>
      </w:r>
      <w:r w:rsidR="000C593F">
        <w:t xml:space="preserve"> Court should conclude from Diamond’s tardy behaviour</w:t>
      </w:r>
      <w:r w:rsidR="000E74F0">
        <w:t xml:space="preserve"> that it is unable to satisfy this test.</w:t>
      </w:r>
    </w:p>
    <w:p w14:paraId="57699490" w14:textId="04136E89" w:rsidR="000E74F0" w:rsidRPr="000E74F0" w:rsidRDefault="004034AD" w:rsidP="001846CE">
      <w:pPr>
        <w:pStyle w:val="ParaLevel1"/>
        <w:numPr>
          <w:ilvl w:val="0"/>
          <w:numId w:val="0"/>
        </w:numPr>
        <w:rPr>
          <w:i/>
          <w:iCs/>
        </w:rPr>
      </w:pPr>
      <w:r>
        <w:rPr>
          <w:i/>
          <w:iCs/>
        </w:rPr>
        <w:t>The Subject Documentation</w:t>
      </w:r>
    </w:p>
    <w:p w14:paraId="7FF1984E" w14:textId="2F56EA8A" w:rsidR="000801B6" w:rsidRDefault="00827F7D" w:rsidP="001846CE">
      <w:pPr>
        <w:pStyle w:val="ParaLevel1"/>
      </w:pPr>
      <w:r>
        <w:t xml:space="preserve">Mr Maynard-Connor KC </w:t>
      </w:r>
      <w:r w:rsidR="00F241B3">
        <w:t xml:space="preserve">submits that Diamond </w:t>
      </w:r>
      <w:r>
        <w:t>asserts,</w:t>
      </w:r>
      <w:r w:rsidR="005D49E9">
        <w:t xml:space="preserve"> </w:t>
      </w:r>
      <w:r w:rsidR="00963027">
        <w:t xml:space="preserve">but </w:t>
      </w:r>
      <w:r w:rsidR="005D49E9">
        <w:t xml:space="preserve">without properly corroborating </w:t>
      </w:r>
      <w:r w:rsidR="00963027">
        <w:t>its case</w:t>
      </w:r>
      <w:r w:rsidR="00AC13B5">
        <w:t>,</w:t>
      </w:r>
      <w:r w:rsidR="00963027">
        <w:t xml:space="preserve"> </w:t>
      </w:r>
      <w:r w:rsidR="005D49E9">
        <w:t>that the documents in respect of which pre-action disclosure is sought</w:t>
      </w:r>
      <w:r w:rsidR="00371AA7">
        <w:t xml:space="preserve"> are </w:t>
      </w:r>
      <w:r w:rsidR="00371AA7" w:rsidRPr="007117F9">
        <w:rPr>
          <w:i/>
          <w:iCs/>
        </w:rPr>
        <w:t>“strictly necessary”</w:t>
      </w:r>
      <w:r w:rsidR="007117F9">
        <w:t xml:space="preserve">. </w:t>
      </w:r>
      <w:r w:rsidR="00214588">
        <w:t>Mr Maynard-Connor KC refers</w:t>
      </w:r>
      <w:proofErr w:type="gramStart"/>
      <w:r w:rsidR="00214588">
        <w:t>, in particular, to</w:t>
      </w:r>
      <w:proofErr w:type="gramEnd"/>
      <w:r w:rsidR="00214588">
        <w:t xml:space="preserve"> what </w:t>
      </w:r>
      <w:r w:rsidR="00274207">
        <w:t xml:space="preserve">he describes as the </w:t>
      </w:r>
      <w:r w:rsidR="00371AA7">
        <w:t>generalised comments in paragraphs</w:t>
      </w:r>
      <w:r w:rsidR="00345D15">
        <w:t xml:space="preserve"> 12, 27-28, and 31-35 of Dunn 1. </w:t>
      </w:r>
      <w:r w:rsidR="00010559">
        <w:t xml:space="preserve">The </w:t>
      </w:r>
      <w:r w:rsidR="00AC13B5">
        <w:t xml:space="preserve">point is made </w:t>
      </w:r>
      <w:r w:rsidR="00314430">
        <w:t>that there is no statement from Oxera (Mr Meaney)</w:t>
      </w:r>
      <w:r w:rsidR="00C8470B">
        <w:t xml:space="preserve">, who are </w:t>
      </w:r>
      <w:r w:rsidR="00277A83">
        <w:t xml:space="preserve">is </w:t>
      </w:r>
      <w:r w:rsidR="00C8470B">
        <w:t xml:space="preserve">said to have </w:t>
      </w:r>
      <w:r w:rsidR="00C8470B" w:rsidRPr="009B7B7D">
        <w:rPr>
          <w:i/>
          <w:iCs/>
        </w:rPr>
        <w:t>“formulated”</w:t>
      </w:r>
      <w:r w:rsidR="00C8470B">
        <w:t xml:space="preserve"> Diamond’s disclosure request, </w:t>
      </w:r>
      <w:proofErr w:type="gramStart"/>
      <w:r w:rsidR="00C8470B">
        <w:t>explaining</w:t>
      </w:r>
      <w:proofErr w:type="gramEnd"/>
      <w:r w:rsidR="00C8470B">
        <w:t xml:space="preserve"> </w:t>
      </w:r>
      <w:r w:rsidR="009C04AB">
        <w:t xml:space="preserve">and justifying the need for disclosure </w:t>
      </w:r>
      <w:r w:rsidR="00306F45">
        <w:t xml:space="preserve">in respect of </w:t>
      </w:r>
      <w:r w:rsidR="00C8470B">
        <w:t>the subject classes of documents in respect of which disclosure is sought.</w:t>
      </w:r>
      <w:r w:rsidR="00314430">
        <w:t xml:space="preserve"> </w:t>
      </w:r>
      <w:r w:rsidR="009B7B7D">
        <w:t xml:space="preserve">This, it is </w:t>
      </w:r>
      <w:r w:rsidR="00306F45">
        <w:t>further suggested</w:t>
      </w:r>
      <w:r w:rsidR="00F01944">
        <w:t>,</w:t>
      </w:r>
      <w:r w:rsidR="00306F45">
        <w:t xml:space="preserve"> </w:t>
      </w:r>
      <w:r w:rsidR="009B7B7D">
        <w:t xml:space="preserve">supports </w:t>
      </w:r>
      <w:r w:rsidR="00283215">
        <w:t xml:space="preserve">TfWM’s </w:t>
      </w:r>
      <w:r w:rsidR="009B7B7D">
        <w:t xml:space="preserve">case of </w:t>
      </w:r>
      <w:r w:rsidR="009B7B7D" w:rsidRPr="009B7B7D">
        <w:rPr>
          <w:i/>
          <w:iCs/>
        </w:rPr>
        <w:t>“fishing”</w:t>
      </w:r>
      <w:r w:rsidR="009B7B7D">
        <w:t>.</w:t>
      </w:r>
    </w:p>
    <w:p w14:paraId="5C34A3F1" w14:textId="110ABB12" w:rsidR="002363D6" w:rsidRDefault="002363D6" w:rsidP="001846CE">
      <w:pPr>
        <w:pStyle w:val="ParaLevel1"/>
      </w:pPr>
      <w:r>
        <w:t>It is therefore submitted that Diamond has failed to justify its application in respect of each of the classes of documents in respect of which disclosure is sought by the Application</w:t>
      </w:r>
      <w:r w:rsidR="00EF3139">
        <w:t>.</w:t>
      </w:r>
    </w:p>
    <w:p w14:paraId="10220A05" w14:textId="77777777" w:rsidR="001E6E8D" w:rsidRDefault="001E6E8D" w:rsidP="001846CE">
      <w:pPr>
        <w:pStyle w:val="ParaLevel1"/>
        <w:numPr>
          <w:ilvl w:val="0"/>
          <w:numId w:val="0"/>
        </w:numPr>
        <w:ind w:left="720" w:hanging="720"/>
        <w:rPr>
          <w:i/>
          <w:iCs/>
        </w:rPr>
      </w:pPr>
    </w:p>
    <w:p w14:paraId="3173410C" w14:textId="77777777" w:rsidR="001E6E8D" w:rsidRDefault="001E6E8D" w:rsidP="001846CE">
      <w:pPr>
        <w:pStyle w:val="ParaLevel1"/>
        <w:numPr>
          <w:ilvl w:val="0"/>
          <w:numId w:val="0"/>
        </w:numPr>
        <w:ind w:left="720" w:hanging="720"/>
        <w:rPr>
          <w:i/>
          <w:iCs/>
        </w:rPr>
      </w:pPr>
    </w:p>
    <w:p w14:paraId="56D2A43C" w14:textId="04E71DEA" w:rsidR="00EF3139" w:rsidRPr="00EF3139" w:rsidRDefault="00EF3139" w:rsidP="001846CE">
      <w:pPr>
        <w:pStyle w:val="ParaLevel1"/>
        <w:numPr>
          <w:ilvl w:val="0"/>
          <w:numId w:val="0"/>
        </w:numPr>
        <w:ind w:left="720" w:hanging="720"/>
        <w:rPr>
          <w:i/>
          <w:iCs/>
        </w:rPr>
      </w:pPr>
      <w:r w:rsidRPr="00EF3139">
        <w:rPr>
          <w:i/>
          <w:iCs/>
        </w:rPr>
        <w:lastRenderedPageBreak/>
        <w:t>Merits</w:t>
      </w:r>
    </w:p>
    <w:p w14:paraId="74A65D98" w14:textId="08C63543" w:rsidR="00EF3139" w:rsidRDefault="00394985" w:rsidP="001846CE">
      <w:pPr>
        <w:pStyle w:val="ParaLevel1"/>
      </w:pPr>
      <w:r>
        <w:t>Mr Maynard-Connor KC submits that</w:t>
      </w:r>
      <w:r w:rsidR="00F52879">
        <w:t xml:space="preserve"> </w:t>
      </w:r>
      <w:r w:rsidR="00283215">
        <w:t xml:space="preserve">the present </w:t>
      </w:r>
      <w:r w:rsidR="00F52879">
        <w:t xml:space="preserve">is not a case where the Court can proceed on an assumption that the Fares Foregone Claim is clearly meritorious, and that this is a fact that the Court should </w:t>
      </w:r>
      <w:proofErr w:type="gramStart"/>
      <w:r w:rsidR="00F52879">
        <w:t>take into account</w:t>
      </w:r>
      <w:proofErr w:type="gramEnd"/>
      <w:r w:rsidR="00F52879">
        <w:t xml:space="preserve"> on the question of discretion</w:t>
      </w:r>
      <w:r w:rsidR="00E1023D">
        <w:t>. As to this, reliance is placed on the fact that Mr Lewis is adamant that TfWM’s processes are sound</w:t>
      </w:r>
      <w:r w:rsidR="00234B13">
        <w:t>, and that there has been no under reimbursement. Reliance is further placed on the fact that Diamond has, itself, had to acknowledge that</w:t>
      </w:r>
      <w:r w:rsidR="003748B4">
        <w:t xml:space="preserve"> the Fares Foregone Claim may </w:t>
      </w:r>
      <w:r w:rsidR="00EA13E0">
        <w:t xml:space="preserve">prove </w:t>
      </w:r>
      <w:r w:rsidR="003748B4">
        <w:t>not be a good one in the light of the documentation sought to be obtained by the Application.</w:t>
      </w:r>
    </w:p>
    <w:p w14:paraId="1B958DFD" w14:textId="30B3E2D3" w:rsidR="00961439" w:rsidRPr="00961439" w:rsidRDefault="00961439" w:rsidP="001846CE">
      <w:pPr>
        <w:pStyle w:val="ParaLevel1"/>
        <w:numPr>
          <w:ilvl w:val="0"/>
          <w:numId w:val="0"/>
        </w:numPr>
        <w:ind w:left="720" w:hanging="720"/>
        <w:rPr>
          <w:b/>
          <w:bCs/>
        </w:rPr>
      </w:pPr>
      <w:bookmarkStart w:id="18" w:name="H4"/>
      <w:r w:rsidRPr="00961439">
        <w:rPr>
          <w:b/>
          <w:bCs/>
        </w:rPr>
        <w:t>Conclusion</w:t>
      </w:r>
    </w:p>
    <w:bookmarkEnd w:id="18"/>
    <w:p w14:paraId="443D68A0" w14:textId="7863BAFE" w:rsidR="00961439" w:rsidRDefault="003C0BEB" w:rsidP="001846CE">
      <w:pPr>
        <w:pStyle w:val="ParaLevel1"/>
      </w:pPr>
      <w:r>
        <w:t>I</w:t>
      </w:r>
      <w:r w:rsidR="00961439">
        <w:t>n the light of the above,</w:t>
      </w:r>
      <w:r>
        <w:t xml:space="preserve"> TfWM submits that it is not appropriate for an order for pre-action disclosure to be made </w:t>
      </w:r>
      <w:r w:rsidR="00557230">
        <w:t xml:space="preserve">on the basis that Diamond </w:t>
      </w:r>
      <w:r w:rsidR="000F23ED">
        <w:t>h</w:t>
      </w:r>
      <w:r w:rsidR="00557230">
        <w:t xml:space="preserve">as failed to meet the </w:t>
      </w:r>
      <w:r w:rsidR="006E4E53">
        <w:t>jurisdictional threshold, and, in any event, the Court ought not to exercise its discr</w:t>
      </w:r>
      <w:r w:rsidR="00EF4F36">
        <w:t xml:space="preserve">etion in favour of Diamond for </w:t>
      </w:r>
      <w:proofErr w:type="gramStart"/>
      <w:r w:rsidR="00EF4F36">
        <w:t>a number of</w:t>
      </w:r>
      <w:proofErr w:type="gramEnd"/>
      <w:r w:rsidR="00EF4F36">
        <w:t xml:space="preserve"> reasons. </w:t>
      </w:r>
      <w:r w:rsidR="00285F1B">
        <w:t xml:space="preserve">There is nothing to take the case </w:t>
      </w:r>
      <w:r w:rsidR="00F36D4A">
        <w:t xml:space="preserve">outside </w:t>
      </w:r>
      <w:r w:rsidR="00F36D4A" w:rsidRPr="00F36D4A">
        <w:rPr>
          <w:i/>
          <w:iCs/>
        </w:rPr>
        <w:t>“the usual run”</w:t>
      </w:r>
      <w:r w:rsidR="00F36D4A">
        <w:t xml:space="preserve">, and the Court should </w:t>
      </w:r>
      <w:r>
        <w:t>dismiss the Application.</w:t>
      </w:r>
    </w:p>
    <w:p w14:paraId="41015F69" w14:textId="0D1FE55F" w:rsidR="002342CB" w:rsidRDefault="001C1881" w:rsidP="001846CE">
      <w:pPr>
        <w:pStyle w:val="ParaLevel1"/>
        <w:numPr>
          <w:ilvl w:val="0"/>
          <w:numId w:val="0"/>
        </w:numPr>
        <w:ind w:left="720" w:hanging="720"/>
        <w:rPr>
          <w:b/>
          <w:bCs/>
          <w:u w:val="single"/>
        </w:rPr>
      </w:pPr>
      <w:bookmarkStart w:id="19" w:name="I"/>
      <w:r>
        <w:rPr>
          <w:b/>
          <w:bCs/>
          <w:u w:val="single"/>
        </w:rPr>
        <w:t>Determination</w:t>
      </w:r>
    </w:p>
    <w:p w14:paraId="54C88144" w14:textId="32C376BE" w:rsidR="001C1881" w:rsidRPr="001C1881" w:rsidRDefault="001C1881" w:rsidP="001846CE">
      <w:pPr>
        <w:pStyle w:val="ParaLevel1"/>
        <w:numPr>
          <w:ilvl w:val="0"/>
          <w:numId w:val="0"/>
        </w:numPr>
        <w:ind w:left="720" w:hanging="720"/>
        <w:rPr>
          <w:b/>
          <w:bCs/>
        </w:rPr>
      </w:pPr>
      <w:bookmarkStart w:id="20" w:name="I1"/>
      <w:bookmarkEnd w:id="19"/>
      <w:r>
        <w:rPr>
          <w:b/>
          <w:bCs/>
        </w:rPr>
        <w:t>Introduction</w:t>
      </w:r>
    </w:p>
    <w:bookmarkEnd w:id="20"/>
    <w:p w14:paraId="5D84448A" w14:textId="2381FF56" w:rsidR="002342CB" w:rsidRDefault="00E839E2" w:rsidP="001846CE">
      <w:pPr>
        <w:pStyle w:val="ParaLevel1"/>
      </w:pPr>
      <w:r>
        <w:t>I</w:t>
      </w:r>
      <w:r w:rsidR="001C1881">
        <w:t xml:space="preserve">t is necessary to </w:t>
      </w:r>
      <w:r>
        <w:t>first consider whether</w:t>
      </w:r>
      <w:r w:rsidR="00C0454A">
        <w:t xml:space="preserve"> Diamond </w:t>
      </w:r>
      <w:proofErr w:type="gramStart"/>
      <w:r w:rsidR="00C0454A">
        <w:t>is able to</w:t>
      </w:r>
      <w:proofErr w:type="gramEnd"/>
      <w:r w:rsidR="00C0454A">
        <w:t xml:space="preserve"> surmount</w:t>
      </w:r>
      <w:r>
        <w:t xml:space="preserve"> the jurisdictional threshold under CPR 31.16</w:t>
      </w:r>
      <w:r w:rsidR="00C0454A">
        <w:t xml:space="preserve"> before considering whether, in the exercise of my discretion, it is appropriate to make an order for pre-action disclosure</w:t>
      </w:r>
      <w:r w:rsidR="00E6446C">
        <w:t xml:space="preserve"> as sought by the Application</w:t>
      </w:r>
      <w:r w:rsidR="00275AE1">
        <w:t xml:space="preserve">, </w:t>
      </w:r>
      <w:r w:rsidR="00776803">
        <w:t>it being necessary to keep separate the questions of jurisdiction and discretion</w:t>
      </w:r>
      <w:r w:rsidR="00E6446C">
        <w:t>.</w:t>
      </w:r>
    </w:p>
    <w:p w14:paraId="266CBA36" w14:textId="77777777" w:rsidR="004C153D" w:rsidRPr="004C153D" w:rsidRDefault="001A76A7" w:rsidP="001846CE">
      <w:pPr>
        <w:pStyle w:val="ParaLevel1"/>
      </w:pPr>
      <w:r>
        <w:t xml:space="preserve">In </w:t>
      </w:r>
      <w:r w:rsidR="00A7365B">
        <w:t xml:space="preserve">considering the merits of the Application, </w:t>
      </w:r>
      <w:r>
        <w:t>I bear firmly in mind</w:t>
      </w:r>
      <w:r w:rsidRPr="004C153D">
        <w:rPr>
          <w:szCs w:val="24"/>
        </w:rPr>
        <w:t xml:space="preserve"> </w:t>
      </w:r>
      <w:r w:rsidRPr="001A76A7">
        <w:t>David Steel J</w:t>
      </w:r>
      <w:r>
        <w:t>’s</w:t>
      </w:r>
      <w:r w:rsidR="00676988">
        <w:t xml:space="preserve"> observation in </w:t>
      </w:r>
      <w:r w:rsidRPr="001A76A7">
        <w:rPr>
          <w:i/>
          <w:iCs/>
        </w:rPr>
        <w:t>Pineway Ltd v London Mining Company Ltd &amp; Anor</w:t>
      </w:r>
      <w:r w:rsidRPr="001A76A7">
        <w:t xml:space="preserve"> </w:t>
      </w:r>
      <w:r w:rsidR="00676988">
        <w:t>(supra) at [52] that</w:t>
      </w:r>
      <w:r w:rsidR="00570AAB">
        <w:t>,</w:t>
      </w:r>
      <w:r w:rsidR="00676988">
        <w:t xml:space="preserve"> </w:t>
      </w:r>
      <w:r w:rsidRPr="001A76A7">
        <w:t>in almost every dispute</w:t>
      </w:r>
      <w:r w:rsidR="00570AAB">
        <w:t>,</w:t>
      </w:r>
      <w:r w:rsidRPr="001A76A7">
        <w:t xml:space="preserve"> it could be argued that pre-action disclosure might be useful for achieving a settlement or saving costs, and </w:t>
      </w:r>
      <w:r w:rsidR="00DD3AA2">
        <w:t xml:space="preserve">that </w:t>
      </w:r>
      <w:r w:rsidRPr="001A76A7">
        <w:t xml:space="preserve">to justify an order circumstances must exist that are outside </w:t>
      </w:r>
      <w:r w:rsidRPr="004C153D">
        <w:rPr>
          <w:i/>
          <w:iCs/>
        </w:rPr>
        <w:t>“</w:t>
      </w:r>
      <w:r w:rsidRPr="001A76A7">
        <w:rPr>
          <w:i/>
          <w:iCs/>
        </w:rPr>
        <w:t>the usual run</w:t>
      </w:r>
      <w:r w:rsidRPr="004C153D">
        <w:rPr>
          <w:i/>
          <w:iCs/>
        </w:rPr>
        <w:t>”</w:t>
      </w:r>
      <w:r w:rsidR="00B92656" w:rsidRPr="004C153D">
        <w:rPr>
          <w:i/>
          <w:iCs/>
        </w:rPr>
        <w:t xml:space="preserve"> </w:t>
      </w:r>
      <w:r w:rsidR="00B92656" w:rsidRPr="0083764C">
        <w:t>– see also</w:t>
      </w:r>
      <w:r w:rsidR="0083764C" w:rsidRPr="004C153D">
        <w:rPr>
          <w:i/>
          <w:iCs/>
        </w:rPr>
        <w:t xml:space="preserve"> Hutchison 3G UK Ltd v O2 (UK) Ltd </w:t>
      </w:r>
      <w:r w:rsidR="0083764C" w:rsidRPr="0083764C">
        <w:t xml:space="preserve">[2008] EWHC 55 (Comm), at [55] </w:t>
      </w:r>
      <w:r w:rsidR="0083764C" w:rsidRPr="0083764C">
        <w:rPr>
          <w:i/>
          <w:iCs/>
        </w:rPr>
        <w:t>and Trouw</w:t>
      </w:r>
      <w:r w:rsidR="0083764C" w:rsidRPr="004C153D">
        <w:rPr>
          <w:i/>
          <w:iCs/>
        </w:rPr>
        <w:t xml:space="preserve"> </w:t>
      </w:r>
      <w:r w:rsidR="0083764C" w:rsidRPr="0083764C">
        <w:rPr>
          <w:i/>
          <w:iCs/>
        </w:rPr>
        <w:t xml:space="preserve">UK Ltd v Mitsui &amp; Co (UK) </w:t>
      </w:r>
      <w:r w:rsidR="0083764C" w:rsidRPr="0083764C">
        <w:t>plc [2006] EWHC 863 (Comm), [2007]</w:t>
      </w:r>
      <w:r w:rsidR="004C153D" w:rsidRPr="004C153D">
        <w:t xml:space="preserve"> </w:t>
      </w:r>
      <w:r w:rsidR="0083764C" w:rsidRPr="004C153D">
        <w:t>at [43]</w:t>
      </w:r>
      <w:r w:rsidR="00B92656" w:rsidRPr="004C153D">
        <w:t xml:space="preserve"> </w:t>
      </w:r>
      <w:r w:rsidR="00DD3AA2" w:rsidRPr="004C153D">
        <w:rPr>
          <w:i/>
          <w:iCs/>
        </w:rPr>
        <w:t>.</w:t>
      </w:r>
    </w:p>
    <w:p w14:paraId="6B78D9B2" w14:textId="24040EA0" w:rsidR="00825926" w:rsidRPr="00535F6A" w:rsidRDefault="00961306" w:rsidP="001846CE">
      <w:pPr>
        <w:pStyle w:val="ParaLevel1"/>
      </w:pPr>
      <w:r w:rsidRPr="004C153D">
        <w:rPr>
          <w:iCs/>
        </w:rPr>
        <w:t>I</w:t>
      </w:r>
      <w:r w:rsidR="004C153D">
        <w:rPr>
          <w:iCs/>
        </w:rPr>
        <w:t>n this context,</w:t>
      </w:r>
      <w:r w:rsidR="00301790">
        <w:rPr>
          <w:iCs/>
        </w:rPr>
        <w:t xml:space="preserve"> I</w:t>
      </w:r>
      <w:r w:rsidRPr="004C153D">
        <w:rPr>
          <w:iCs/>
        </w:rPr>
        <w:t xml:space="preserve"> </w:t>
      </w:r>
      <w:r w:rsidR="004C153D">
        <w:rPr>
          <w:iCs/>
        </w:rPr>
        <w:t xml:space="preserve">further </w:t>
      </w:r>
      <w:r w:rsidRPr="004C153D">
        <w:rPr>
          <w:iCs/>
        </w:rPr>
        <w:t>note that</w:t>
      </w:r>
      <w:r w:rsidR="00A902B6" w:rsidRPr="004C153D">
        <w:rPr>
          <w:iCs/>
        </w:rPr>
        <w:t xml:space="preserve"> </w:t>
      </w:r>
      <w:bookmarkStart w:id="21" w:name="_Hlk142586243"/>
      <w:r w:rsidR="00A902B6" w:rsidRPr="004E1605">
        <w:rPr>
          <w:i/>
        </w:rPr>
        <w:t>Hollander, Documentary Evidence</w:t>
      </w:r>
      <w:r w:rsidR="00A902B6" w:rsidRPr="004C153D">
        <w:rPr>
          <w:iCs/>
        </w:rPr>
        <w:t>, 14</w:t>
      </w:r>
      <w:r w:rsidR="00C15370" w:rsidRPr="004C153D">
        <w:rPr>
          <w:iCs/>
          <w:vertAlign w:val="superscript"/>
        </w:rPr>
        <w:t>th</w:t>
      </w:r>
      <w:r w:rsidR="00F81E0D" w:rsidRPr="004C153D">
        <w:rPr>
          <w:iCs/>
        </w:rPr>
        <w:t xml:space="preserve"> </w:t>
      </w:r>
      <w:r w:rsidR="00C15370" w:rsidRPr="004C153D">
        <w:rPr>
          <w:iCs/>
        </w:rPr>
        <w:t>Edn</w:t>
      </w:r>
      <w:r w:rsidR="00F81E0D" w:rsidRPr="004C153D">
        <w:rPr>
          <w:iCs/>
        </w:rPr>
        <w:t>, at 1-35 observes that practitioners should almost invariably be advised against pre-action disclosure</w:t>
      </w:r>
      <w:r w:rsidR="00A93AC5" w:rsidRPr="004C153D">
        <w:rPr>
          <w:iCs/>
        </w:rPr>
        <w:t xml:space="preserve">, and he asks </w:t>
      </w:r>
      <w:r w:rsidR="00D463EC" w:rsidRPr="004C153D">
        <w:rPr>
          <w:iCs/>
        </w:rPr>
        <w:t>the rhetorical question: if the litigation can be commenced without disclosure, why, ask</w:t>
      </w:r>
      <w:r w:rsidR="00491AE9">
        <w:rPr>
          <w:iCs/>
        </w:rPr>
        <w:t>s</w:t>
      </w:r>
      <w:r w:rsidR="00D463EC" w:rsidRPr="004C153D">
        <w:rPr>
          <w:iCs/>
        </w:rPr>
        <w:t xml:space="preserve"> the court, do you need it? And if the case is not currently strong enough to commence proceedings, then might it not be overly speculative </w:t>
      </w:r>
      <w:r w:rsidR="00825926" w:rsidRPr="004C153D">
        <w:rPr>
          <w:iCs/>
        </w:rPr>
        <w:t>and a fishing expedition?</w:t>
      </w:r>
      <w:bookmarkEnd w:id="21"/>
      <w:r w:rsidR="00825926" w:rsidRPr="004C153D">
        <w:rPr>
          <w:iCs/>
        </w:rPr>
        <w:t xml:space="preserve"> </w:t>
      </w:r>
    </w:p>
    <w:p w14:paraId="5C1FF62D" w14:textId="7993AC6F" w:rsidR="00535F6A" w:rsidRPr="00535F6A" w:rsidRDefault="00535F6A" w:rsidP="001846CE">
      <w:pPr>
        <w:pStyle w:val="ParaLevel1"/>
        <w:numPr>
          <w:ilvl w:val="0"/>
          <w:numId w:val="0"/>
        </w:numPr>
        <w:ind w:left="720" w:hanging="720"/>
        <w:rPr>
          <w:b/>
          <w:bCs/>
        </w:rPr>
      </w:pPr>
      <w:bookmarkStart w:id="22" w:name="I2"/>
      <w:r>
        <w:rPr>
          <w:b/>
          <w:bCs/>
        </w:rPr>
        <w:t>Jurisdictional Threshold</w:t>
      </w:r>
    </w:p>
    <w:bookmarkEnd w:id="22"/>
    <w:p w14:paraId="28C4D702" w14:textId="1D678AFE" w:rsidR="008A0059" w:rsidRPr="008A0059" w:rsidRDefault="00846C50" w:rsidP="001846CE">
      <w:pPr>
        <w:pStyle w:val="ParaLevel1"/>
      </w:pPr>
      <w:r>
        <w:rPr>
          <w:iCs/>
        </w:rPr>
        <w:t>I am satisfied that the requirements of CPR 31.16</w:t>
      </w:r>
      <w:r w:rsidR="009469C5">
        <w:rPr>
          <w:iCs/>
        </w:rPr>
        <w:t>(3)(a) to (c) are satisfied on the facts of the present case, noting that</w:t>
      </w:r>
      <w:r w:rsidR="008A0059">
        <w:rPr>
          <w:iCs/>
        </w:rPr>
        <w:t xml:space="preserve"> TfW</w:t>
      </w:r>
      <w:r w:rsidR="00247A89">
        <w:rPr>
          <w:iCs/>
        </w:rPr>
        <w:t>M</w:t>
      </w:r>
      <w:r w:rsidR="008A0059">
        <w:rPr>
          <w:iCs/>
        </w:rPr>
        <w:t xml:space="preserve"> does not see</w:t>
      </w:r>
      <w:r w:rsidR="00621ACA">
        <w:rPr>
          <w:iCs/>
        </w:rPr>
        <w:t>k</w:t>
      </w:r>
      <w:r w:rsidR="008A0059">
        <w:rPr>
          <w:iCs/>
        </w:rPr>
        <w:t xml:space="preserve"> to suggest to the contrary. </w:t>
      </w:r>
    </w:p>
    <w:p w14:paraId="416C92CD" w14:textId="53B64190" w:rsidR="0086359F" w:rsidRPr="0086359F" w:rsidRDefault="008A0059" w:rsidP="001846CE">
      <w:pPr>
        <w:pStyle w:val="ParaLevel1"/>
      </w:pPr>
      <w:r>
        <w:rPr>
          <w:iCs/>
        </w:rPr>
        <w:t xml:space="preserve">As I have identified, the real battleground is in respect </w:t>
      </w:r>
      <w:r w:rsidR="000F23ED">
        <w:rPr>
          <w:iCs/>
        </w:rPr>
        <w:t xml:space="preserve">of </w:t>
      </w:r>
      <w:r w:rsidR="00301790">
        <w:rPr>
          <w:iCs/>
        </w:rPr>
        <w:t>CPR 31.16</w:t>
      </w:r>
      <w:r w:rsidR="00E27F58">
        <w:rPr>
          <w:iCs/>
        </w:rPr>
        <w:t>(3)</w:t>
      </w:r>
      <w:r w:rsidR="00301790">
        <w:rPr>
          <w:iCs/>
        </w:rPr>
        <w:t>(d), and whether</w:t>
      </w:r>
      <w:r w:rsidR="0086359F">
        <w:rPr>
          <w:iCs/>
        </w:rPr>
        <w:t xml:space="preserve"> disclosure before proceedings have started is desirable </w:t>
      </w:r>
      <w:proofErr w:type="gramStart"/>
      <w:r w:rsidR="0086359F">
        <w:rPr>
          <w:iCs/>
        </w:rPr>
        <w:t>in order to</w:t>
      </w:r>
      <w:proofErr w:type="gramEnd"/>
      <w:r w:rsidR="0086359F">
        <w:rPr>
          <w:iCs/>
        </w:rPr>
        <w:t xml:space="preserve"> dispose </w:t>
      </w:r>
      <w:r w:rsidR="0086359F">
        <w:rPr>
          <w:iCs/>
        </w:rPr>
        <w:lastRenderedPageBreak/>
        <w:t>fairly of the anticipated proceedings, assist the dispute to be resolved without proceedings, or save costs.</w:t>
      </w:r>
    </w:p>
    <w:p w14:paraId="2AF242B0" w14:textId="1B8136E7" w:rsidR="008C1373" w:rsidRPr="008C1373" w:rsidRDefault="007A63E6" w:rsidP="001846CE">
      <w:pPr>
        <w:pStyle w:val="ParaLevel1"/>
      </w:pPr>
      <w:r>
        <w:rPr>
          <w:iCs/>
        </w:rPr>
        <w:t>In short,</w:t>
      </w:r>
      <w:r w:rsidR="006545C4">
        <w:rPr>
          <w:iCs/>
        </w:rPr>
        <w:t xml:space="preserve"> Diamond’s case is that, so far as its own </w:t>
      </w:r>
      <w:r w:rsidR="00111FF1">
        <w:rPr>
          <w:iCs/>
        </w:rPr>
        <w:t>Look-up</w:t>
      </w:r>
      <w:r w:rsidR="006545C4">
        <w:rPr>
          <w:iCs/>
        </w:rPr>
        <w:t xml:space="preserve"> table is concerned,</w:t>
      </w:r>
      <w:r w:rsidR="00881007">
        <w:rPr>
          <w:iCs/>
        </w:rPr>
        <w:t xml:space="preserve"> </w:t>
      </w:r>
      <w:r w:rsidR="00621ACA">
        <w:rPr>
          <w:iCs/>
        </w:rPr>
        <w:t xml:space="preserve">the disclosure sought </w:t>
      </w:r>
      <w:r w:rsidR="00881007">
        <w:rPr>
          <w:iCs/>
        </w:rPr>
        <w:t>will either vindicate its own position, or alternatively that of</w:t>
      </w:r>
      <w:r w:rsidR="0086359F">
        <w:rPr>
          <w:iCs/>
        </w:rPr>
        <w:t xml:space="preserve"> </w:t>
      </w:r>
      <w:r w:rsidR="00881007">
        <w:rPr>
          <w:iCs/>
        </w:rPr>
        <w:t>TfWM</w:t>
      </w:r>
      <w:r w:rsidR="00247A89">
        <w:rPr>
          <w:iCs/>
        </w:rPr>
        <w:t>, or at least</w:t>
      </w:r>
      <w:r w:rsidR="00706834">
        <w:rPr>
          <w:iCs/>
        </w:rPr>
        <w:t xml:space="preserve"> </w:t>
      </w:r>
      <w:r w:rsidR="001F4DBA" w:rsidRPr="001F4DBA">
        <w:rPr>
          <w:iCs/>
        </w:rPr>
        <w:t xml:space="preserve">establish the extent to which TfWM’s and Diamond’s respective </w:t>
      </w:r>
      <w:r w:rsidR="00111FF1">
        <w:rPr>
          <w:iCs/>
        </w:rPr>
        <w:t>Look-up</w:t>
      </w:r>
      <w:r w:rsidR="001F4DBA" w:rsidRPr="001F4DBA">
        <w:rPr>
          <w:iCs/>
        </w:rPr>
        <w:t xml:space="preserve"> tables are unrepresentative of the typicality of travel of passengers travelling on the buses of Diamond</w:t>
      </w:r>
      <w:r w:rsidR="00403B10">
        <w:rPr>
          <w:iCs/>
        </w:rPr>
        <w:t xml:space="preserve"> and </w:t>
      </w:r>
      <w:r w:rsidR="001F4DBA" w:rsidRPr="001F4DBA">
        <w:rPr>
          <w:iCs/>
        </w:rPr>
        <w:t xml:space="preserve">what adjustments need to be made to those </w:t>
      </w:r>
      <w:r w:rsidR="00111FF1">
        <w:rPr>
          <w:iCs/>
        </w:rPr>
        <w:t>Look-up</w:t>
      </w:r>
      <w:r w:rsidR="001F4DBA" w:rsidRPr="001F4DBA">
        <w:rPr>
          <w:iCs/>
        </w:rPr>
        <w:t xml:space="preserve"> tables so as to achieve something that is representative of the typicality of travel of passengers travelling on the Diamond’s buses</w:t>
      </w:r>
      <w:r w:rsidR="008C0DE6">
        <w:rPr>
          <w:iCs/>
        </w:rPr>
        <w:t xml:space="preserve">, and thereby </w:t>
      </w:r>
      <w:r w:rsidR="008C1373">
        <w:rPr>
          <w:iCs/>
        </w:rPr>
        <w:t xml:space="preserve">assist in </w:t>
      </w:r>
      <w:r w:rsidR="008C0DE6">
        <w:rPr>
          <w:iCs/>
        </w:rPr>
        <w:t xml:space="preserve">determining </w:t>
      </w:r>
      <w:r w:rsidR="008C1373">
        <w:rPr>
          <w:iCs/>
        </w:rPr>
        <w:t>the sum of money required</w:t>
      </w:r>
      <w:r w:rsidR="001F4DBA" w:rsidRPr="001F4DBA">
        <w:rPr>
          <w:iCs/>
        </w:rPr>
        <w:t xml:space="preserve"> </w:t>
      </w:r>
      <w:r w:rsidR="009E4CE1">
        <w:rPr>
          <w:iCs/>
        </w:rPr>
        <w:t xml:space="preserve">(Revenue Foregone) </w:t>
      </w:r>
      <w:r w:rsidR="001F4DBA" w:rsidRPr="001F4DBA">
        <w:rPr>
          <w:iCs/>
        </w:rPr>
        <w:t>to put Diamond back into the position of being no better and no worse off</w:t>
      </w:r>
      <w:r w:rsidR="008C1373">
        <w:rPr>
          <w:iCs/>
        </w:rPr>
        <w:t>.</w:t>
      </w:r>
    </w:p>
    <w:p w14:paraId="5B807351" w14:textId="3A060B9C" w:rsidR="0050324A" w:rsidRPr="0050324A" w:rsidRDefault="008E2055" w:rsidP="001846CE">
      <w:pPr>
        <w:pStyle w:val="ParaLevel1"/>
      </w:pPr>
      <w:r>
        <w:rPr>
          <w:iCs/>
        </w:rPr>
        <w:t xml:space="preserve">I am satisfied that if Diamond’s </w:t>
      </w:r>
      <w:r w:rsidR="0042208B">
        <w:rPr>
          <w:iCs/>
        </w:rPr>
        <w:t>expectations are realistic, and there is at least a real prospect of achieving one of the outcomes</w:t>
      </w:r>
      <w:r w:rsidR="00CD0E71">
        <w:rPr>
          <w:iCs/>
        </w:rPr>
        <w:t xml:space="preserve"> referred to, then the jurisdictional threshold</w:t>
      </w:r>
      <w:r w:rsidR="000928C8">
        <w:rPr>
          <w:iCs/>
        </w:rPr>
        <w:t xml:space="preserve"> would have been satisfied because, in those circumstances, I consider that it </w:t>
      </w:r>
      <w:r w:rsidR="00732CE7">
        <w:rPr>
          <w:iCs/>
        </w:rPr>
        <w:t xml:space="preserve">could </w:t>
      </w:r>
      <w:r w:rsidR="000928C8">
        <w:rPr>
          <w:iCs/>
        </w:rPr>
        <w:t xml:space="preserve">properly be said that disclosure is </w:t>
      </w:r>
      <w:r w:rsidR="0050324A" w:rsidRPr="0050324A">
        <w:rPr>
          <w:i/>
        </w:rPr>
        <w:t>“</w:t>
      </w:r>
      <w:r w:rsidR="000928C8" w:rsidRPr="0050324A">
        <w:rPr>
          <w:i/>
        </w:rPr>
        <w:t>desirable</w:t>
      </w:r>
      <w:r w:rsidR="0050324A" w:rsidRPr="0050324A">
        <w:rPr>
          <w:i/>
        </w:rPr>
        <w:t>”</w:t>
      </w:r>
      <w:r w:rsidR="00311F5C">
        <w:rPr>
          <w:iCs/>
        </w:rPr>
        <w:t xml:space="preserve"> for the purpose of assisting the dispute to be resolved without proceedings, and thereby saving costs, and in disposing fairly of the anticipated proceedings</w:t>
      </w:r>
      <w:r w:rsidR="009E26A5">
        <w:rPr>
          <w:iCs/>
        </w:rPr>
        <w:t xml:space="preserve"> by enabling Diamond to significantly more cogently articulate its case in its Particulars of Claim</w:t>
      </w:r>
      <w:r w:rsidR="008C156B">
        <w:rPr>
          <w:iCs/>
        </w:rPr>
        <w:t xml:space="preserve"> in the event that it should not prove possible </w:t>
      </w:r>
      <w:r w:rsidR="0050324A">
        <w:rPr>
          <w:iCs/>
        </w:rPr>
        <w:t>for the dispute to be resolved without proceedings.</w:t>
      </w:r>
    </w:p>
    <w:p w14:paraId="075C34E0" w14:textId="3431B852" w:rsidR="00682639" w:rsidRPr="00682639" w:rsidRDefault="00455BAD" w:rsidP="001846CE">
      <w:pPr>
        <w:pStyle w:val="ParaLevel1"/>
      </w:pPr>
      <w:r>
        <w:rPr>
          <w:iCs/>
        </w:rPr>
        <w:t>Tf</w:t>
      </w:r>
      <w:r w:rsidR="00EE29AB">
        <w:rPr>
          <w:iCs/>
        </w:rPr>
        <w:t>WM</w:t>
      </w:r>
      <w:r>
        <w:rPr>
          <w:iCs/>
        </w:rPr>
        <w:t>’s case is</w:t>
      </w:r>
      <w:r w:rsidR="00A24316">
        <w:rPr>
          <w:iCs/>
        </w:rPr>
        <w:t>,</w:t>
      </w:r>
      <w:r w:rsidR="002A27F6">
        <w:rPr>
          <w:iCs/>
        </w:rPr>
        <w:t xml:space="preserve"> as we have seen, that there are real differences of principle between the parties as to the proper approach to be taken</w:t>
      </w:r>
      <w:r w:rsidR="00370594">
        <w:rPr>
          <w:iCs/>
        </w:rPr>
        <w:t xml:space="preserve"> which, realistically, </w:t>
      </w:r>
      <w:r w:rsidR="005C2375">
        <w:rPr>
          <w:iCs/>
        </w:rPr>
        <w:t xml:space="preserve">are </w:t>
      </w:r>
      <w:r w:rsidR="00370594">
        <w:rPr>
          <w:iCs/>
        </w:rPr>
        <w:t>not going to be resolved or abandoned even if the disclosure sought is provided at this pre-action stage</w:t>
      </w:r>
      <w:r w:rsidR="0043420C">
        <w:rPr>
          <w:iCs/>
        </w:rPr>
        <w:t>, and so disclosure would be a pointless exercise</w:t>
      </w:r>
      <w:r w:rsidR="00370594">
        <w:rPr>
          <w:iCs/>
        </w:rPr>
        <w:t>.</w:t>
      </w:r>
    </w:p>
    <w:p w14:paraId="75BA8CB4" w14:textId="4544EFFC" w:rsidR="00A46FBD" w:rsidRDefault="00E2487E" w:rsidP="001846CE">
      <w:pPr>
        <w:pStyle w:val="ParaLevel1"/>
      </w:pPr>
      <w:r w:rsidRPr="00682639">
        <w:rPr>
          <w:iCs/>
        </w:rPr>
        <w:t xml:space="preserve">I have set out in </w:t>
      </w:r>
      <w:r w:rsidR="00733D7C" w:rsidRPr="00682639">
        <w:rPr>
          <w:iCs/>
        </w:rPr>
        <w:t xml:space="preserve">some </w:t>
      </w:r>
      <w:r w:rsidRPr="00682639">
        <w:rPr>
          <w:iCs/>
        </w:rPr>
        <w:t>detail above,</w:t>
      </w:r>
      <w:r w:rsidR="00B82F2E" w:rsidRPr="00682639">
        <w:rPr>
          <w:iCs/>
        </w:rPr>
        <w:t xml:space="preserve"> how TfWM’s case </w:t>
      </w:r>
      <w:r w:rsidR="00194716" w:rsidRPr="00682639">
        <w:rPr>
          <w:iCs/>
        </w:rPr>
        <w:t xml:space="preserve">in respect of these differences in principle </w:t>
      </w:r>
      <w:r w:rsidR="00B82F2E" w:rsidRPr="00682639">
        <w:rPr>
          <w:iCs/>
        </w:rPr>
        <w:t>is articulated as set out in paragraph 76 and 77 of Mr Lewis’s witness statement</w:t>
      </w:r>
      <w:r w:rsidR="00733D7C" w:rsidRPr="00682639">
        <w:rPr>
          <w:iCs/>
        </w:rPr>
        <w:t xml:space="preserve"> and AG’s letter dated </w:t>
      </w:r>
      <w:r w:rsidR="001B2941" w:rsidRPr="00682639">
        <w:rPr>
          <w:iCs/>
        </w:rPr>
        <w:t>19 November 2021</w:t>
      </w:r>
      <w:r w:rsidR="00B82F2E" w:rsidRPr="00682639">
        <w:rPr>
          <w:iCs/>
        </w:rPr>
        <w:t>.</w:t>
      </w:r>
      <w:r w:rsidR="00682639" w:rsidRPr="00682639">
        <w:rPr>
          <w:iCs/>
        </w:rPr>
        <w:t xml:space="preserve"> </w:t>
      </w:r>
      <w:r w:rsidR="00732DFE">
        <w:t>There appear, therefrom,</w:t>
      </w:r>
      <w:r w:rsidR="0084338E">
        <w:t xml:space="preserve"> to be two key suggested impediments to</w:t>
      </w:r>
      <w:r w:rsidR="00DF0413">
        <w:t xml:space="preserve"> resolving the matter prior to litigation</w:t>
      </w:r>
      <w:r w:rsidR="00A46FBD">
        <w:t>:</w:t>
      </w:r>
    </w:p>
    <w:p w14:paraId="74F8B3D7" w14:textId="05D3F449" w:rsidR="00A46FBD" w:rsidRDefault="005141DD" w:rsidP="001846CE">
      <w:pPr>
        <w:pStyle w:val="ParaLevel2"/>
      </w:pPr>
      <w:r>
        <w:t xml:space="preserve">Firstly, that TfWM has </w:t>
      </w:r>
      <w:r w:rsidR="007F2CDE">
        <w:t xml:space="preserve">appropriately </w:t>
      </w:r>
      <w:r>
        <w:t xml:space="preserve">used the DfT Guidelines, </w:t>
      </w:r>
      <w:r w:rsidR="00977E54">
        <w:t xml:space="preserve">and that it would </w:t>
      </w:r>
      <w:r w:rsidR="00177623">
        <w:t>be wrong to contradict the DfT’s approach</w:t>
      </w:r>
      <w:r w:rsidR="00F84963">
        <w:t xml:space="preserve">. In so doing, it has </w:t>
      </w:r>
      <w:r w:rsidR="002B5134">
        <w:t>use</w:t>
      </w:r>
      <w:r w:rsidR="00F84963">
        <w:t>d</w:t>
      </w:r>
      <w:r w:rsidR="002B5134">
        <w:t xml:space="preserve"> data </w:t>
      </w:r>
      <w:r w:rsidR="007F2C70">
        <w:t>from the whole Principal Area</w:t>
      </w:r>
      <w:r w:rsidR="006A153A">
        <w:t xml:space="preserve"> which, so it is said, </w:t>
      </w:r>
      <w:r w:rsidR="008964D8">
        <w:t xml:space="preserve">leads to greater </w:t>
      </w:r>
      <w:r w:rsidR="006A153A">
        <w:t>accura</w:t>
      </w:r>
      <w:r w:rsidR="008964D8">
        <w:t xml:space="preserve">cy </w:t>
      </w:r>
      <w:r w:rsidR="006A153A">
        <w:t>than simply looking at</w:t>
      </w:r>
      <w:r w:rsidR="00D56F8C">
        <w:t xml:space="preserve"> Diamond’s data because the accuracy of the </w:t>
      </w:r>
      <w:r w:rsidR="002862B3">
        <w:t>Look</w:t>
      </w:r>
      <w:r w:rsidR="00D56F8C">
        <w:t xml:space="preserve">-up table used </w:t>
      </w:r>
      <w:r w:rsidR="003A45A9">
        <w:t xml:space="preserve">by TfWM </w:t>
      </w:r>
      <w:r w:rsidR="00D56F8C">
        <w:t>for calculating Average Fair Foregone increases</w:t>
      </w:r>
      <w:r w:rsidR="00A46FBD">
        <w:t xml:space="preserve"> with the amount of data that is included</w:t>
      </w:r>
      <w:r w:rsidR="003A45A9">
        <w:t xml:space="preserve"> for the purposes of the </w:t>
      </w:r>
      <w:r w:rsidR="00A46FBD">
        <w:t xml:space="preserve">exercise. </w:t>
      </w:r>
      <w:r w:rsidR="004B1867">
        <w:t xml:space="preserve">Indeed, </w:t>
      </w:r>
      <w:proofErr w:type="spellStart"/>
      <w:r w:rsidR="00321A0E">
        <w:t>TfWM</w:t>
      </w:r>
      <w:proofErr w:type="spellEnd"/>
      <w:r w:rsidR="00321A0E">
        <w:t xml:space="preserve"> maintains that </w:t>
      </w:r>
      <w:r w:rsidR="00995FCB">
        <w:t xml:space="preserve">to simply use data relating to Diamond would drastically increase </w:t>
      </w:r>
      <w:r w:rsidR="00805615">
        <w:t xml:space="preserve">the </w:t>
      </w:r>
      <w:r w:rsidR="00EF1C6B">
        <w:t xml:space="preserve">risk of </w:t>
      </w:r>
      <w:r w:rsidR="003C6450">
        <w:t xml:space="preserve">an inaccurate reimbursement figure in favour of Diamond. </w:t>
      </w:r>
      <w:r w:rsidR="004D6598">
        <w:t>On this basis, TfWM is unshakably con</w:t>
      </w:r>
      <w:r w:rsidR="00C44B76">
        <w:t xml:space="preserve">fident as to the robustness of its </w:t>
      </w:r>
      <w:r w:rsidR="003C6450">
        <w:t xml:space="preserve">own </w:t>
      </w:r>
      <w:r w:rsidR="00C44B76">
        <w:t xml:space="preserve">Look-up table </w:t>
      </w:r>
      <w:r w:rsidR="003700B4">
        <w:t>so far as it might apply</w:t>
      </w:r>
      <w:r w:rsidR="00DE7144">
        <w:t xml:space="preserve"> to Diamond, </w:t>
      </w:r>
      <w:r w:rsidR="00C44B76">
        <w:t xml:space="preserve">and </w:t>
      </w:r>
      <w:r w:rsidR="003700B4">
        <w:t xml:space="preserve">thus </w:t>
      </w:r>
      <w:r w:rsidR="00DE7144">
        <w:t xml:space="preserve">its </w:t>
      </w:r>
      <w:r w:rsidR="00C44B76">
        <w:t xml:space="preserve">determination of </w:t>
      </w:r>
      <w:r w:rsidR="003700B4">
        <w:t>Diamond’s Revenue Foregone</w:t>
      </w:r>
      <w:r w:rsidR="001A5D7E">
        <w:t xml:space="preserve"> figure.</w:t>
      </w:r>
    </w:p>
    <w:p w14:paraId="3C7607B7" w14:textId="71ABFA8D" w:rsidR="00E56FAE" w:rsidRDefault="001F1D6C" w:rsidP="001846CE">
      <w:pPr>
        <w:pStyle w:val="ParaLevel2"/>
      </w:pPr>
      <w:r>
        <w:t xml:space="preserve">Secondly, </w:t>
      </w:r>
      <w:r w:rsidR="00ED3B92">
        <w:t xml:space="preserve">TfWM’s </w:t>
      </w:r>
      <w:r w:rsidR="00170857">
        <w:t>accusation of cherry picking. In essence, as understood, what is said is that whilst Diamond has produced</w:t>
      </w:r>
      <w:r w:rsidR="009F0016">
        <w:t xml:space="preserve"> a </w:t>
      </w:r>
      <w:r w:rsidR="00111FF1">
        <w:t>Look-up</w:t>
      </w:r>
      <w:r w:rsidR="009F0016">
        <w:t xml:space="preserve"> table more favourable to itself based on the fact that</w:t>
      </w:r>
      <w:r w:rsidR="00FF27D5">
        <w:t xml:space="preserve"> its passengers are </w:t>
      </w:r>
      <w:r w:rsidR="006C7ACB">
        <w:t xml:space="preserve">more likely to use cash tickets and </w:t>
      </w:r>
      <w:r w:rsidR="00FF27D5">
        <w:t>less likely to use discounted tickets (weekly or monthly) than the average (as highly represented by National Express),</w:t>
      </w:r>
      <w:r w:rsidR="009A0B66">
        <w:t xml:space="preserve"> </w:t>
      </w:r>
      <w:r w:rsidR="00830417">
        <w:t xml:space="preserve">this approach </w:t>
      </w:r>
      <w:r w:rsidR="008D60A9">
        <w:t xml:space="preserve">would require other adjustments that would not be favourable to Diamond </w:t>
      </w:r>
      <w:r w:rsidR="00973D3F">
        <w:t>in arriving at a Revenue Foregone figure</w:t>
      </w:r>
      <w:r w:rsidR="00025892">
        <w:t xml:space="preserve">, </w:t>
      </w:r>
      <w:r w:rsidR="00226FE4">
        <w:t>including potentially</w:t>
      </w:r>
      <w:r w:rsidR="00025892">
        <w:t xml:space="preserve"> to</w:t>
      </w:r>
      <w:r w:rsidR="00226FE4">
        <w:t xml:space="preserve"> the Reimbursement </w:t>
      </w:r>
      <w:r w:rsidR="00226FE4">
        <w:lastRenderedPageBreak/>
        <w:t>Factor</w:t>
      </w:r>
      <w:r w:rsidR="00025892">
        <w:t xml:space="preserve"> if not also other </w:t>
      </w:r>
      <w:r w:rsidR="00283D14">
        <w:t>elements</w:t>
      </w:r>
      <w:r w:rsidR="00226FE4">
        <w:t>.</w:t>
      </w:r>
      <w:r w:rsidR="00170857">
        <w:t xml:space="preserve"> </w:t>
      </w:r>
      <w:r w:rsidR="00A36733">
        <w:t>On this basis, so it is suggested, the position is more complex than Diamond suggests</w:t>
      </w:r>
      <w:r w:rsidR="008352C3">
        <w:t xml:space="preserve"> and unlikely to be resolved by the provision of the data sought. </w:t>
      </w:r>
      <w:r w:rsidR="00A36733">
        <w:t xml:space="preserve"> </w:t>
      </w:r>
    </w:p>
    <w:p w14:paraId="7563BB13" w14:textId="3DCDA0E6" w:rsidR="006350B3" w:rsidRDefault="00E56FAE" w:rsidP="001846CE">
      <w:pPr>
        <w:pStyle w:val="ParaLevel1"/>
      </w:pPr>
      <w:r>
        <w:t xml:space="preserve">I note that </w:t>
      </w:r>
      <w:r w:rsidR="000A71E9">
        <w:t>paragraph 76 of Mr Lewis’s witness statement</w:t>
      </w:r>
      <w:r w:rsidR="00722918">
        <w:t xml:space="preserve"> refers to</w:t>
      </w:r>
      <w:r w:rsidR="00F23B39">
        <w:t xml:space="preserve"> Diamond’s Average F</w:t>
      </w:r>
      <w:r w:rsidR="0025368A">
        <w:t>air</w:t>
      </w:r>
      <w:r w:rsidR="00F23B39">
        <w:t xml:space="preserve"> Foregone claim as set out in the Draft POC as </w:t>
      </w:r>
      <w:proofErr w:type="gramStart"/>
      <w:r w:rsidR="00F23B39">
        <w:t>being based on an assumption</w:t>
      </w:r>
      <w:proofErr w:type="gramEnd"/>
      <w:r w:rsidR="0025368A">
        <w:t xml:space="preserve"> </w:t>
      </w:r>
      <w:r w:rsidR="00520F4C">
        <w:t xml:space="preserve">by Diamond that demand </w:t>
      </w:r>
      <w:r w:rsidR="0025368A">
        <w:t xml:space="preserve">from concessionary fare passengers is lower on its services than the average demand from concessionary fare passengers for all bus operators across the Principal Area. </w:t>
      </w:r>
      <w:r w:rsidR="00D77720">
        <w:t xml:space="preserve">AG’s letter dated </w:t>
      </w:r>
      <w:r w:rsidR="003D26A6">
        <w:t xml:space="preserve">28 March 2023 makes the same point at paragraph </w:t>
      </w:r>
      <w:r w:rsidR="005177A9">
        <w:t>3(c).</w:t>
      </w:r>
      <w:r w:rsidR="003D26A6">
        <w:t xml:space="preserve"> </w:t>
      </w:r>
      <w:r w:rsidR="00C639F2">
        <w:t>I have struggled to identify where, in the Draft POC, reference is made to demand,</w:t>
      </w:r>
      <w:r w:rsidR="00563B65">
        <w:t xml:space="preserve"> and as I have said, Mr Connolly explain</w:t>
      </w:r>
      <w:r w:rsidR="00DA61CD">
        <w:t xml:space="preserve">ed </w:t>
      </w:r>
      <w:r w:rsidR="00812DAB">
        <w:t xml:space="preserve">the </w:t>
      </w:r>
      <w:r w:rsidR="00563B65">
        <w:t xml:space="preserve">matter on the basis </w:t>
      </w:r>
      <w:r w:rsidR="00812DAB">
        <w:t xml:space="preserve">the </w:t>
      </w:r>
      <w:r w:rsidR="00563B65">
        <w:t xml:space="preserve">skewing </w:t>
      </w:r>
      <w:r w:rsidR="00812DAB">
        <w:t xml:space="preserve">against Diamond that it complains about having </w:t>
      </w:r>
      <w:r w:rsidR="00563B65">
        <w:t xml:space="preserve">been caused by </w:t>
      </w:r>
      <w:r w:rsidR="00021FE6">
        <w:t>Diamond carrying fewer passengers at discounted fares</w:t>
      </w:r>
      <w:r w:rsidR="00B54B04">
        <w:t xml:space="preserve">, and this was how the matter was put in, for example, </w:t>
      </w:r>
      <w:r w:rsidR="005E4AD3">
        <w:t xml:space="preserve">Backhouse Jones’s letter dated 22 April 2021. </w:t>
      </w:r>
      <w:r w:rsidR="00021FE6">
        <w:t xml:space="preserve">However, I do not consider that anything </w:t>
      </w:r>
      <w:r w:rsidR="006350B3">
        <w:t xml:space="preserve">ultimately turns on this </w:t>
      </w:r>
      <w:r w:rsidR="0028771C">
        <w:t xml:space="preserve">as it ultimately goes to the </w:t>
      </w:r>
      <w:r w:rsidR="003F66DF">
        <w:t xml:space="preserve">same </w:t>
      </w:r>
      <w:r w:rsidR="00851803">
        <w:t xml:space="preserve">cherry picking point. </w:t>
      </w:r>
      <w:r w:rsidR="006350B3">
        <w:t xml:space="preserve"> </w:t>
      </w:r>
    </w:p>
    <w:p w14:paraId="4F60B673" w14:textId="7278ED17" w:rsidR="00697509" w:rsidRDefault="00AD2D83" w:rsidP="001846CE">
      <w:pPr>
        <w:pStyle w:val="ParaLevel1"/>
      </w:pPr>
      <w:r>
        <w:t xml:space="preserve">It is therefore necessary to consider whether </w:t>
      </w:r>
      <w:proofErr w:type="spellStart"/>
      <w:r w:rsidR="00D264D8">
        <w:t>TfWM</w:t>
      </w:r>
      <w:proofErr w:type="spellEnd"/>
      <w:r w:rsidR="00D264D8">
        <w:t xml:space="preserve"> is itself being realistic in suggesting that there are issues of principle between the parties </w:t>
      </w:r>
      <w:r w:rsidR="0021401C">
        <w:t xml:space="preserve">that make it </w:t>
      </w:r>
      <w:r w:rsidR="001C23A4">
        <w:t xml:space="preserve">unlikely that the provision of the data sought will assist in resolving the dispute without proceedings, and thereby saving costs. In doing so, </w:t>
      </w:r>
      <w:r w:rsidR="00960305">
        <w:t xml:space="preserve">it is, as I see it, necessary to bear </w:t>
      </w:r>
      <w:r w:rsidR="00FF5972">
        <w:t xml:space="preserve">firmly </w:t>
      </w:r>
      <w:r w:rsidR="00960305">
        <w:t xml:space="preserve">in mind that the overriding consideration behind </w:t>
      </w:r>
      <w:r w:rsidR="00116695">
        <w:t xml:space="preserve">the determination of the reimbursement due to </w:t>
      </w:r>
      <w:r w:rsidR="000C4C80">
        <w:t xml:space="preserve">Diamond is the imperative of giving effect to the </w:t>
      </w:r>
      <w:r w:rsidR="000C4C80" w:rsidRPr="007F6B15">
        <w:rPr>
          <w:i/>
          <w:iCs/>
        </w:rPr>
        <w:t>“</w:t>
      </w:r>
      <w:r w:rsidR="007F6B15" w:rsidRPr="007F6B15">
        <w:rPr>
          <w:i/>
          <w:iCs/>
        </w:rPr>
        <w:t>no better, no worse off”</w:t>
      </w:r>
      <w:r w:rsidR="007F6B15">
        <w:t xml:space="preserve"> principle, if necessary </w:t>
      </w:r>
      <w:r w:rsidR="00E31B50">
        <w:t xml:space="preserve">by departing from what would otherwise be the </w:t>
      </w:r>
      <w:r w:rsidR="00E00508" w:rsidRPr="00E00508">
        <w:rPr>
          <w:i/>
          <w:iCs/>
        </w:rPr>
        <w:t>“</w:t>
      </w:r>
      <w:r w:rsidR="00E31B50" w:rsidRPr="00E00508">
        <w:rPr>
          <w:i/>
          <w:iCs/>
        </w:rPr>
        <w:t>standard method</w:t>
      </w:r>
      <w:r w:rsidR="00E00508" w:rsidRPr="00E00508">
        <w:rPr>
          <w:i/>
          <w:iCs/>
        </w:rPr>
        <w:t>”</w:t>
      </w:r>
      <w:r w:rsidR="00E31B50">
        <w:t xml:space="preserve"> or </w:t>
      </w:r>
      <w:r w:rsidR="00E00508">
        <w:t xml:space="preserve">standard </w:t>
      </w:r>
      <w:r w:rsidR="00E31B50">
        <w:t>approach</w:t>
      </w:r>
      <w:r w:rsidR="00687DAF">
        <w:t>, as</w:t>
      </w:r>
      <w:r w:rsidR="00E31B50">
        <w:t xml:space="preserve"> recognised by paragraph </w:t>
      </w:r>
      <w:r w:rsidR="00687DAF">
        <w:t xml:space="preserve">17 </w:t>
      </w:r>
      <w:r w:rsidR="003857DB">
        <w:t xml:space="preserve">of the 2000 Act Arrangements, </w:t>
      </w:r>
      <w:r w:rsidR="00F6110B">
        <w:t>as well as being underpinned by paragraph 4 of the 1986 Regulations and paragraph 6 of the 2011 Regulations</w:t>
      </w:r>
      <w:r w:rsidR="00325C20">
        <w:t>, as well as various s</w:t>
      </w:r>
      <w:r w:rsidR="003857DB">
        <w:t xml:space="preserve">ections of the DfT Guidelines, </w:t>
      </w:r>
      <w:r w:rsidR="00697509">
        <w:t xml:space="preserve">including paragraph 1.10 thereof. </w:t>
      </w:r>
    </w:p>
    <w:p w14:paraId="4FD89CBD" w14:textId="469791C3" w:rsidR="00870EB2" w:rsidRDefault="00DD1946" w:rsidP="001846CE">
      <w:pPr>
        <w:pStyle w:val="ParaLevel1"/>
      </w:pPr>
      <w:r>
        <w:t>I can see that</w:t>
      </w:r>
      <w:proofErr w:type="gramStart"/>
      <w:r w:rsidR="009947E5">
        <w:t>,</w:t>
      </w:r>
      <w:r>
        <w:t xml:space="preserve"> generally speaking, the</w:t>
      </w:r>
      <w:proofErr w:type="gramEnd"/>
      <w:r>
        <w:t xml:space="preserve"> bigger the data source, the more accurate are likely to be the </w:t>
      </w:r>
      <w:r w:rsidR="001342BF">
        <w:t xml:space="preserve">results of </w:t>
      </w:r>
      <w:r w:rsidR="009947E5">
        <w:t xml:space="preserve">any calculation based thereupon, particularly if the calculation </w:t>
      </w:r>
      <w:r w:rsidR="006125EA">
        <w:t xml:space="preserve">involves the application of </w:t>
      </w:r>
      <w:r w:rsidR="009947E5">
        <w:t xml:space="preserve">averages. However, </w:t>
      </w:r>
      <w:r w:rsidR="00AB3177">
        <w:t xml:space="preserve">in </w:t>
      </w:r>
      <w:r w:rsidR="009947E5">
        <w:t xml:space="preserve">the present case, </w:t>
      </w:r>
      <w:r w:rsidR="00457C13">
        <w:t xml:space="preserve">Diamond’s specific and identified concern is that the use of </w:t>
      </w:r>
      <w:r w:rsidR="00AB3177">
        <w:t xml:space="preserve">an </w:t>
      </w:r>
      <w:r w:rsidR="00457C13">
        <w:t xml:space="preserve">average </w:t>
      </w:r>
      <w:r w:rsidR="00AB3177">
        <w:t xml:space="preserve">has </w:t>
      </w:r>
      <w:r w:rsidR="00457C13">
        <w:t>produce</w:t>
      </w:r>
      <w:r w:rsidR="00AB3177">
        <w:t>d</w:t>
      </w:r>
      <w:r w:rsidR="00457C13">
        <w:t xml:space="preserve"> a skewed result </w:t>
      </w:r>
      <w:r w:rsidR="00116195">
        <w:t xml:space="preserve">because one </w:t>
      </w:r>
      <w:proofErr w:type="gramStart"/>
      <w:r w:rsidR="00116195">
        <w:t>particular operator</w:t>
      </w:r>
      <w:proofErr w:type="gramEnd"/>
      <w:r w:rsidR="00116195">
        <w:t xml:space="preserve">, National Express, forms </w:t>
      </w:r>
      <w:r w:rsidR="003F0EFE">
        <w:t>90</w:t>
      </w:r>
      <w:r w:rsidR="00116195">
        <w:t>% of the constituency making up the average</w:t>
      </w:r>
      <w:r w:rsidR="00B97CEA">
        <w:t xml:space="preserve"> and has a profile of passengers </w:t>
      </w:r>
      <w:r w:rsidR="00521183">
        <w:t>that does not</w:t>
      </w:r>
      <w:r w:rsidR="00136FDD">
        <w:t>, according to Diamond,</w:t>
      </w:r>
      <w:r w:rsidR="00521183">
        <w:t xml:space="preserve"> reflect that of Diamond so far as numbers </w:t>
      </w:r>
      <w:r w:rsidR="00136FDD">
        <w:t xml:space="preserve">of passengers </w:t>
      </w:r>
      <w:r w:rsidR="00521183">
        <w:t>travelling on discounted fares</w:t>
      </w:r>
      <w:r w:rsidR="00136FDD">
        <w:t xml:space="preserve"> are concerned</w:t>
      </w:r>
      <w:r w:rsidR="0014597D">
        <w:t xml:space="preserve">. </w:t>
      </w:r>
      <w:r w:rsidR="00E2571A">
        <w:t>In these circumstances, where the key consideration is</w:t>
      </w:r>
      <w:r w:rsidR="009179BA">
        <w:t>, ultimately,</w:t>
      </w:r>
      <w:r w:rsidR="00E2571A">
        <w:t xml:space="preserve"> the subjective position of Diamond, and ensuring that it is</w:t>
      </w:r>
      <w:r w:rsidR="001134D6">
        <w:t xml:space="preserve"> </w:t>
      </w:r>
      <w:r w:rsidR="009179BA" w:rsidRPr="00631E94">
        <w:rPr>
          <w:i/>
          <w:iCs/>
        </w:rPr>
        <w:t>“</w:t>
      </w:r>
      <w:r w:rsidR="001134D6" w:rsidRPr="00631E94">
        <w:rPr>
          <w:i/>
          <w:iCs/>
        </w:rPr>
        <w:t>no better</w:t>
      </w:r>
      <w:r w:rsidR="009179BA" w:rsidRPr="00631E94">
        <w:rPr>
          <w:i/>
          <w:iCs/>
        </w:rPr>
        <w:t>, no</w:t>
      </w:r>
      <w:r w:rsidR="001134D6" w:rsidRPr="00631E94">
        <w:rPr>
          <w:i/>
          <w:iCs/>
        </w:rPr>
        <w:t xml:space="preserve"> worse off</w:t>
      </w:r>
      <w:r w:rsidR="00631E94" w:rsidRPr="00631E94">
        <w:rPr>
          <w:i/>
          <w:iCs/>
        </w:rPr>
        <w:t>”</w:t>
      </w:r>
      <w:r w:rsidR="001134D6">
        <w:t>,</w:t>
      </w:r>
      <w:r w:rsidR="006B1C03">
        <w:t xml:space="preserve"> the justification for using the larger sample </w:t>
      </w:r>
      <w:r w:rsidR="004A364F">
        <w:t xml:space="preserve">on the basis that it will </w:t>
      </w:r>
      <w:r w:rsidR="00631E94">
        <w:t xml:space="preserve">necessarily </w:t>
      </w:r>
      <w:r w:rsidR="004A364F">
        <w:t xml:space="preserve">be more accurate </w:t>
      </w:r>
      <w:r w:rsidR="006B1C03">
        <w:t>is</w:t>
      </w:r>
      <w:r w:rsidR="00B6415E">
        <w:t xml:space="preserve">, at </w:t>
      </w:r>
      <w:r w:rsidR="00EE29AB">
        <w:t>least</w:t>
      </w:r>
      <w:r w:rsidR="00B6415E">
        <w:t>,</w:t>
      </w:r>
      <w:r w:rsidR="006B1C03">
        <w:t xml:space="preserve"> less obvious.</w:t>
      </w:r>
      <w:r w:rsidR="00116195">
        <w:t xml:space="preserve"> </w:t>
      </w:r>
    </w:p>
    <w:p w14:paraId="4CEB21B0" w14:textId="7877957A" w:rsidR="008724F5" w:rsidRDefault="00C143DC" w:rsidP="001846CE">
      <w:pPr>
        <w:pStyle w:val="ParaLevel1"/>
      </w:pPr>
      <w:r>
        <w:t xml:space="preserve">In these circumstances, </w:t>
      </w:r>
      <w:r w:rsidR="00E8225C">
        <w:t xml:space="preserve">I consider that </w:t>
      </w:r>
      <w:r w:rsidR="00D03287">
        <w:t xml:space="preserve">there is at least a cogent case for preparing a </w:t>
      </w:r>
      <w:r w:rsidR="00E8225C">
        <w:t xml:space="preserve">Look-up </w:t>
      </w:r>
      <w:r w:rsidR="00D03287">
        <w:t xml:space="preserve">table simply by reference to Diamond’s own figures </w:t>
      </w:r>
      <w:r w:rsidR="00BB3546">
        <w:t xml:space="preserve">in seeking to arrive at a more accurate figure </w:t>
      </w:r>
      <w:r w:rsidR="00870EB2">
        <w:t xml:space="preserve">for Diamond’s </w:t>
      </w:r>
      <w:r w:rsidR="0085242E">
        <w:t xml:space="preserve">Revenue </w:t>
      </w:r>
      <w:r w:rsidR="00CA4E98">
        <w:t>Foregone</w:t>
      </w:r>
      <w:r w:rsidR="00870EB2">
        <w:t xml:space="preserve">. However, </w:t>
      </w:r>
      <w:r w:rsidR="00810929">
        <w:t>a potential fl</w:t>
      </w:r>
      <w:r w:rsidR="0085242E">
        <w:t>aw</w:t>
      </w:r>
      <w:r w:rsidR="00810929">
        <w:t xml:space="preserve"> in Diamond’s own figures has been identified given </w:t>
      </w:r>
      <w:r w:rsidR="00A35C97">
        <w:t xml:space="preserve">the Cross-Operator Issue. </w:t>
      </w:r>
      <w:r w:rsidR="00C81382">
        <w:t xml:space="preserve">The data that will allow for a consideration of this issue and its input into Diamond’s Look-up table </w:t>
      </w:r>
      <w:r w:rsidR="00642FDC">
        <w:t>is in TfWM’s possession or control</w:t>
      </w:r>
      <w:r w:rsidR="00270437">
        <w:t xml:space="preserve">. </w:t>
      </w:r>
      <w:r w:rsidR="00722F9A">
        <w:t xml:space="preserve">I consider that </w:t>
      </w:r>
      <w:r w:rsidR="002A73CA">
        <w:t>there is at least a rea</w:t>
      </w:r>
      <w:r w:rsidR="00AF5806">
        <w:t>l</w:t>
      </w:r>
      <w:r w:rsidR="002A73CA">
        <w:t xml:space="preserve"> prospect </w:t>
      </w:r>
      <w:r w:rsidR="00AF5806">
        <w:t xml:space="preserve">that </w:t>
      </w:r>
      <w:r w:rsidR="00722F9A">
        <w:t>if Diamond, through its expert, could have access to that dat</w:t>
      </w:r>
      <w:r w:rsidR="00AF5806">
        <w:t>a</w:t>
      </w:r>
      <w:r w:rsidR="00CF4B9D">
        <w:t xml:space="preserve"> </w:t>
      </w:r>
      <w:proofErr w:type="gramStart"/>
      <w:r w:rsidR="00CF4B9D">
        <w:t>in order to</w:t>
      </w:r>
      <w:proofErr w:type="gramEnd"/>
      <w:r w:rsidR="00CF4B9D">
        <w:t xml:space="preserve"> prepare a more robust </w:t>
      </w:r>
      <w:r w:rsidR="00AF5806">
        <w:t xml:space="preserve">Diamond only </w:t>
      </w:r>
      <w:r w:rsidR="00111FF1">
        <w:t>Look-up</w:t>
      </w:r>
      <w:r w:rsidR="00CF4B9D">
        <w:t xml:space="preserve"> table,</w:t>
      </w:r>
      <w:r w:rsidR="00001398">
        <w:t xml:space="preserve"> that will serve to test the reliability of TfWM’s </w:t>
      </w:r>
      <w:r w:rsidR="00C52F37">
        <w:t xml:space="preserve">own </w:t>
      </w:r>
      <w:r w:rsidR="00AF5806">
        <w:t xml:space="preserve">Look-up </w:t>
      </w:r>
      <w:r w:rsidR="00C52F37">
        <w:t>table</w:t>
      </w:r>
      <w:r w:rsidR="004C471B">
        <w:t xml:space="preserve"> and </w:t>
      </w:r>
      <w:r w:rsidR="00AF5806">
        <w:t xml:space="preserve">thereby </w:t>
      </w:r>
      <w:r w:rsidR="004C471B">
        <w:t>assist the parties in resolving their dispute</w:t>
      </w:r>
      <w:r w:rsidR="0026502A">
        <w:t xml:space="preserve"> without proceedings and saving costs</w:t>
      </w:r>
      <w:r w:rsidR="004C471B">
        <w:t>.</w:t>
      </w:r>
      <w:r w:rsidR="00290233">
        <w:t xml:space="preserve"> </w:t>
      </w:r>
    </w:p>
    <w:p w14:paraId="25CE0D5B" w14:textId="3E805DA1" w:rsidR="00ED61F5" w:rsidRDefault="008724F5" w:rsidP="001846CE">
      <w:pPr>
        <w:pStyle w:val="ParaLevel1"/>
      </w:pPr>
      <w:r>
        <w:lastRenderedPageBreak/>
        <w:t xml:space="preserve">As to TfWM’s </w:t>
      </w:r>
      <w:r w:rsidR="0078424E">
        <w:t xml:space="preserve">second point regarding cherry picking, I am satisfied that Mr Dunn </w:t>
      </w:r>
      <w:r w:rsidR="00ED61F5">
        <w:t>has made it</w:t>
      </w:r>
      <w:r w:rsidR="00977D49">
        <w:t xml:space="preserve"> sufficiently</w:t>
      </w:r>
      <w:r w:rsidR="00ED61F5">
        <w:t xml:space="preserve"> clear in his evidence</w:t>
      </w:r>
      <w:r w:rsidR="00097C72">
        <w:t>, including at</w:t>
      </w:r>
      <w:r w:rsidR="00652CA3">
        <w:t xml:space="preserve"> Dunn 2, paragraph 11,</w:t>
      </w:r>
      <w:r w:rsidR="00ED61F5">
        <w:t xml:space="preserve"> that </w:t>
      </w:r>
      <w:r w:rsidR="009259C3">
        <w:t>Diamond</w:t>
      </w:r>
      <w:r w:rsidR="00652CA3">
        <w:t xml:space="preserve"> recognises that other adjustments may be required, </w:t>
      </w:r>
      <w:r w:rsidR="00903B25">
        <w:t xml:space="preserve">and that this </w:t>
      </w:r>
      <w:r w:rsidR="00652CA3">
        <w:t>is not something that Diamond would seek to resist.</w:t>
      </w:r>
      <w:r w:rsidR="002D4B10">
        <w:t xml:space="preserve"> </w:t>
      </w:r>
      <w:r w:rsidR="00140EC6">
        <w:t xml:space="preserve">I consider it </w:t>
      </w:r>
      <w:r w:rsidR="002D4B10">
        <w:t>relevant that</w:t>
      </w:r>
      <w:r w:rsidR="004E1908">
        <w:t xml:space="preserve"> Diamond has engaged Oxera (Mr Meaney) as expert</w:t>
      </w:r>
      <w:r w:rsidR="001364B5">
        <w:t xml:space="preserve">, and that it is </w:t>
      </w:r>
      <w:r w:rsidR="00353780">
        <w:t>Oxera that will be processing the relevant data</w:t>
      </w:r>
      <w:r w:rsidR="00BE25E3">
        <w:t>. In accordance with its obligations as an expert</w:t>
      </w:r>
      <w:r w:rsidR="00B32690">
        <w:t xml:space="preserve">, one would expect Oxera to </w:t>
      </w:r>
      <w:r w:rsidR="00B805FE">
        <w:t xml:space="preserve">understand the need to make </w:t>
      </w:r>
      <w:r w:rsidR="0096764B">
        <w:t xml:space="preserve">other </w:t>
      </w:r>
      <w:r w:rsidR="00B805FE">
        <w:t>appropriate</w:t>
      </w:r>
      <w:r w:rsidR="00231977">
        <w:t xml:space="preserve"> </w:t>
      </w:r>
      <w:r w:rsidR="00B805FE">
        <w:t>adjustments</w:t>
      </w:r>
      <w:r w:rsidR="00B32690">
        <w:t xml:space="preserve"> </w:t>
      </w:r>
      <w:proofErr w:type="gramStart"/>
      <w:r w:rsidR="00B32690">
        <w:t>as a result of</w:t>
      </w:r>
      <w:proofErr w:type="gramEnd"/>
      <w:r w:rsidR="00B32690">
        <w:t xml:space="preserve"> the data supplied</w:t>
      </w:r>
      <w:r w:rsidR="006F26BE">
        <w:t>,</w:t>
      </w:r>
      <w:r w:rsidR="00B32690">
        <w:t xml:space="preserve"> even if they go against </w:t>
      </w:r>
      <w:r w:rsidR="00231977">
        <w:t>Diamond.</w:t>
      </w:r>
    </w:p>
    <w:p w14:paraId="6CACAF04" w14:textId="0CC8D470" w:rsidR="00A83A9C" w:rsidRDefault="00ED61F5" w:rsidP="001846CE">
      <w:pPr>
        <w:pStyle w:val="ParaLevel1"/>
      </w:pPr>
      <w:r>
        <w:t xml:space="preserve">I note that it is not suggested by </w:t>
      </w:r>
      <w:r w:rsidR="00A624C6">
        <w:t>TfWM that</w:t>
      </w:r>
      <w:r w:rsidR="006F26BE">
        <w:t>,</w:t>
      </w:r>
      <w:r w:rsidR="00A624C6">
        <w:t xml:space="preserve"> </w:t>
      </w:r>
      <w:proofErr w:type="gramStart"/>
      <w:r w:rsidR="00A624C6">
        <w:t>as a result of</w:t>
      </w:r>
      <w:proofErr w:type="gramEnd"/>
      <w:r w:rsidR="00A624C6">
        <w:t xml:space="preserve"> the preparation by Diamond of its own </w:t>
      </w:r>
      <w:r w:rsidR="00111FF1">
        <w:t>Look-up</w:t>
      </w:r>
      <w:r w:rsidR="00A624C6">
        <w:t xml:space="preserve"> table, </w:t>
      </w:r>
      <w:r w:rsidR="00201736">
        <w:t xml:space="preserve">and the provision by TfWM of the data sought, </w:t>
      </w:r>
      <w:r w:rsidR="00EE36A7">
        <w:t xml:space="preserve">further </w:t>
      </w:r>
      <w:r w:rsidR="0076006E">
        <w:t xml:space="preserve">specific </w:t>
      </w:r>
      <w:r w:rsidR="00EE36A7">
        <w:t xml:space="preserve">data will be required in order to arrive at a robust figure for </w:t>
      </w:r>
      <w:r w:rsidR="006D38F7" w:rsidRPr="006D38F7">
        <w:t>Revenue Foregone</w:t>
      </w:r>
      <w:r w:rsidR="00EE36A7">
        <w:t xml:space="preserve">. </w:t>
      </w:r>
      <w:r w:rsidR="00B378B3">
        <w:t xml:space="preserve">Rather, </w:t>
      </w:r>
      <w:r w:rsidR="0081361A">
        <w:t>it is said that the exercise will be inherently less reliable b</w:t>
      </w:r>
      <w:r w:rsidR="004048CE">
        <w:t>ecause less data is being used and the DfT Guidelines are being departed fr</w:t>
      </w:r>
      <w:r w:rsidR="00AB4406">
        <w:t>om.</w:t>
      </w:r>
      <w:r w:rsidR="0081361A">
        <w:t xml:space="preserve"> </w:t>
      </w:r>
    </w:p>
    <w:p w14:paraId="23F8435C" w14:textId="77777777" w:rsidR="001579E7" w:rsidRDefault="003C450B" w:rsidP="001846CE">
      <w:pPr>
        <w:pStyle w:val="ParaLevel1"/>
      </w:pPr>
      <w:r>
        <w:t>There are tw</w:t>
      </w:r>
      <w:r w:rsidR="0010375C">
        <w:t>o further issues that I need to deal with</w:t>
      </w:r>
      <w:r w:rsidR="001579E7">
        <w:t xml:space="preserve"> at this point:</w:t>
      </w:r>
    </w:p>
    <w:p w14:paraId="0FF7D6BF" w14:textId="1A907133" w:rsidR="009259C3" w:rsidRDefault="002C0919" w:rsidP="001846CE">
      <w:pPr>
        <w:pStyle w:val="ParaLevel2"/>
      </w:pPr>
      <w:r>
        <w:t xml:space="preserve">As I have mentioned, </w:t>
      </w:r>
      <w:proofErr w:type="spellStart"/>
      <w:r>
        <w:t>TfWM</w:t>
      </w:r>
      <w:proofErr w:type="spellEnd"/>
      <w:r>
        <w:t xml:space="preserve"> complains that by the Application</w:t>
      </w:r>
      <w:r w:rsidR="009B2B9B">
        <w:t xml:space="preserve">, Diamond is impermissibly </w:t>
      </w:r>
      <w:r w:rsidR="009B2B9B" w:rsidRPr="009B2B9B">
        <w:rPr>
          <w:i/>
          <w:iCs/>
        </w:rPr>
        <w:t>“fishing”</w:t>
      </w:r>
      <w:r w:rsidR="009B2B9B">
        <w:t xml:space="preserve"> for documents. </w:t>
      </w:r>
      <w:r w:rsidR="002F3AD6">
        <w:t>I do not consider this compl</w:t>
      </w:r>
      <w:r w:rsidR="00C20B17">
        <w:t xml:space="preserve">aint to be justified. </w:t>
      </w:r>
      <w:r w:rsidR="00A83A9C">
        <w:t>Diamond has identified</w:t>
      </w:r>
      <w:r w:rsidR="00996032">
        <w:t xml:space="preserve"> a particular potential lacuna so far as the preparation of a reliable</w:t>
      </w:r>
      <w:r w:rsidR="00636064">
        <w:t xml:space="preserve"> </w:t>
      </w:r>
      <w:r w:rsidR="00111FF1">
        <w:t>Look-up</w:t>
      </w:r>
      <w:r w:rsidR="00636064">
        <w:t xml:space="preserve"> table of its own is </w:t>
      </w:r>
      <w:proofErr w:type="gramStart"/>
      <w:r w:rsidR="00636064">
        <w:t>concerned, and</w:t>
      </w:r>
      <w:proofErr w:type="gramEnd"/>
      <w:r w:rsidR="00636064">
        <w:t xml:space="preserve"> </w:t>
      </w:r>
      <w:r w:rsidR="00EB4F66">
        <w:t>h</w:t>
      </w:r>
      <w:r w:rsidR="0076006E">
        <w:t xml:space="preserve">as </w:t>
      </w:r>
      <w:r w:rsidR="00636064">
        <w:t xml:space="preserve">identified </w:t>
      </w:r>
      <w:r w:rsidR="0076006E">
        <w:t>what it has</w:t>
      </w:r>
      <w:r w:rsidR="005F5D79">
        <w:t xml:space="preserve"> been advised by its expert is </w:t>
      </w:r>
      <w:r w:rsidR="00636064">
        <w:t>the data required in order to fill that lacuna.</w:t>
      </w:r>
      <w:r w:rsidR="00C45130">
        <w:t xml:space="preserve"> This is not, to my mind, </w:t>
      </w:r>
      <w:r w:rsidR="00C45130" w:rsidRPr="00C45130">
        <w:rPr>
          <w:i/>
          <w:iCs/>
        </w:rPr>
        <w:t>“fishing”</w:t>
      </w:r>
      <w:r w:rsidR="00C45130">
        <w:t>,</w:t>
      </w:r>
      <w:r w:rsidR="00636064">
        <w:t xml:space="preserve"> </w:t>
      </w:r>
      <w:r w:rsidR="00C45130">
        <w:t xml:space="preserve">but a </w:t>
      </w:r>
      <w:r w:rsidR="00020644">
        <w:t xml:space="preserve">reasonably </w:t>
      </w:r>
      <w:r w:rsidR="00C45130">
        <w:t xml:space="preserve">focused attempt to obtain the data required </w:t>
      </w:r>
      <w:proofErr w:type="gramStart"/>
      <w:r w:rsidR="00C45130">
        <w:t>in order to</w:t>
      </w:r>
      <w:proofErr w:type="gramEnd"/>
      <w:r w:rsidR="00C45130">
        <w:t xml:space="preserve"> </w:t>
      </w:r>
      <w:r w:rsidR="00CF4E3A">
        <w:t xml:space="preserve">prepare </w:t>
      </w:r>
      <w:r w:rsidR="00111208">
        <w:t xml:space="preserve">what it believes will be </w:t>
      </w:r>
      <w:r w:rsidR="00CF4E3A">
        <w:t xml:space="preserve">a reliable </w:t>
      </w:r>
      <w:r w:rsidR="00111FF1">
        <w:t>Look-up</w:t>
      </w:r>
      <w:r w:rsidR="00CF4E3A">
        <w:t xml:space="preserve"> table to compare with TfWM’s </w:t>
      </w:r>
      <w:r w:rsidR="00E12F7A">
        <w:t xml:space="preserve">Look-up table </w:t>
      </w:r>
      <w:r w:rsidR="00F375A7">
        <w:t xml:space="preserve">prepared using the standard method. </w:t>
      </w:r>
    </w:p>
    <w:p w14:paraId="5A1B0CF7" w14:textId="32536A23" w:rsidR="00111208" w:rsidRDefault="009C0D8A" w:rsidP="001846CE">
      <w:pPr>
        <w:pStyle w:val="ParaLevel2"/>
      </w:pPr>
      <w:r>
        <w:t xml:space="preserve">In paragraph 3(d) </w:t>
      </w:r>
      <w:r w:rsidR="005E076F">
        <w:t xml:space="preserve">of their letter dated </w:t>
      </w:r>
      <w:r w:rsidR="00577176">
        <w:t xml:space="preserve">28 March 2023, AG suggest that </w:t>
      </w:r>
      <w:r w:rsidR="002E01B3">
        <w:t xml:space="preserve">a further </w:t>
      </w:r>
      <w:r w:rsidR="009E4253">
        <w:t xml:space="preserve">objection to a Look-up table prepared specifically for </w:t>
      </w:r>
      <w:r w:rsidR="002E01B3">
        <w:t xml:space="preserve">Diamond would be that reliance thereupon by </w:t>
      </w:r>
      <w:proofErr w:type="spellStart"/>
      <w:r w:rsidR="002E01B3">
        <w:t>TfWM</w:t>
      </w:r>
      <w:proofErr w:type="spellEnd"/>
      <w:r w:rsidR="002E01B3">
        <w:t xml:space="preserve"> </w:t>
      </w:r>
      <w:r w:rsidR="00355FB8">
        <w:t xml:space="preserve">would be contrary to its obligations as a public body to ensure that all operators </w:t>
      </w:r>
      <w:r w:rsidR="00756972">
        <w:t xml:space="preserve">are treated equally. </w:t>
      </w:r>
      <w:r w:rsidR="009D0215">
        <w:t xml:space="preserve">However, </w:t>
      </w:r>
      <w:r w:rsidR="00556D5F">
        <w:t xml:space="preserve">if the overriding objective of </w:t>
      </w:r>
      <w:r w:rsidR="00E0103A">
        <w:t xml:space="preserve">the Arrangements and the legislation and regulations that underpin them is to ensure that </w:t>
      </w:r>
      <w:r w:rsidR="00960D37">
        <w:t>no operator should be</w:t>
      </w:r>
      <w:r w:rsidR="0077103A">
        <w:t xml:space="preserve"> either </w:t>
      </w:r>
      <w:r w:rsidR="00960D37">
        <w:t xml:space="preserve">better off or worse off, as is the case, then </w:t>
      </w:r>
      <w:r w:rsidR="00F06691">
        <w:t xml:space="preserve">if some different treatment were required to achieve this </w:t>
      </w:r>
      <w:r w:rsidR="00CA36E7">
        <w:t xml:space="preserve">given </w:t>
      </w:r>
      <w:r w:rsidR="00F06691">
        <w:t>the subjec</w:t>
      </w:r>
      <w:r w:rsidR="00A930D0">
        <w:t>tive attributes of a particular operator</w:t>
      </w:r>
      <w:r w:rsidR="007132DB">
        <w:t xml:space="preserve">, then I consider that any different treatment </w:t>
      </w:r>
      <w:r w:rsidR="00A24FBD">
        <w:t xml:space="preserve">must be capable of being </w:t>
      </w:r>
      <w:r w:rsidR="007132DB">
        <w:t>justif</w:t>
      </w:r>
      <w:r w:rsidR="00CC01CF">
        <w:t xml:space="preserve">ied from a public law perspective. </w:t>
      </w:r>
      <w:r w:rsidR="003635C0">
        <w:t>Indeed</w:t>
      </w:r>
      <w:r w:rsidR="00FF40E3">
        <w:t>,</w:t>
      </w:r>
      <w:r w:rsidR="003635C0">
        <w:t xml:space="preserve"> the different treatment </w:t>
      </w:r>
      <w:r w:rsidR="00A24FBD">
        <w:t>c</w:t>
      </w:r>
      <w:r w:rsidR="003635C0">
        <w:t xml:space="preserve">ould be said to be justified </w:t>
      </w:r>
      <w:proofErr w:type="gramStart"/>
      <w:r w:rsidR="003635C0">
        <w:t>in order to</w:t>
      </w:r>
      <w:proofErr w:type="gramEnd"/>
      <w:r w:rsidR="003635C0">
        <w:t xml:space="preserve"> ensure that all operators were equally treated </w:t>
      </w:r>
      <w:r w:rsidR="000B4766">
        <w:t xml:space="preserve">by </w:t>
      </w:r>
      <w:r w:rsidR="000D39D8">
        <w:t xml:space="preserve">ensuring that they were all </w:t>
      </w:r>
      <w:r w:rsidR="000B4766">
        <w:t>n</w:t>
      </w:r>
      <w:r w:rsidR="003A1997">
        <w:t xml:space="preserve">either </w:t>
      </w:r>
      <w:r w:rsidR="000B4766">
        <w:t xml:space="preserve">better off </w:t>
      </w:r>
      <w:r w:rsidR="003A1997">
        <w:t xml:space="preserve">not </w:t>
      </w:r>
      <w:r w:rsidR="000B4766">
        <w:t>worse off</w:t>
      </w:r>
      <w:r w:rsidR="003A1997">
        <w:t xml:space="preserve"> through their provision of concessionary services. </w:t>
      </w:r>
      <w:r w:rsidR="00C70C5E">
        <w:t xml:space="preserve">The argument advanced on behalf of </w:t>
      </w:r>
      <w:proofErr w:type="spellStart"/>
      <w:r w:rsidR="00C70C5E">
        <w:t>TfWM</w:t>
      </w:r>
      <w:proofErr w:type="spellEnd"/>
      <w:r w:rsidR="00C70C5E">
        <w:t xml:space="preserve"> would be liable to make paragraph 17 of the </w:t>
      </w:r>
      <w:r w:rsidR="004449B0">
        <w:t xml:space="preserve">2000 Act Arrangements meaningless. </w:t>
      </w:r>
    </w:p>
    <w:p w14:paraId="33AC5EB3" w14:textId="356AB942" w:rsidR="00DE3DF1" w:rsidRPr="00DE3DF1" w:rsidRDefault="005F3E7F" w:rsidP="001846CE">
      <w:pPr>
        <w:pStyle w:val="ParaLevel1"/>
      </w:pPr>
      <w:r w:rsidRPr="005F3E7F">
        <w:rPr>
          <w:iCs/>
        </w:rPr>
        <w:t xml:space="preserve">In the circumstances, I am satisfied that the provision of the data in question would give rise to at least a real prospect that one or other of Diamond or TfWM will </w:t>
      </w:r>
      <w:r w:rsidR="005A5F61">
        <w:rPr>
          <w:iCs/>
        </w:rPr>
        <w:t xml:space="preserve">be vindicated </w:t>
      </w:r>
      <w:r w:rsidR="00A46A0B">
        <w:rPr>
          <w:iCs/>
        </w:rPr>
        <w:t xml:space="preserve">in the </w:t>
      </w:r>
      <w:r w:rsidR="003E1021">
        <w:rPr>
          <w:iCs/>
        </w:rPr>
        <w:t xml:space="preserve">approach that they are taking </w:t>
      </w:r>
      <w:r w:rsidR="00A46A0B">
        <w:rPr>
          <w:iCs/>
        </w:rPr>
        <w:t xml:space="preserve">with regard </w:t>
      </w:r>
      <w:r w:rsidR="003E1021">
        <w:rPr>
          <w:iCs/>
        </w:rPr>
        <w:t xml:space="preserve">to the </w:t>
      </w:r>
      <w:r w:rsidR="00111FF1">
        <w:rPr>
          <w:iCs/>
        </w:rPr>
        <w:t>Look-up</w:t>
      </w:r>
      <w:r w:rsidR="003E1021">
        <w:rPr>
          <w:iCs/>
        </w:rPr>
        <w:t xml:space="preserve"> table</w:t>
      </w:r>
      <w:r w:rsidR="00A46A0B">
        <w:rPr>
          <w:iCs/>
        </w:rPr>
        <w:t>s</w:t>
      </w:r>
      <w:r w:rsidR="003E1021">
        <w:rPr>
          <w:iCs/>
        </w:rPr>
        <w:t xml:space="preserve">, </w:t>
      </w:r>
      <w:r w:rsidR="005A5F61" w:rsidRPr="005A5F61">
        <w:rPr>
          <w:iCs/>
        </w:rPr>
        <w:t xml:space="preserve">or </w:t>
      </w:r>
      <w:r w:rsidR="00753ABC">
        <w:rPr>
          <w:iCs/>
        </w:rPr>
        <w:t xml:space="preserve">at least </w:t>
      </w:r>
      <w:r w:rsidR="000C1A60">
        <w:rPr>
          <w:iCs/>
        </w:rPr>
        <w:t xml:space="preserve">assist in establishing </w:t>
      </w:r>
      <w:r w:rsidR="005A5F61" w:rsidRPr="005A5F61">
        <w:rPr>
          <w:iCs/>
        </w:rPr>
        <w:t xml:space="preserve">the extent to which TfWM’s and Diamond’s respective </w:t>
      </w:r>
      <w:r w:rsidR="00111FF1">
        <w:rPr>
          <w:iCs/>
        </w:rPr>
        <w:t>Look-up</w:t>
      </w:r>
      <w:r w:rsidR="005A5F61" w:rsidRPr="005A5F61">
        <w:rPr>
          <w:iCs/>
        </w:rPr>
        <w:t xml:space="preserve"> tables are unrepresentative of the typicality of travel of passengers travelling on the buses of Diamond</w:t>
      </w:r>
      <w:r w:rsidR="000C1A60">
        <w:rPr>
          <w:iCs/>
        </w:rPr>
        <w:t xml:space="preserve">, which, ought, </w:t>
      </w:r>
      <w:r w:rsidR="00181426">
        <w:rPr>
          <w:iCs/>
        </w:rPr>
        <w:t xml:space="preserve">in turn, to assist in narrowing the parties differences as to </w:t>
      </w:r>
      <w:r w:rsidR="00DE3DF1">
        <w:rPr>
          <w:iCs/>
        </w:rPr>
        <w:t xml:space="preserve">the </w:t>
      </w:r>
      <w:r w:rsidR="00753ABC">
        <w:rPr>
          <w:iCs/>
        </w:rPr>
        <w:t xml:space="preserve">Revenue </w:t>
      </w:r>
      <w:r w:rsidR="00CA4E98">
        <w:rPr>
          <w:iCs/>
        </w:rPr>
        <w:t>Foregone</w:t>
      </w:r>
      <w:r w:rsidR="00753ABC">
        <w:rPr>
          <w:iCs/>
        </w:rPr>
        <w:t xml:space="preserve"> so as </w:t>
      </w:r>
      <w:r w:rsidR="003E4205">
        <w:rPr>
          <w:iCs/>
        </w:rPr>
        <w:t>to assist the dispute to be resolved without proceedings and save costs</w:t>
      </w:r>
      <w:r w:rsidR="00DE3DF1">
        <w:rPr>
          <w:iCs/>
        </w:rPr>
        <w:t xml:space="preserve">. </w:t>
      </w:r>
    </w:p>
    <w:p w14:paraId="45BF5147" w14:textId="3165F53D" w:rsidR="00D2626A" w:rsidRPr="00D2626A" w:rsidRDefault="00107A4F" w:rsidP="001846CE">
      <w:pPr>
        <w:pStyle w:val="ParaLevel1"/>
      </w:pPr>
      <w:r>
        <w:rPr>
          <w:iCs/>
        </w:rPr>
        <w:lastRenderedPageBreak/>
        <w:t xml:space="preserve">I am </w:t>
      </w:r>
      <w:r w:rsidR="0056361C">
        <w:rPr>
          <w:iCs/>
        </w:rPr>
        <w:t xml:space="preserve">therefore </w:t>
      </w:r>
      <w:r>
        <w:rPr>
          <w:iCs/>
        </w:rPr>
        <w:t xml:space="preserve">satisfied </w:t>
      </w:r>
      <w:r w:rsidR="00E929BF">
        <w:rPr>
          <w:iCs/>
        </w:rPr>
        <w:t>that the jurisdictional threshold under CPR 31.16(d)</w:t>
      </w:r>
      <w:r w:rsidR="00F27722">
        <w:rPr>
          <w:iCs/>
        </w:rPr>
        <w:t>(ii) and (iii)</w:t>
      </w:r>
      <w:r w:rsidR="00E929BF">
        <w:rPr>
          <w:iCs/>
        </w:rPr>
        <w:t xml:space="preserve"> </w:t>
      </w:r>
      <w:r>
        <w:rPr>
          <w:iCs/>
        </w:rPr>
        <w:t>is satisfied</w:t>
      </w:r>
      <w:r w:rsidR="002B77C5">
        <w:rPr>
          <w:iCs/>
        </w:rPr>
        <w:t>.</w:t>
      </w:r>
    </w:p>
    <w:p w14:paraId="02595AAA" w14:textId="4FC6444C" w:rsidR="00F75AEC" w:rsidRPr="00F75AEC" w:rsidRDefault="00781E68" w:rsidP="001846CE">
      <w:pPr>
        <w:pStyle w:val="ParaLevel1"/>
      </w:pPr>
      <w:r>
        <w:rPr>
          <w:iCs/>
        </w:rPr>
        <w:t xml:space="preserve">On this </w:t>
      </w:r>
      <w:r w:rsidR="00563993">
        <w:rPr>
          <w:iCs/>
        </w:rPr>
        <w:t>basis and</w:t>
      </w:r>
      <w:r w:rsidR="002B77C5">
        <w:rPr>
          <w:iCs/>
        </w:rPr>
        <w:t xml:space="preserve"> given the disjunctive formulat</w:t>
      </w:r>
      <w:r w:rsidR="0094792E">
        <w:rPr>
          <w:iCs/>
        </w:rPr>
        <w:t>i</w:t>
      </w:r>
      <w:r w:rsidR="002B77C5">
        <w:rPr>
          <w:iCs/>
        </w:rPr>
        <w:t xml:space="preserve">on </w:t>
      </w:r>
      <w:r w:rsidR="0094792E">
        <w:rPr>
          <w:iCs/>
        </w:rPr>
        <w:t xml:space="preserve">of CPR 31.16(3)(d), </w:t>
      </w:r>
      <w:r>
        <w:rPr>
          <w:iCs/>
        </w:rPr>
        <w:t xml:space="preserve">it is not </w:t>
      </w:r>
      <w:r w:rsidR="0085022D">
        <w:rPr>
          <w:iCs/>
        </w:rPr>
        <w:t xml:space="preserve">strictly </w:t>
      </w:r>
      <w:r>
        <w:rPr>
          <w:iCs/>
        </w:rPr>
        <w:t>necessary</w:t>
      </w:r>
      <w:r w:rsidR="00D50B5C">
        <w:rPr>
          <w:iCs/>
        </w:rPr>
        <w:t>, as I see it,</w:t>
      </w:r>
      <w:r>
        <w:rPr>
          <w:iCs/>
        </w:rPr>
        <w:t xml:space="preserve"> for Diamond </w:t>
      </w:r>
      <w:r w:rsidR="0094792E">
        <w:rPr>
          <w:iCs/>
        </w:rPr>
        <w:t xml:space="preserve">to </w:t>
      </w:r>
      <w:r>
        <w:rPr>
          <w:iCs/>
        </w:rPr>
        <w:t xml:space="preserve">also </w:t>
      </w:r>
      <w:proofErr w:type="gramStart"/>
      <w:r w:rsidR="0094792E">
        <w:rPr>
          <w:iCs/>
        </w:rPr>
        <w:t xml:space="preserve">have </w:t>
      </w:r>
      <w:r>
        <w:rPr>
          <w:iCs/>
        </w:rPr>
        <w:t>to</w:t>
      </w:r>
      <w:proofErr w:type="gramEnd"/>
      <w:r>
        <w:rPr>
          <w:iCs/>
        </w:rPr>
        <w:t xml:space="preserve"> show that disclosure is desirable in order to</w:t>
      </w:r>
      <w:r w:rsidR="002045CF">
        <w:rPr>
          <w:iCs/>
        </w:rPr>
        <w:t xml:space="preserve"> dispose fairly of the anticipated proceedings. </w:t>
      </w:r>
      <w:r w:rsidR="00BD63CC">
        <w:rPr>
          <w:iCs/>
        </w:rPr>
        <w:t xml:space="preserve">It is in respect of this limb of CPR 31.16(d) </w:t>
      </w:r>
      <w:r w:rsidR="00A61740">
        <w:rPr>
          <w:iCs/>
        </w:rPr>
        <w:t>(</w:t>
      </w:r>
      <w:r w:rsidR="007C6303">
        <w:rPr>
          <w:iCs/>
        </w:rPr>
        <w:t xml:space="preserve">CPR 31.16(3)(d)(i)) </w:t>
      </w:r>
      <w:r w:rsidR="00BD63CC">
        <w:rPr>
          <w:iCs/>
        </w:rPr>
        <w:t>that the question of the Draft POC arises, and the question as to whether</w:t>
      </w:r>
      <w:r w:rsidR="00AE20FC">
        <w:rPr>
          <w:iCs/>
        </w:rPr>
        <w:t>, having served the Draft POC</w:t>
      </w:r>
      <w:r w:rsidR="0056361C">
        <w:rPr>
          <w:iCs/>
        </w:rPr>
        <w:t>,</w:t>
      </w:r>
      <w:r w:rsidR="00AE20FC">
        <w:rPr>
          <w:iCs/>
        </w:rPr>
        <w:t xml:space="preserve"> Diamond is </w:t>
      </w:r>
      <w:proofErr w:type="gramStart"/>
      <w:r w:rsidR="00AE20FC">
        <w:rPr>
          <w:iCs/>
        </w:rPr>
        <w:t>in a position</w:t>
      </w:r>
      <w:proofErr w:type="gramEnd"/>
      <w:r w:rsidR="00AE20FC">
        <w:rPr>
          <w:iCs/>
        </w:rPr>
        <w:t xml:space="preserve"> to commence proceedings.</w:t>
      </w:r>
      <w:r w:rsidR="00563993">
        <w:rPr>
          <w:iCs/>
        </w:rPr>
        <w:t xml:space="preserve"> However, it may become relevant to the question of dis</w:t>
      </w:r>
      <w:r w:rsidR="006916A1">
        <w:rPr>
          <w:iCs/>
        </w:rPr>
        <w:t>c</w:t>
      </w:r>
      <w:r w:rsidR="00563993">
        <w:rPr>
          <w:iCs/>
        </w:rPr>
        <w:t xml:space="preserve">retion. </w:t>
      </w:r>
    </w:p>
    <w:p w14:paraId="251B6226" w14:textId="51B8E3CF" w:rsidR="005C1E36" w:rsidRPr="005C1E36" w:rsidRDefault="00C9786D" w:rsidP="001846CE">
      <w:pPr>
        <w:pStyle w:val="ParaLevel1"/>
      </w:pPr>
      <w:r w:rsidRPr="00C9786D">
        <w:rPr>
          <w:i/>
          <w:iCs/>
        </w:rPr>
        <w:t>First Gulf Bank v Wachovia Bank</w:t>
      </w:r>
      <w:r w:rsidRPr="00C9786D">
        <w:rPr>
          <w:iCs/>
        </w:rPr>
        <w:t xml:space="preserve"> </w:t>
      </w:r>
      <w:r>
        <w:rPr>
          <w:iCs/>
        </w:rPr>
        <w:t>(su</w:t>
      </w:r>
      <w:r w:rsidR="00774785">
        <w:rPr>
          <w:iCs/>
        </w:rPr>
        <w:t>p</w:t>
      </w:r>
      <w:r>
        <w:rPr>
          <w:iCs/>
        </w:rPr>
        <w:t>ra)</w:t>
      </w:r>
      <w:r w:rsidR="00774785">
        <w:rPr>
          <w:iCs/>
        </w:rPr>
        <w:t xml:space="preserve"> at [23]-[27]</w:t>
      </w:r>
      <w:r w:rsidR="006916A1">
        <w:rPr>
          <w:iCs/>
        </w:rPr>
        <w:t>,</w:t>
      </w:r>
      <w:r w:rsidR="00774785">
        <w:rPr>
          <w:iCs/>
        </w:rPr>
        <w:t xml:space="preserve"> referred to by Mr Maynard-Connor KC</w:t>
      </w:r>
      <w:r w:rsidR="006916A1">
        <w:rPr>
          <w:iCs/>
        </w:rPr>
        <w:t>,</w:t>
      </w:r>
      <w:r w:rsidR="00774785">
        <w:rPr>
          <w:iCs/>
        </w:rPr>
        <w:t xml:space="preserve"> </w:t>
      </w:r>
      <w:r w:rsidR="00BC4942">
        <w:rPr>
          <w:iCs/>
        </w:rPr>
        <w:t xml:space="preserve">certainly provides authority for the proposition that an ability to commence proceedings </w:t>
      </w:r>
      <w:r w:rsidR="00C2343B">
        <w:rPr>
          <w:iCs/>
        </w:rPr>
        <w:t>may negate an ability to satisfy the jurisdictional threshold under CPR 31.6(3)(</w:t>
      </w:r>
      <w:r w:rsidR="007745D4">
        <w:rPr>
          <w:iCs/>
        </w:rPr>
        <w:t xml:space="preserve">d)(i), </w:t>
      </w:r>
      <w:r w:rsidR="002171E2">
        <w:rPr>
          <w:iCs/>
        </w:rPr>
        <w:t xml:space="preserve">and </w:t>
      </w:r>
      <w:r w:rsidR="007745D4">
        <w:rPr>
          <w:iCs/>
        </w:rPr>
        <w:t xml:space="preserve">may also be relevant on the </w:t>
      </w:r>
      <w:r w:rsidR="00087D74">
        <w:rPr>
          <w:iCs/>
        </w:rPr>
        <w:t xml:space="preserve">question of discretion, and provide a reason for refusing relief. However, in reply, Mr Connolly </w:t>
      </w:r>
      <w:r w:rsidR="001F2C36">
        <w:rPr>
          <w:iCs/>
        </w:rPr>
        <w:t xml:space="preserve">referred to </w:t>
      </w:r>
      <w:proofErr w:type="gramStart"/>
      <w:r w:rsidR="001F2C36">
        <w:rPr>
          <w:iCs/>
        </w:rPr>
        <w:t xml:space="preserve">a </w:t>
      </w:r>
      <w:r w:rsidR="008F1CE6">
        <w:rPr>
          <w:iCs/>
        </w:rPr>
        <w:t xml:space="preserve">number </w:t>
      </w:r>
      <w:r w:rsidR="001F2C36">
        <w:rPr>
          <w:iCs/>
        </w:rPr>
        <w:t>of</w:t>
      </w:r>
      <w:proofErr w:type="gramEnd"/>
      <w:r w:rsidR="001F2C36">
        <w:rPr>
          <w:iCs/>
        </w:rPr>
        <w:t xml:space="preserve"> cases in which a</w:t>
      </w:r>
      <w:r w:rsidR="008F1CE6">
        <w:rPr>
          <w:iCs/>
        </w:rPr>
        <w:t>n</w:t>
      </w:r>
      <w:r w:rsidR="00087D74">
        <w:rPr>
          <w:iCs/>
        </w:rPr>
        <w:t xml:space="preserve"> </w:t>
      </w:r>
      <w:r w:rsidR="001F2C36">
        <w:rPr>
          <w:iCs/>
        </w:rPr>
        <w:t>ability to commence proceedings</w:t>
      </w:r>
      <w:r w:rsidR="00C2343B">
        <w:rPr>
          <w:iCs/>
        </w:rPr>
        <w:t xml:space="preserve"> </w:t>
      </w:r>
      <w:r w:rsidR="001C5A8B">
        <w:rPr>
          <w:iCs/>
        </w:rPr>
        <w:t xml:space="preserve">was found not to </w:t>
      </w:r>
      <w:r w:rsidR="00A16C93">
        <w:rPr>
          <w:iCs/>
        </w:rPr>
        <w:t xml:space="preserve">provide a </w:t>
      </w:r>
      <w:r w:rsidR="001C5A8B">
        <w:rPr>
          <w:iCs/>
        </w:rPr>
        <w:t>reason for refusing relief.</w:t>
      </w:r>
      <w:r w:rsidR="00764C94">
        <w:rPr>
          <w:iCs/>
        </w:rPr>
        <w:t xml:space="preserve"> Thus</w:t>
      </w:r>
      <w:r w:rsidR="005C1E36">
        <w:rPr>
          <w:iCs/>
        </w:rPr>
        <w:t>:</w:t>
      </w:r>
    </w:p>
    <w:p w14:paraId="0616AEB7" w14:textId="54656C67" w:rsidR="00AA6E4A" w:rsidRDefault="00266B72" w:rsidP="001846CE">
      <w:pPr>
        <w:pStyle w:val="ParaLevel2"/>
      </w:pPr>
      <w:r>
        <w:t>In</w:t>
      </w:r>
      <w:r w:rsidR="009C6F88" w:rsidRPr="009C6F88">
        <w:rPr>
          <w:i/>
          <w:iCs/>
          <w:szCs w:val="24"/>
        </w:rPr>
        <w:t xml:space="preserve"> </w:t>
      </w:r>
      <w:r w:rsidR="009C6F88" w:rsidRPr="009C6F88">
        <w:rPr>
          <w:i/>
          <w:iCs/>
        </w:rPr>
        <w:t>Hands v Morrison Construction Services Ltd</w:t>
      </w:r>
      <w:r w:rsidR="00AA6E4A">
        <w:t xml:space="preserve"> (supra)</w:t>
      </w:r>
      <w:r w:rsidR="0026295F">
        <w:t xml:space="preserve"> at [31]</w:t>
      </w:r>
      <w:r w:rsidR="00AA6E4A">
        <w:t>, Mr Michael Briggs QC (as he then was) said:</w:t>
      </w:r>
    </w:p>
    <w:p w14:paraId="1A6BCAF2" w14:textId="78B93B0E" w:rsidR="0055588D" w:rsidRPr="0055588D" w:rsidRDefault="00AE7203" w:rsidP="001846CE">
      <w:pPr>
        <w:pStyle w:val="ParaLevel1"/>
        <w:numPr>
          <w:ilvl w:val="0"/>
          <w:numId w:val="0"/>
        </w:numPr>
        <w:ind w:left="1701" w:right="654"/>
      </w:pPr>
      <w:r>
        <w:t>“</w:t>
      </w:r>
      <w:r w:rsidR="0055588D" w:rsidRPr="0055588D">
        <w:t>The desideratum in rule 31.16(3)(d)(</w:t>
      </w:r>
      <w:r w:rsidR="0044498C">
        <w:t>i</w:t>
      </w:r>
      <w:r w:rsidR="0055588D" w:rsidRPr="0055588D">
        <w:t>), that is the fair disposal of the proceedings, is</w:t>
      </w:r>
      <w:r>
        <w:t xml:space="preserve"> </w:t>
      </w:r>
      <w:r w:rsidR="0055588D" w:rsidRPr="0055588D">
        <w:t>addressed to the question whether early disclosure, rather than disclosure at the usual time, will add fairness.  That may be achieved not merely to give an opportunity to plead an otherwise unpleadable case but where it enables the Statement of Case to be better focused so avoiding the cost, delay and disruption which may otherwise be</w:t>
      </w:r>
      <w:r>
        <w:t xml:space="preserve"> </w:t>
      </w:r>
      <w:r w:rsidR="0055588D" w:rsidRPr="0055588D">
        <w:t>caused by amendment after normal disclosure, for example, leading to further</w:t>
      </w:r>
      <w:r>
        <w:t xml:space="preserve"> </w:t>
      </w:r>
      <w:r w:rsidR="0055588D" w:rsidRPr="0055588D">
        <w:t>consequential amendments and a yet further round of disclosure.</w:t>
      </w:r>
      <w:r>
        <w:t>”</w:t>
      </w:r>
    </w:p>
    <w:p w14:paraId="6EC907B1" w14:textId="418C5F5A" w:rsidR="000F4579" w:rsidRDefault="00531002" w:rsidP="001846CE">
      <w:pPr>
        <w:pStyle w:val="ParaLevel2"/>
      </w:pPr>
      <w:r>
        <w:t xml:space="preserve">In </w:t>
      </w:r>
      <w:r w:rsidR="00AA6E4A">
        <w:t xml:space="preserve"> </w:t>
      </w:r>
      <w:r w:rsidRPr="00531002">
        <w:rPr>
          <w:i/>
          <w:iCs/>
        </w:rPr>
        <w:t>Hays Specialist Recruitment (Holdings) Ltd v Ions</w:t>
      </w:r>
      <w:r w:rsidR="00266B72">
        <w:t xml:space="preserve"> </w:t>
      </w:r>
      <w:r>
        <w:t>(supra)</w:t>
      </w:r>
      <w:r w:rsidR="005917D9">
        <w:t xml:space="preserve"> at [44]</w:t>
      </w:r>
      <w:r w:rsidR="000D470D">
        <w:t xml:space="preserve">, </w:t>
      </w:r>
      <w:r w:rsidR="00E921B7">
        <w:t xml:space="preserve">David Richards J </w:t>
      </w:r>
      <w:r w:rsidR="00966DF7">
        <w:t xml:space="preserve">(as he then was) </w:t>
      </w:r>
      <w:r w:rsidR="005371E9">
        <w:t xml:space="preserve">considered </w:t>
      </w:r>
      <w:r w:rsidR="00A41FB0">
        <w:t>that the applicant could</w:t>
      </w:r>
      <w:r w:rsidR="004E1C6F">
        <w:t>,</w:t>
      </w:r>
      <w:r w:rsidR="00A41FB0">
        <w:t xml:space="preserve"> for the most part</w:t>
      </w:r>
      <w:r w:rsidR="005531EE">
        <w:t>,</w:t>
      </w:r>
      <w:r w:rsidR="00A41FB0">
        <w:t xml:space="preserve"> plead</w:t>
      </w:r>
      <w:r w:rsidR="005531EE">
        <w:t xml:space="preserve"> a </w:t>
      </w:r>
      <w:r w:rsidR="00A41FB0">
        <w:t>case only in the most general terms, and that disclosure should enable there to be fully pleaded particulars of claim from the start. He thus concluded that there was a real prospect</w:t>
      </w:r>
      <w:r w:rsidR="000F4579">
        <w:t xml:space="preserve"> that disclosure would therefore assist in the fair disposal of the anticipated proceedings.</w:t>
      </w:r>
    </w:p>
    <w:p w14:paraId="5F8F004B" w14:textId="52D8CDA9" w:rsidR="00CA4E98" w:rsidRDefault="000F4579" w:rsidP="001846CE">
      <w:pPr>
        <w:pStyle w:val="ParaLevel1"/>
      </w:pPr>
      <w:r>
        <w:t xml:space="preserve">Whilst Diamond did </w:t>
      </w:r>
      <w:r w:rsidR="00D8076C">
        <w:t xml:space="preserve">provide </w:t>
      </w:r>
      <w:r>
        <w:t>the</w:t>
      </w:r>
      <w:r w:rsidR="00D8076C">
        <w:t xml:space="preserve"> Draft POC to TfWM </w:t>
      </w:r>
      <w:r w:rsidR="00655A05">
        <w:t xml:space="preserve">as early as April 2021, it is fair to say </w:t>
      </w:r>
      <w:r w:rsidR="0011096E">
        <w:t xml:space="preserve">that the pleading in respect of the </w:t>
      </w:r>
      <w:r w:rsidR="00CA4E98">
        <w:t xml:space="preserve">Fares Foregone Claim is in somewhat general terms, and whilst relying upon the figures derived from Diamond’s </w:t>
      </w:r>
      <w:r w:rsidR="00111FF1">
        <w:t>Look-up</w:t>
      </w:r>
      <w:r w:rsidR="00CA4E98">
        <w:t xml:space="preserve"> table, does so knowing that such figures are subject to the </w:t>
      </w:r>
      <w:r w:rsidR="00464102">
        <w:t xml:space="preserve">objection referred to above concerning the </w:t>
      </w:r>
      <w:r w:rsidR="00FD66C1">
        <w:t xml:space="preserve">Cross-Operator Issue. </w:t>
      </w:r>
      <w:r w:rsidR="00CA4E98">
        <w:t>There is, as I see it, give</w:t>
      </w:r>
      <w:r w:rsidR="00E66C7C">
        <w:t>n</w:t>
      </w:r>
      <w:r w:rsidR="00CA4E98">
        <w:t xml:space="preserve"> my findings in respect of what might </w:t>
      </w:r>
      <w:r w:rsidR="00FD66C1">
        <w:t xml:space="preserve">be </w:t>
      </w:r>
      <w:r w:rsidR="00C75EE8">
        <w:t>hoped</w:t>
      </w:r>
      <w:r w:rsidR="00CA4E98">
        <w:t xml:space="preserve"> to be achieved from the receipt of the data in question, at least a real prospect that the provision of the requested data will enable Diamond to plead its case in its Particulars of Claim </w:t>
      </w:r>
      <w:proofErr w:type="gramStart"/>
      <w:r w:rsidR="00CA4E98">
        <w:t>on the basis of</w:t>
      </w:r>
      <w:proofErr w:type="gramEnd"/>
      <w:r w:rsidR="00CA4E98">
        <w:t xml:space="preserve"> figures that it understands </w:t>
      </w:r>
      <w:r w:rsidR="00122815">
        <w:t xml:space="preserve">and believes </w:t>
      </w:r>
      <w:r w:rsidR="00CA4E98">
        <w:t>to be reliable.</w:t>
      </w:r>
    </w:p>
    <w:p w14:paraId="2DF68C2A" w14:textId="1F4AC9FE" w:rsidR="009164D9" w:rsidRDefault="009164D9" w:rsidP="001846CE">
      <w:pPr>
        <w:pStyle w:val="ParaLevel1"/>
      </w:pPr>
      <w:r>
        <w:t xml:space="preserve">Further, there is at least a real prospect that disclosure will better enable Diamond to decide whether there is merit in commencing proceedings in the first place, dependent </w:t>
      </w:r>
      <w:r>
        <w:lastRenderedPageBreak/>
        <w:t xml:space="preserve">upon what the data relating to journeys taken by Diamond passengers on buses operated by other operators for the same journey reveals. </w:t>
      </w:r>
      <w:r w:rsidRPr="00CE5A35">
        <w:rPr>
          <w:i/>
        </w:rPr>
        <w:t>Hollander</w:t>
      </w:r>
      <w:r w:rsidRPr="009164D9">
        <w:rPr>
          <w:iCs/>
        </w:rPr>
        <w:t xml:space="preserve">, </w:t>
      </w:r>
      <w:r>
        <w:rPr>
          <w:iCs/>
        </w:rPr>
        <w:t xml:space="preserve">(supra) </w:t>
      </w:r>
      <w:r w:rsidRPr="009164D9">
        <w:rPr>
          <w:iCs/>
        </w:rPr>
        <w:t>at 1-35</w:t>
      </w:r>
      <w:r w:rsidR="009C6395">
        <w:rPr>
          <w:iCs/>
        </w:rPr>
        <w:t xml:space="preserve"> posed </w:t>
      </w:r>
      <w:r w:rsidR="00CE5A35">
        <w:rPr>
          <w:iCs/>
        </w:rPr>
        <w:t xml:space="preserve">the </w:t>
      </w:r>
      <w:r w:rsidR="009C6395">
        <w:rPr>
          <w:iCs/>
        </w:rPr>
        <w:t>rhetorical question</w:t>
      </w:r>
      <w:r w:rsidR="00A92374">
        <w:rPr>
          <w:iCs/>
        </w:rPr>
        <w:t xml:space="preserve"> referred to in paragraph 82 above</w:t>
      </w:r>
      <w:r w:rsidR="008757EE">
        <w:rPr>
          <w:iCs/>
        </w:rPr>
        <w:t>. However, in</w:t>
      </w:r>
      <w:r w:rsidR="009C6395">
        <w:rPr>
          <w:iCs/>
        </w:rPr>
        <w:t xml:space="preserve"> the present case, there are cogent reasons why Diamond would not want to commence proceedings without seeking to close the lacuna in its </w:t>
      </w:r>
      <w:r w:rsidR="008757EE">
        <w:rPr>
          <w:iCs/>
        </w:rPr>
        <w:t>Look-up</w:t>
      </w:r>
      <w:r w:rsidR="009C6395">
        <w:rPr>
          <w:iCs/>
        </w:rPr>
        <w:t xml:space="preserve"> table, and rather than embarking on an overly speculative and fishing expedition, Diamond</w:t>
      </w:r>
      <w:r w:rsidR="00285FA7">
        <w:rPr>
          <w:iCs/>
        </w:rPr>
        <w:t xml:space="preserve"> is</w:t>
      </w:r>
      <w:r w:rsidR="009C6395">
        <w:rPr>
          <w:iCs/>
        </w:rPr>
        <w:t xml:space="preserve">, as I see it, making a focused request for data with a view to closing that lacuna. </w:t>
      </w:r>
    </w:p>
    <w:p w14:paraId="1FE52CF7" w14:textId="43BA4015" w:rsidR="00CA4E98" w:rsidRDefault="00CA4E98" w:rsidP="001846CE">
      <w:pPr>
        <w:pStyle w:val="ParaLevel1"/>
      </w:pPr>
      <w:r>
        <w:t xml:space="preserve">In short, therefore, I am </w:t>
      </w:r>
      <w:r w:rsidR="00285FA7">
        <w:t xml:space="preserve">well </w:t>
      </w:r>
      <w:r>
        <w:t>satisfied that Diamond has satisfied the Jurisdictional Threshold.</w:t>
      </w:r>
    </w:p>
    <w:p w14:paraId="4005B311" w14:textId="5981ABE5" w:rsidR="00CA4E98" w:rsidRDefault="00CA4E98" w:rsidP="001846CE">
      <w:pPr>
        <w:pStyle w:val="ParaLevel1"/>
        <w:numPr>
          <w:ilvl w:val="0"/>
          <w:numId w:val="0"/>
        </w:numPr>
        <w:ind w:left="720" w:hanging="720"/>
        <w:rPr>
          <w:b/>
          <w:bCs/>
        </w:rPr>
      </w:pPr>
      <w:bookmarkStart w:id="23" w:name="I3"/>
      <w:r w:rsidRPr="00CA4E98">
        <w:rPr>
          <w:b/>
          <w:bCs/>
        </w:rPr>
        <w:t>Discretion</w:t>
      </w:r>
    </w:p>
    <w:bookmarkEnd w:id="23"/>
    <w:p w14:paraId="04DA5BC8" w14:textId="618B4590" w:rsidR="00CA4E98" w:rsidRPr="00CA4E98" w:rsidRDefault="00CA4E98" w:rsidP="001846CE">
      <w:pPr>
        <w:pStyle w:val="ParaLevel1"/>
        <w:numPr>
          <w:ilvl w:val="0"/>
          <w:numId w:val="0"/>
        </w:numPr>
        <w:ind w:left="720" w:hanging="720"/>
        <w:rPr>
          <w:i/>
          <w:iCs/>
        </w:rPr>
      </w:pPr>
      <w:r w:rsidRPr="00CA4E98">
        <w:rPr>
          <w:i/>
          <w:iCs/>
        </w:rPr>
        <w:t>Desirability</w:t>
      </w:r>
    </w:p>
    <w:p w14:paraId="2D8F8D4D" w14:textId="3AE2E85C" w:rsidR="00E6446C" w:rsidRDefault="00CA4E98" w:rsidP="001846CE">
      <w:pPr>
        <w:pStyle w:val="ParaLevel1"/>
      </w:pPr>
      <w:r>
        <w:t xml:space="preserve">I share the concern expressed by </w:t>
      </w:r>
      <w:proofErr w:type="gramStart"/>
      <w:r>
        <w:t>a number of</w:t>
      </w:r>
      <w:proofErr w:type="gramEnd"/>
      <w:r>
        <w:t xml:space="preserve"> other judges in the cases that I have referred to as to the difficulty of separating out the jurisdictional threshold, and matters going there to, from discretionary considerations as to whether an order for pre-action disclosure ought to be made – see e.g. </w:t>
      </w:r>
      <w:r w:rsidRPr="00CA4E98">
        <w:rPr>
          <w:i/>
          <w:iCs/>
        </w:rPr>
        <w:t>First Gulf Bank v Wachovia</w:t>
      </w:r>
      <w:r>
        <w:t xml:space="preserve"> at [23].</w:t>
      </w:r>
      <w:r w:rsidR="00531002">
        <w:t xml:space="preserve"> </w:t>
      </w:r>
    </w:p>
    <w:p w14:paraId="447B8EAA" w14:textId="1ACFD957" w:rsidR="00CA4E98" w:rsidRDefault="00EF3F1A" w:rsidP="001846CE">
      <w:pPr>
        <w:pStyle w:val="ParaLevel1"/>
      </w:pPr>
      <w:r>
        <w:t xml:space="preserve">However, </w:t>
      </w:r>
      <w:r w:rsidR="009164D9">
        <w:t>so</w:t>
      </w:r>
      <w:r w:rsidR="00F0264D">
        <w:t xml:space="preserve"> </w:t>
      </w:r>
      <w:r w:rsidR="009164D9">
        <w:t>far as the matters referred to in paragraphs 84 to 100 above give rise to discretionary considerations, I consider that they are discretionary considerations that point in favour of ordering pre-action disclosure, rather than refusing it.</w:t>
      </w:r>
    </w:p>
    <w:p w14:paraId="10DC889A" w14:textId="5CAE167B" w:rsidR="00F120C8" w:rsidRPr="00F120C8" w:rsidRDefault="00F120C8" w:rsidP="001846CE">
      <w:pPr>
        <w:pStyle w:val="ParaLevel1"/>
        <w:numPr>
          <w:ilvl w:val="0"/>
          <w:numId w:val="0"/>
        </w:numPr>
        <w:ind w:left="720" w:hanging="720"/>
        <w:rPr>
          <w:i/>
          <w:iCs/>
        </w:rPr>
      </w:pPr>
      <w:r>
        <w:rPr>
          <w:i/>
          <w:iCs/>
        </w:rPr>
        <w:t>Dispute Resolution Procedure</w:t>
      </w:r>
    </w:p>
    <w:p w14:paraId="647AAE07" w14:textId="77777777" w:rsidR="00D96A9A" w:rsidRDefault="00A9461F" w:rsidP="001846CE">
      <w:pPr>
        <w:pStyle w:val="ParaLevel1"/>
      </w:pPr>
      <w:r>
        <w:t xml:space="preserve">I consider that the present dispute between the parties does fall within the scope of Schedule 7 </w:t>
      </w:r>
      <w:r w:rsidR="00111BAA">
        <w:t>2000 Act Arrangements, being a dispute of the kind referred to in paragraph 27(a) of the 2000 Act Arrangements.</w:t>
      </w:r>
    </w:p>
    <w:p w14:paraId="0BE503F9" w14:textId="11AB15ED" w:rsidR="00F120C8" w:rsidRDefault="00F120C8" w:rsidP="001846CE">
      <w:pPr>
        <w:pStyle w:val="ParaLevel1"/>
      </w:pPr>
      <w:r>
        <w:t xml:space="preserve">Mr Connolly, on behalf of Diamond, submits that, as a matter of true construction, Schedule 7 to the 2000 Act Arrangements is permissive and not mandatory. He submits that the high point of any mandatory provision is paragraph 1 which mandates a meeting, but that, thereafter, if settlement </w:t>
      </w:r>
      <w:r w:rsidR="00692748">
        <w:t>is</w:t>
      </w:r>
      <w:r>
        <w:t xml:space="preserve"> not reached at that meeting, there is no mandate on either party to agree to or submit to expert determination given the reference to the fact that either party </w:t>
      </w:r>
      <w:r w:rsidRPr="00F120C8">
        <w:rPr>
          <w:i/>
          <w:iCs/>
        </w:rPr>
        <w:t>“may propose”</w:t>
      </w:r>
      <w:r>
        <w:t xml:space="preserve">. </w:t>
      </w:r>
      <w:r w:rsidR="006A046D">
        <w:t xml:space="preserve">To this extent, </w:t>
      </w:r>
      <w:r w:rsidR="001E4ABB">
        <w:t xml:space="preserve">Mr Connolly submits that the wording in the present case is not dissimilar to that in </w:t>
      </w:r>
      <w:r w:rsidR="001E4ABB" w:rsidRPr="00B66329">
        <w:rPr>
          <w:i/>
          <w:iCs/>
        </w:rPr>
        <w:t>Halifax Financial Services Limited v Intuitive Systems Limited</w:t>
      </w:r>
      <w:r w:rsidR="001E4ABB" w:rsidRPr="001E4ABB">
        <w:rPr>
          <w:b/>
          <w:bCs/>
          <w:i/>
          <w:iCs/>
        </w:rPr>
        <w:t xml:space="preserve"> </w:t>
      </w:r>
      <w:r w:rsidR="001E4ABB" w:rsidRPr="001E4ABB">
        <w:t>unreported 21 December 1998</w:t>
      </w:r>
      <w:r w:rsidR="00B66329">
        <w:t>.</w:t>
      </w:r>
    </w:p>
    <w:p w14:paraId="360428F9" w14:textId="56669929" w:rsidR="003E4D37" w:rsidRDefault="00321F09" w:rsidP="001846CE">
      <w:pPr>
        <w:pStyle w:val="ParaLevel1"/>
      </w:pPr>
      <w:r>
        <w:t>I do not agree that</w:t>
      </w:r>
      <w:r w:rsidR="001E727B">
        <w:t xml:space="preserve"> Schedule 7 to the 2000 Act Arrangements is merely permissive.</w:t>
      </w:r>
      <w:r w:rsidR="000B2679">
        <w:t xml:space="preserve"> Under paragraph 2 thereof, if the dispute is not resolved as a result of the meeting provided for by paragraph 1, then, as I see it, either party has the option of proposing to the other in writing that the dispute be referred to an independent expert</w:t>
      </w:r>
      <w:r w:rsidR="00895CF7">
        <w:t>, and if the parties are then unable to agree on an independent expert, or the independent expert</w:t>
      </w:r>
      <w:r w:rsidR="006C72C0">
        <w:t xml:space="preserve"> or unwilling to act, then either party has the option of applying to the President of the Law Society to appoint an independent expert</w:t>
      </w:r>
      <w:r w:rsidR="00A4233F">
        <w:t xml:space="preserve"> - see paragraphs 2 and 3. </w:t>
      </w:r>
      <w:r w:rsidR="00C422D0">
        <w:t xml:space="preserve">Paragraph 4 then provides that if any matter is </w:t>
      </w:r>
      <w:r w:rsidR="00421880">
        <w:t xml:space="preserve">so </w:t>
      </w:r>
      <w:r w:rsidR="00C422D0">
        <w:t>referred to the independent expert for determination</w:t>
      </w:r>
      <w:r w:rsidR="00421880">
        <w:t xml:space="preserve">, </w:t>
      </w:r>
      <w:r w:rsidR="00C422D0">
        <w:t xml:space="preserve">then the independent expert </w:t>
      </w:r>
      <w:r w:rsidR="00C422D0">
        <w:rPr>
          <w:u w:val="single"/>
        </w:rPr>
        <w:t>shall</w:t>
      </w:r>
      <w:r w:rsidR="00C422D0">
        <w:t xml:space="preserve"> </w:t>
      </w:r>
      <w:r w:rsidR="000E5603">
        <w:t xml:space="preserve">determine the matter. The effect of this is, as I see it, that either party </w:t>
      </w:r>
      <w:r w:rsidR="00DB4D4A">
        <w:t>has</w:t>
      </w:r>
      <w:r w:rsidR="000E5603">
        <w:t xml:space="preserve"> the option </w:t>
      </w:r>
      <w:r w:rsidR="009677F4">
        <w:t xml:space="preserve">to force the appointment of an </w:t>
      </w:r>
      <w:r w:rsidR="005E39B5">
        <w:t>independent expert</w:t>
      </w:r>
      <w:r w:rsidR="009677F4">
        <w:t>,</w:t>
      </w:r>
      <w:r w:rsidR="005E39B5">
        <w:t xml:space="preserve"> </w:t>
      </w:r>
      <w:r w:rsidR="00F42653">
        <w:t>appointed,</w:t>
      </w:r>
      <w:r w:rsidR="005E39B5">
        <w:t xml:space="preserve"> if </w:t>
      </w:r>
      <w:r w:rsidR="00D57062">
        <w:t>necessary,</w:t>
      </w:r>
      <w:r w:rsidR="005E39B5">
        <w:t xml:space="preserve"> by the President of the Law Society</w:t>
      </w:r>
      <w:r w:rsidR="00D57062">
        <w:t xml:space="preserve">. If an expert is so </w:t>
      </w:r>
      <w:r w:rsidR="00F0401C">
        <w:t xml:space="preserve">appointed, then the expert is required to determine the matter. </w:t>
      </w:r>
      <w:r w:rsidR="00AD5A4D">
        <w:lastRenderedPageBreak/>
        <w:t>Consequently</w:t>
      </w:r>
      <w:r w:rsidR="003E4D37">
        <w:t>,</w:t>
      </w:r>
      <w:r w:rsidR="00AD5A4D">
        <w:t xml:space="preserve"> it is, as I see it, open to either party, under the terms of Schedule 7, </w:t>
      </w:r>
      <w:r w:rsidR="008730C1">
        <w:t>to require a</w:t>
      </w:r>
      <w:r w:rsidR="00FF32D7">
        <w:t xml:space="preserve"> dispute </w:t>
      </w:r>
      <w:r w:rsidR="008730C1">
        <w:t xml:space="preserve">falling </w:t>
      </w:r>
      <w:r w:rsidR="00734141">
        <w:t xml:space="preserve">within the </w:t>
      </w:r>
      <w:r w:rsidR="00FF32D7">
        <w:t xml:space="preserve">scope of paragraph 27 of the 2000 Act arrangements </w:t>
      </w:r>
      <w:r w:rsidR="003E4D37">
        <w:t>to be determined by an independent expert.</w:t>
      </w:r>
    </w:p>
    <w:p w14:paraId="37A8FC3B" w14:textId="7C04CF1A" w:rsidR="00505DB1" w:rsidRDefault="003E4D37" w:rsidP="001846CE">
      <w:pPr>
        <w:pStyle w:val="ParaLevel1"/>
      </w:pPr>
      <w:r>
        <w:t>Diamond did,</w:t>
      </w:r>
      <w:r w:rsidR="005E5D05">
        <w:t xml:space="preserve"> going back to 2018, initiate the DRP under Schedule 7 and the parties got to the point of </w:t>
      </w:r>
      <w:r w:rsidR="00A457E9">
        <w:t>seeking to appoint an independent expert, only for that independent expert to decline to act</w:t>
      </w:r>
      <w:r w:rsidR="00841EC8">
        <w:t>, and the matter seemingly not taken any further at that point</w:t>
      </w:r>
      <w:r w:rsidR="00A457E9">
        <w:t xml:space="preserve">. </w:t>
      </w:r>
      <w:r w:rsidR="002F5E7E">
        <w:t xml:space="preserve">Notwithstanding the passage of time, </w:t>
      </w:r>
      <w:r w:rsidR="00A457E9">
        <w:t>it would</w:t>
      </w:r>
      <w:r w:rsidR="00D96A9A">
        <w:t>, as I see it,</w:t>
      </w:r>
      <w:r w:rsidR="00A457E9">
        <w:t xml:space="preserve"> </w:t>
      </w:r>
      <w:r w:rsidR="002F5E7E">
        <w:t xml:space="preserve">still </w:t>
      </w:r>
      <w:r w:rsidR="00A457E9">
        <w:t xml:space="preserve">be open to TfWM to apply to the President </w:t>
      </w:r>
      <w:r w:rsidR="00C226BA">
        <w:t xml:space="preserve">of the Law Society </w:t>
      </w:r>
      <w:r w:rsidR="008E06BD">
        <w:t>to appoint an independent expert, who would then be required to determine the matter.</w:t>
      </w:r>
      <w:r w:rsidR="00A457E9">
        <w:t xml:space="preserve"> </w:t>
      </w:r>
    </w:p>
    <w:p w14:paraId="3A66FBFB" w14:textId="48573621" w:rsidR="002F5E7E" w:rsidRDefault="002F5E7E" w:rsidP="001846CE">
      <w:pPr>
        <w:pStyle w:val="ParaLevel1"/>
      </w:pPr>
      <w:r>
        <w:t>However,</w:t>
      </w:r>
      <w:r w:rsidR="002D3A4F">
        <w:t xml:space="preserve"> Mr Connolly makes the further point that Schedule 7 does not</w:t>
      </w:r>
      <w:r w:rsidR="0046248B">
        <w:t xml:space="preserve"> mandate any rules for determining the dispute in issue, save that it is to be done on a basis that is </w:t>
      </w:r>
      <w:r w:rsidR="0046248B" w:rsidRPr="00D0172C">
        <w:rPr>
          <w:i/>
          <w:iCs/>
        </w:rPr>
        <w:t>“fair and reasonable”</w:t>
      </w:r>
      <w:r w:rsidR="0046248B">
        <w:t>.</w:t>
      </w:r>
      <w:r w:rsidR="007C2BC7">
        <w:t xml:space="preserve"> There are thus no provisions for disclosure or evidence (lay or expert) or for submissions</w:t>
      </w:r>
      <w:r w:rsidR="00FE607E">
        <w:t xml:space="preserve">, and </w:t>
      </w:r>
      <w:r w:rsidR="00FE175D">
        <w:t xml:space="preserve">these matters would thus </w:t>
      </w:r>
      <w:r w:rsidR="00FE607E">
        <w:t>require agreement between the parties. The furthest that Schedule 7</w:t>
      </w:r>
      <w:r w:rsidR="003932F6">
        <w:t xml:space="preserve"> </w:t>
      </w:r>
      <w:r w:rsidR="00FE175D">
        <w:t xml:space="preserve">goes </w:t>
      </w:r>
      <w:r w:rsidR="003932F6">
        <w:t>is that paragraph 4(c) requires TfWM and Diamond to ensure</w:t>
      </w:r>
      <w:r w:rsidR="00D6146B">
        <w:t xml:space="preserve"> that the independent expert has full access to all books, </w:t>
      </w:r>
      <w:proofErr w:type="gramStart"/>
      <w:r w:rsidR="00D6146B">
        <w:t>information</w:t>
      </w:r>
      <w:proofErr w:type="gramEnd"/>
      <w:r w:rsidR="00D6146B">
        <w:t xml:space="preserve"> and records in their possession or in the possession of their auditors and accountants </w:t>
      </w:r>
      <w:r w:rsidR="00D6146B" w:rsidRPr="00D0172C">
        <w:rPr>
          <w:i/>
          <w:iCs/>
        </w:rPr>
        <w:t>“that are relevant to the dispute and his determination thereon”</w:t>
      </w:r>
      <w:r w:rsidR="00D6146B">
        <w:t xml:space="preserve">. </w:t>
      </w:r>
      <w:r w:rsidR="001D04A6">
        <w:t xml:space="preserve">This does not, in terms, provide for disclosure </w:t>
      </w:r>
      <w:r w:rsidR="00EA667F">
        <w:t xml:space="preserve">as between the parties. </w:t>
      </w:r>
      <w:r w:rsidR="00FC2AAC">
        <w:t>Th</w:t>
      </w:r>
      <w:r w:rsidR="00EA667F">
        <w:t xml:space="preserve">e present DRP </w:t>
      </w:r>
      <w:proofErr w:type="gramStart"/>
      <w:r w:rsidR="00FC2AAC">
        <w:t>is in contrast to</w:t>
      </w:r>
      <w:proofErr w:type="gramEnd"/>
      <w:r w:rsidR="00FC2AAC">
        <w:t xml:space="preserve"> the expert determination machinery</w:t>
      </w:r>
      <w:r w:rsidR="00D0172C">
        <w:t xml:space="preserve"> in</w:t>
      </w:r>
      <w:r w:rsidR="00D0172C" w:rsidRPr="00D0172C">
        <w:rPr>
          <w:rFonts w:ascii="TimesNewRomanPS-ItalicMT" w:hAnsi="TimesNewRomanPS-ItalicMT" w:cs="TimesNewRomanPS-ItalicMT"/>
          <w:i/>
          <w:iCs/>
          <w:lang w:eastAsia="en-GB"/>
        </w:rPr>
        <w:t xml:space="preserve"> </w:t>
      </w:r>
      <w:r w:rsidR="00D0172C" w:rsidRPr="00D0172C">
        <w:rPr>
          <w:i/>
          <w:iCs/>
        </w:rPr>
        <w:t>Taylor Wimpey UK Ltd v Harron Homes</w:t>
      </w:r>
      <w:r w:rsidR="002A3E2A">
        <w:rPr>
          <w:i/>
          <w:iCs/>
        </w:rPr>
        <w:t xml:space="preserve"> </w:t>
      </w:r>
      <w:r w:rsidR="00D0172C" w:rsidRPr="002A3E2A">
        <w:rPr>
          <w:i/>
          <w:iCs/>
        </w:rPr>
        <w:t>Ltd</w:t>
      </w:r>
      <w:r w:rsidR="002A3E2A">
        <w:rPr>
          <w:i/>
          <w:iCs/>
        </w:rPr>
        <w:t xml:space="preserve"> </w:t>
      </w:r>
      <w:r w:rsidR="002A3E2A">
        <w:t>(supra), where Fraser J</w:t>
      </w:r>
      <w:r w:rsidR="008B270D">
        <w:t xml:space="preserve"> considered the existence </w:t>
      </w:r>
      <w:r w:rsidR="00FD65AF">
        <w:t>thereof to</w:t>
      </w:r>
      <w:r w:rsidR="008B67E3">
        <w:t xml:space="preserve"> be a determinative discretionary factor against ordering pre-action disclosure.</w:t>
      </w:r>
      <w:r w:rsidR="008F7DFE">
        <w:t xml:space="preserve"> </w:t>
      </w:r>
      <w:r w:rsidR="00FD65AF">
        <w:t xml:space="preserve">In the present case, </w:t>
      </w:r>
      <w:r w:rsidR="0092182E">
        <w:t>the absence of rules for determining the dispute</w:t>
      </w:r>
      <w:r w:rsidR="00DA044C">
        <w:t xml:space="preserve"> </w:t>
      </w:r>
      <w:r w:rsidR="00977F3F">
        <w:t xml:space="preserve">within an expert determination </w:t>
      </w:r>
      <w:r w:rsidR="00DA044C">
        <w:t>would, as Mr Connolly points out, weigh heavily against a stay</w:t>
      </w:r>
      <w:r w:rsidR="00D36967">
        <w:t xml:space="preserve"> </w:t>
      </w:r>
      <w:r w:rsidR="00977F3F">
        <w:t xml:space="preserve">if sought by TfWM </w:t>
      </w:r>
      <w:r w:rsidR="00BD5DFD">
        <w:t xml:space="preserve">after </w:t>
      </w:r>
      <w:r w:rsidR="00D36967">
        <w:t xml:space="preserve">Diamond </w:t>
      </w:r>
      <w:r w:rsidR="00BD5DFD">
        <w:t xml:space="preserve">had </w:t>
      </w:r>
      <w:r w:rsidR="00D36967">
        <w:t>commence</w:t>
      </w:r>
      <w:r w:rsidR="00BD5DFD">
        <w:t>d</w:t>
      </w:r>
      <w:r w:rsidR="00D36967">
        <w:t xml:space="preserve"> proceedings – see </w:t>
      </w:r>
      <w:r w:rsidR="00E739CE" w:rsidRPr="00E739CE">
        <w:rPr>
          <w:i/>
          <w:iCs/>
        </w:rPr>
        <w:t xml:space="preserve">Cott UK Limited v FE Barber Limited </w:t>
      </w:r>
      <w:r w:rsidR="00E739CE" w:rsidRPr="00E739CE">
        <w:t>[1997] 3 All ER 540 at 548J to 550A</w:t>
      </w:r>
      <w:r w:rsidR="00E739CE">
        <w:t>, per HHJ Hegarty QC.</w:t>
      </w:r>
      <w:r w:rsidR="00D9503E">
        <w:t xml:space="preserve"> Further,</w:t>
      </w:r>
      <w:r w:rsidR="00D9503E" w:rsidRPr="00D9503E">
        <w:rPr>
          <w:b/>
          <w:bCs/>
          <w:i/>
          <w:iCs/>
          <w:color w:val="000000"/>
          <w:sz w:val="23"/>
          <w:szCs w:val="23"/>
          <w:lang w:eastAsia="en-GB"/>
        </w:rPr>
        <w:t xml:space="preserve"> </w:t>
      </w:r>
      <w:r w:rsidR="00D9503E" w:rsidRPr="00D9503E">
        <w:rPr>
          <w:i/>
          <w:iCs/>
        </w:rPr>
        <w:t>Total E&amp;P Soudan SA v Edmonds and Ors</w:t>
      </w:r>
      <w:r w:rsidR="00D9503E" w:rsidRPr="00D9503E">
        <w:t xml:space="preserve"> [2007] EWCA Civ 50 at </w:t>
      </w:r>
      <w:r w:rsidR="00D9503E">
        <w:t>[</w:t>
      </w:r>
      <w:r w:rsidR="00D9503E" w:rsidRPr="00D9503E">
        <w:t>28</w:t>
      </w:r>
      <w:r w:rsidR="007D2F44">
        <w:t>]</w:t>
      </w:r>
      <w:r w:rsidR="00D9503E" w:rsidRPr="00D9503E">
        <w:t xml:space="preserve"> and </w:t>
      </w:r>
      <w:r w:rsidR="007D2F44">
        <w:t>[</w:t>
      </w:r>
      <w:r w:rsidR="00D9503E" w:rsidRPr="00D9503E">
        <w:t>29</w:t>
      </w:r>
      <w:r w:rsidR="007D2F44">
        <w:t>] provides Court of Appeal authority that</w:t>
      </w:r>
      <w:r w:rsidR="006733E4">
        <w:t xml:space="preserve"> on applications of the present kind the</w:t>
      </w:r>
      <w:r w:rsidR="00483A83">
        <w:t xml:space="preserve"> Court ought not to give</w:t>
      </w:r>
      <w:r w:rsidR="0071778D">
        <w:t xml:space="preserve"> great weight to stay arguments save where it is shown beyond doubt that </w:t>
      </w:r>
      <w:r w:rsidR="00071215">
        <w:t xml:space="preserve">any claim would </w:t>
      </w:r>
      <w:r w:rsidR="0071778D">
        <w:t>be stayed, which is not the present case.</w:t>
      </w:r>
    </w:p>
    <w:p w14:paraId="0F32B884" w14:textId="54C45EF6" w:rsidR="008C6A46" w:rsidRDefault="008A62C2" w:rsidP="001846CE">
      <w:pPr>
        <w:pStyle w:val="ParaLevel1"/>
      </w:pPr>
      <w:r>
        <w:t xml:space="preserve">In the present case, TfWM </w:t>
      </w:r>
      <w:r w:rsidR="005B7430">
        <w:t xml:space="preserve">has offered limited disclosure in the context of a determination by an independent expert, and I must </w:t>
      </w:r>
      <w:proofErr w:type="gramStart"/>
      <w:r w:rsidR="005B7430">
        <w:t>take into account</w:t>
      </w:r>
      <w:proofErr w:type="gramEnd"/>
      <w:r w:rsidR="005B7430">
        <w:t xml:space="preserve"> that</w:t>
      </w:r>
      <w:r w:rsidR="00940803">
        <w:t xml:space="preserve"> that might provide one way </w:t>
      </w:r>
      <w:r w:rsidR="00EE5700">
        <w:t xml:space="preserve">for </w:t>
      </w:r>
      <w:r w:rsidR="00940803">
        <w:t xml:space="preserve">Diamond </w:t>
      </w:r>
      <w:r w:rsidR="00EE5700">
        <w:t xml:space="preserve">to </w:t>
      </w:r>
      <w:r w:rsidR="00940803">
        <w:t>obtain the required data</w:t>
      </w:r>
      <w:r w:rsidR="00A43436">
        <w:t xml:space="preserve">, leading to a </w:t>
      </w:r>
      <w:r w:rsidR="009B2FA8">
        <w:t xml:space="preserve">resolution of the dispute without the requirement for disclosure. </w:t>
      </w:r>
      <w:r w:rsidR="00993869">
        <w:t>However, I do not co</w:t>
      </w:r>
      <w:r w:rsidR="00BB1091">
        <w:t>nsider that this ought to weigh significantly in the balance against ordering disclos</w:t>
      </w:r>
      <w:r w:rsidR="008C6A46">
        <w:t>ure as a matter of discretion in that:</w:t>
      </w:r>
    </w:p>
    <w:p w14:paraId="7249CE9F" w14:textId="77777777" w:rsidR="00D82E27" w:rsidRDefault="00C516E6" w:rsidP="001846CE">
      <w:pPr>
        <w:pStyle w:val="ParaLevel2"/>
      </w:pPr>
      <w:r>
        <w:t xml:space="preserve">TfWM has said that it would provide </w:t>
      </w:r>
      <w:r w:rsidRPr="00250B51">
        <w:rPr>
          <w:i/>
          <w:iCs/>
        </w:rPr>
        <w:t>“safe”</w:t>
      </w:r>
      <w:r>
        <w:t xml:space="preserve"> disclosure</w:t>
      </w:r>
      <w:r w:rsidR="00250B51">
        <w:t>, but this</w:t>
      </w:r>
      <w:r w:rsidR="00397431">
        <w:t xml:space="preserve"> has not been explained</w:t>
      </w:r>
      <w:r w:rsidR="00BC47E9">
        <w:t>, and it is TfWM’s case that disclos</w:t>
      </w:r>
      <w:r w:rsidR="0008431E">
        <w:t>ure as sought by Diamond would be unsafe because of confidentiality issues what</w:t>
      </w:r>
      <w:r w:rsidR="000A5BE2">
        <w:t>ever safeguards were put in place</w:t>
      </w:r>
      <w:r w:rsidR="00374CE9">
        <w:t xml:space="preserve">. </w:t>
      </w:r>
    </w:p>
    <w:p w14:paraId="7C94961A" w14:textId="31CD2AE7" w:rsidR="0071778D" w:rsidRDefault="00D82E27" w:rsidP="001846CE">
      <w:pPr>
        <w:pStyle w:val="ParaLevel2"/>
      </w:pPr>
      <w:r>
        <w:t xml:space="preserve">More fundamentally, </w:t>
      </w:r>
      <w:r w:rsidR="00FD1EB5">
        <w:t xml:space="preserve">there is still the point that Schedule 7 does not mandate any rules for an independent expert’s determination of the dispute. </w:t>
      </w:r>
    </w:p>
    <w:p w14:paraId="2B56A9BA" w14:textId="0D9CF63F" w:rsidR="001D5D9F" w:rsidRDefault="00342148" w:rsidP="001846CE">
      <w:pPr>
        <w:pStyle w:val="ParaLevel1"/>
      </w:pPr>
      <w:r>
        <w:t>In conclusion</w:t>
      </w:r>
      <w:r w:rsidR="00AE7044">
        <w:t xml:space="preserve"> so far as the DRP is concerned, </w:t>
      </w:r>
      <w:r w:rsidR="00FA36C8">
        <w:t>w</w:t>
      </w:r>
      <w:r w:rsidR="00FB79CF">
        <w:t xml:space="preserve">hilst I </w:t>
      </w:r>
      <w:r w:rsidR="00FA36C8">
        <w:t xml:space="preserve">recognise </w:t>
      </w:r>
      <w:r w:rsidR="00FB79CF">
        <w:t>that the existence of the DRP is a factor that the Court must take into account,</w:t>
      </w:r>
      <w:r w:rsidR="00126A85">
        <w:t xml:space="preserve"> I do not, on the present facts, consider that it has the determinative consequences</w:t>
      </w:r>
      <w:r w:rsidR="00245135">
        <w:t xml:space="preserve"> that it did in</w:t>
      </w:r>
      <w:r w:rsidR="00126A85">
        <w:t xml:space="preserve"> </w:t>
      </w:r>
      <w:r w:rsidR="00126A85" w:rsidRPr="00126A85">
        <w:rPr>
          <w:i/>
          <w:iCs/>
        </w:rPr>
        <w:t xml:space="preserve">Taylor Wimpey UK Ltd v Harron Homes Ltd </w:t>
      </w:r>
      <w:r w:rsidR="00126A85" w:rsidRPr="00126A85">
        <w:t>(supra)</w:t>
      </w:r>
      <w:r w:rsidR="00245135">
        <w:t xml:space="preserve">, as </w:t>
      </w:r>
      <w:r w:rsidR="005346CE">
        <w:t xml:space="preserve">indeed </w:t>
      </w:r>
      <w:r w:rsidR="00245135">
        <w:t xml:space="preserve">I understand Mr Maynard-Connor KC </w:t>
      </w:r>
      <w:r w:rsidR="00245135">
        <w:lastRenderedPageBreak/>
        <w:t>to accept</w:t>
      </w:r>
      <w:r w:rsidR="00821B25">
        <w:t xml:space="preserve">, and </w:t>
      </w:r>
      <w:r w:rsidR="003130B1">
        <w:t xml:space="preserve">indeed </w:t>
      </w:r>
      <w:r w:rsidR="00821B25">
        <w:t xml:space="preserve">I do not consider that it weights significantly in the balance against ordering pre-action disclosure and my exercise of discretion in that respect. </w:t>
      </w:r>
      <w:r w:rsidR="00245135">
        <w:t xml:space="preserve"> </w:t>
      </w:r>
    </w:p>
    <w:p w14:paraId="26C3D799" w14:textId="72A1EB2C" w:rsidR="005C3E56" w:rsidRPr="005C3E56" w:rsidRDefault="005C3E56" w:rsidP="001846CE">
      <w:pPr>
        <w:pStyle w:val="ParaLevel1"/>
        <w:numPr>
          <w:ilvl w:val="0"/>
          <w:numId w:val="0"/>
        </w:numPr>
        <w:ind w:left="720" w:hanging="720"/>
        <w:rPr>
          <w:i/>
          <w:iCs/>
        </w:rPr>
      </w:pPr>
      <w:r>
        <w:rPr>
          <w:i/>
          <w:iCs/>
        </w:rPr>
        <w:t>Confidentiality</w:t>
      </w:r>
    </w:p>
    <w:p w14:paraId="3C32A4FF" w14:textId="6321CF4D" w:rsidR="00B90E5F" w:rsidRDefault="00267B77" w:rsidP="001846CE">
      <w:pPr>
        <w:pStyle w:val="ParaLevel1"/>
      </w:pPr>
      <w:r>
        <w:t xml:space="preserve">TfWM quite rightly expresses legitimate </w:t>
      </w:r>
      <w:r w:rsidR="00F02284">
        <w:t xml:space="preserve">potential </w:t>
      </w:r>
      <w:r>
        <w:t xml:space="preserve">concerns </w:t>
      </w:r>
      <w:r w:rsidR="00F02284">
        <w:t xml:space="preserve">at least </w:t>
      </w:r>
      <w:r>
        <w:t>about</w:t>
      </w:r>
      <w:r w:rsidR="001B633C">
        <w:t xml:space="preserve"> </w:t>
      </w:r>
      <w:r w:rsidR="00B7405C">
        <w:t xml:space="preserve">providing confidential information relating to other operators to Diamond. However, I am satisfied that </w:t>
      </w:r>
      <w:r w:rsidR="008F626E">
        <w:t xml:space="preserve">TfWM’s concerns are overstated in the light of the considerations identified by Mr Connolly </w:t>
      </w:r>
      <w:r w:rsidR="00820458">
        <w:t>as referred to in paragraph 4</w:t>
      </w:r>
      <w:r w:rsidR="003C74F2">
        <w:t>6</w:t>
      </w:r>
      <w:r w:rsidR="00820458">
        <w:t xml:space="preserve"> et </w:t>
      </w:r>
      <w:proofErr w:type="spellStart"/>
      <w:r w:rsidR="00820458">
        <w:t>seq</w:t>
      </w:r>
      <w:proofErr w:type="spellEnd"/>
      <w:r w:rsidR="00820458">
        <w:t xml:space="preserve"> above. </w:t>
      </w:r>
    </w:p>
    <w:p w14:paraId="0EC28BD9" w14:textId="77B4D677" w:rsidR="00615135" w:rsidRDefault="00B90E5F" w:rsidP="001846CE">
      <w:pPr>
        <w:pStyle w:val="ParaLevel1"/>
      </w:pPr>
      <w:r>
        <w:t xml:space="preserve">I have considerable doubts </w:t>
      </w:r>
      <w:r w:rsidR="001B633C">
        <w:t xml:space="preserve">as to </w:t>
      </w:r>
      <w:r>
        <w:t>whether</w:t>
      </w:r>
      <w:r w:rsidR="001B633C">
        <w:t xml:space="preserve">, in fact, </w:t>
      </w:r>
      <w:r>
        <w:t xml:space="preserve">there is </w:t>
      </w:r>
      <w:r w:rsidR="001B633C">
        <w:t xml:space="preserve">the </w:t>
      </w:r>
      <w:r>
        <w:t xml:space="preserve">scope for Diamond to obtain the collateral benefit suggested for the reasons given in Dunn 2, </w:t>
      </w:r>
      <w:r w:rsidR="00615135">
        <w:t xml:space="preserve">paragraph 17 (v). </w:t>
      </w:r>
      <w:r w:rsidR="0052534D">
        <w:t xml:space="preserve">However, </w:t>
      </w:r>
      <w:r w:rsidR="00615135">
        <w:t xml:space="preserve">even if that is not right: </w:t>
      </w:r>
    </w:p>
    <w:p w14:paraId="481D8AAB" w14:textId="1E7635C5" w:rsidR="00BD6CCC" w:rsidRDefault="00BD6CCC" w:rsidP="001846CE">
      <w:pPr>
        <w:pStyle w:val="ParaLevel2"/>
      </w:pPr>
      <w:r>
        <w:t xml:space="preserve">Firstly, </w:t>
      </w:r>
      <w:r w:rsidR="00615135">
        <w:t xml:space="preserve">I agree that there is something </w:t>
      </w:r>
      <w:r w:rsidR="007202AD">
        <w:t xml:space="preserve">of an inconsistency about TfWM expressing concern about confidentiality in the present context, yet being prepared, apparently, to provide </w:t>
      </w:r>
      <w:r w:rsidR="0052534D">
        <w:t xml:space="preserve">relevant </w:t>
      </w:r>
      <w:r w:rsidR="007202AD">
        <w:t>data for the purposes of an expert determination</w:t>
      </w:r>
      <w:r>
        <w:t>;</w:t>
      </w:r>
    </w:p>
    <w:p w14:paraId="659F7E80" w14:textId="77777777" w:rsidR="003318D3" w:rsidRDefault="00BD6CCC" w:rsidP="001846CE">
      <w:pPr>
        <w:pStyle w:val="ParaLevel2"/>
      </w:pPr>
      <w:r>
        <w:t>Secondly,</w:t>
      </w:r>
      <w:r w:rsidR="00812E00">
        <w:t xml:space="preserve"> there is no need for Diamond, itself, to have access to the data.</w:t>
      </w:r>
      <w:r w:rsidR="000906ED">
        <w:t xml:space="preserve"> All that is required is that</w:t>
      </w:r>
      <w:r w:rsidR="003A1487">
        <w:t xml:space="preserve"> Mr Meaney/Oxera, and possibly also Mr Latchford/Phi</w:t>
      </w:r>
      <w:r w:rsidR="00DD0991">
        <w:t>nancial and Diamond’s lawyers</w:t>
      </w:r>
      <w:r w:rsidR="00051929">
        <w:t>,</w:t>
      </w:r>
      <w:r w:rsidR="00DD0991">
        <w:t xml:space="preserve"> have access to the data so that</w:t>
      </w:r>
      <w:r w:rsidR="001D6FCF">
        <w:t xml:space="preserve"> what is hoped to be a robust </w:t>
      </w:r>
      <w:r w:rsidR="00111FF1">
        <w:t>Look-up</w:t>
      </w:r>
      <w:r w:rsidR="001D6FCF">
        <w:t xml:space="preserve"> table can be produced, and a</w:t>
      </w:r>
      <w:r w:rsidR="0092745F">
        <w:t xml:space="preserve"> </w:t>
      </w:r>
      <w:r w:rsidR="00EB3932">
        <w:t xml:space="preserve">Revenue </w:t>
      </w:r>
      <w:r w:rsidR="0092745F">
        <w:t>Forgone figure</w:t>
      </w:r>
      <w:r w:rsidR="00A519BB">
        <w:t xml:space="preserve"> </w:t>
      </w:r>
      <w:r w:rsidR="00EB3932">
        <w:t xml:space="preserve">arrived at </w:t>
      </w:r>
      <w:r w:rsidR="00A519BB">
        <w:t xml:space="preserve">therefrom. </w:t>
      </w:r>
      <w:r w:rsidR="000E0238">
        <w:t xml:space="preserve">It would be quite usual in a situation such as this for a </w:t>
      </w:r>
      <w:r w:rsidR="002E6E4B" w:rsidRPr="002E6E4B">
        <w:rPr>
          <w:i/>
          <w:iCs/>
        </w:rPr>
        <w:t>“</w:t>
      </w:r>
      <w:r w:rsidR="000E0238" w:rsidRPr="002E6E4B">
        <w:rPr>
          <w:i/>
          <w:iCs/>
        </w:rPr>
        <w:t>confidentiality club</w:t>
      </w:r>
      <w:r w:rsidR="002E6E4B" w:rsidRPr="002E6E4B">
        <w:rPr>
          <w:i/>
          <w:iCs/>
        </w:rPr>
        <w:t>”</w:t>
      </w:r>
      <w:r w:rsidR="000E0238">
        <w:t xml:space="preserve"> to be established</w:t>
      </w:r>
      <w:r w:rsidR="004924CD">
        <w:t xml:space="preserve"> which ought to safeguard against TfWM’s concerns.</w:t>
      </w:r>
      <w:r w:rsidR="003D7A63">
        <w:t xml:space="preserve"> </w:t>
      </w:r>
    </w:p>
    <w:p w14:paraId="78BC6187" w14:textId="569678A7" w:rsidR="00BD6CCC" w:rsidRDefault="003D7A63" w:rsidP="001846CE">
      <w:pPr>
        <w:pStyle w:val="ParaLevel1"/>
      </w:pPr>
      <w:r>
        <w:t xml:space="preserve">Mr Maynard-Connor KC raises a concern as to whether, in these circumstances, </w:t>
      </w:r>
      <w:r w:rsidR="007A51B8">
        <w:t xml:space="preserve">Diamond could sign off on Particulars of Claim that relied upon the data to be provided. However, I do not </w:t>
      </w:r>
      <w:r w:rsidR="00885F7C">
        <w:t>consider that there is a real issue here</w:t>
      </w:r>
      <w:r w:rsidR="0075584D">
        <w:t xml:space="preserve"> on the basis that the case would be based upon the figures derived </w:t>
      </w:r>
      <w:r w:rsidR="00D32325">
        <w:t xml:space="preserve">from the data as reported upon by Diamond’s </w:t>
      </w:r>
      <w:r w:rsidR="00523D04">
        <w:t>expert and advisors rather than the raw data behind it</w:t>
      </w:r>
      <w:r w:rsidR="003318D3">
        <w:t xml:space="preserve">, and in particular the confidential aspects of that data. </w:t>
      </w:r>
    </w:p>
    <w:p w14:paraId="2CB61312" w14:textId="3D827C4A" w:rsidR="006C1D74" w:rsidRDefault="00E07AF3" w:rsidP="001846CE">
      <w:pPr>
        <w:pStyle w:val="ParaLevel1"/>
      </w:pPr>
      <w:r>
        <w:t>In the circumstances,</w:t>
      </w:r>
      <w:r w:rsidR="00BB2DD1">
        <w:t xml:space="preserve"> I am not persuaded that questions of confidentiality mitigate against granting the pre-action disclosure sought, </w:t>
      </w:r>
      <w:r w:rsidR="008538B2">
        <w:t xml:space="preserve">or </w:t>
      </w:r>
      <w:r w:rsidR="004545ED">
        <w:t xml:space="preserve">that this is a factor that </w:t>
      </w:r>
      <w:r w:rsidR="00BB2DD1">
        <w:t xml:space="preserve">ought to weigh in the balance </w:t>
      </w:r>
      <w:r w:rsidR="00235325">
        <w:t xml:space="preserve">against </w:t>
      </w:r>
      <w:r w:rsidR="006C1D74">
        <w:t xml:space="preserve">making an order for pre-action disclosure. </w:t>
      </w:r>
    </w:p>
    <w:p w14:paraId="6D9FE5CC" w14:textId="25509C32" w:rsidR="006C1D74" w:rsidRPr="006C1D74" w:rsidRDefault="006C1D74" w:rsidP="001846CE">
      <w:pPr>
        <w:pStyle w:val="ParaLevel1"/>
        <w:numPr>
          <w:ilvl w:val="0"/>
          <w:numId w:val="0"/>
        </w:numPr>
        <w:ind w:left="720" w:hanging="720"/>
        <w:rPr>
          <w:i/>
          <w:iCs/>
        </w:rPr>
      </w:pPr>
      <w:r w:rsidRPr="006C1D74">
        <w:rPr>
          <w:i/>
          <w:iCs/>
        </w:rPr>
        <w:t>Delay</w:t>
      </w:r>
    </w:p>
    <w:p w14:paraId="01A46544" w14:textId="77777777" w:rsidR="005D6A29" w:rsidRDefault="00BA644F" w:rsidP="001846CE">
      <w:pPr>
        <w:pStyle w:val="ParaLevel1"/>
      </w:pPr>
      <w:r>
        <w:t xml:space="preserve">There has been significant delay on Diamond’s part in advancing its case. </w:t>
      </w:r>
      <w:r w:rsidR="0004122E">
        <w:t>Particular</w:t>
      </w:r>
      <w:r w:rsidR="00235325">
        <w:t>ly</w:t>
      </w:r>
      <w:r w:rsidR="0004122E">
        <w:t xml:space="preserve"> marked is the 14 month delay in Backhouse Jones responding to AG’s </w:t>
      </w:r>
      <w:r w:rsidR="0076701A">
        <w:t>letter dated 17 November 2021. TfWM quite legitimately asks</w:t>
      </w:r>
      <w:r w:rsidR="00E14F97">
        <w:t xml:space="preserve"> as to whether the</w:t>
      </w:r>
      <w:r w:rsidR="00CF75D1">
        <w:t xml:space="preserve"> disclosure of the documents sought can properly be said to be </w:t>
      </w:r>
      <w:r w:rsidR="00CF75D1" w:rsidRPr="00CF75D1">
        <w:rPr>
          <w:i/>
          <w:iCs/>
        </w:rPr>
        <w:t>“strictly necessary”</w:t>
      </w:r>
      <w:r w:rsidR="00CF75D1">
        <w:t xml:space="preserve"> if Diamond has been so tardy in seeking to obtain them.</w:t>
      </w:r>
      <w:r w:rsidR="00FA4EDF">
        <w:t xml:space="preserve"> </w:t>
      </w:r>
    </w:p>
    <w:p w14:paraId="63213D5C" w14:textId="736E0099" w:rsidR="00B9179E" w:rsidRDefault="00FA4EDF" w:rsidP="001846CE">
      <w:pPr>
        <w:pStyle w:val="ParaLevel1"/>
      </w:pPr>
      <w:r>
        <w:t>However, it is, in my judgment, necessary to have regard to the fact that Covid intervened</w:t>
      </w:r>
      <w:r w:rsidR="009902EF">
        <w:t xml:space="preserve"> </w:t>
      </w:r>
      <w:proofErr w:type="gramStart"/>
      <w:r w:rsidR="005D6A29">
        <w:t>during the course of</w:t>
      </w:r>
      <w:proofErr w:type="gramEnd"/>
      <w:r w:rsidR="005D6A29">
        <w:t xml:space="preserve"> the </w:t>
      </w:r>
      <w:r w:rsidR="009902EF">
        <w:t>present dispute with what I would have thought would have been significant consequences for the bus transport industry</w:t>
      </w:r>
      <w:r w:rsidR="001D6CF8">
        <w:t xml:space="preserve">. Further, Diamond, and its holding company, Rotala </w:t>
      </w:r>
      <w:r w:rsidR="00616B15">
        <w:t xml:space="preserve">Plc, </w:t>
      </w:r>
      <w:r w:rsidR="00CC7255">
        <w:t xml:space="preserve">have </w:t>
      </w:r>
      <w:r w:rsidR="004844CB">
        <w:t xml:space="preserve">more recently </w:t>
      </w:r>
      <w:r w:rsidR="00CC7255">
        <w:t xml:space="preserve">been involved in an appeal concerning the Arrangements, as well as significant litigation regarding bus </w:t>
      </w:r>
      <w:r w:rsidR="00CC7255">
        <w:lastRenderedPageBreak/>
        <w:t xml:space="preserve">routes in Manchester. </w:t>
      </w:r>
      <w:r w:rsidR="00D43BF3">
        <w:t>It has been explained</w:t>
      </w:r>
      <w:r w:rsidR="00774985">
        <w:t xml:space="preserve">, albeit not wholly </w:t>
      </w:r>
      <w:r w:rsidR="00007DBD">
        <w:t>satisfactorily,</w:t>
      </w:r>
      <w:r w:rsidR="00D43BF3">
        <w:t xml:space="preserve"> that this has been a distraction. </w:t>
      </w:r>
    </w:p>
    <w:p w14:paraId="62988E03" w14:textId="1F59591E" w:rsidR="0090631F" w:rsidRPr="0090631F" w:rsidRDefault="00B9179E" w:rsidP="001846CE">
      <w:pPr>
        <w:pStyle w:val="ParaLevel1"/>
      </w:pPr>
      <w:r>
        <w:t xml:space="preserve">In the circumstances, I do not read Diamond’s </w:t>
      </w:r>
      <w:r w:rsidR="00F311BA">
        <w:t>delays in progressing matters as be</w:t>
      </w:r>
      <w:r w:rsidR="007D60AF">
        <w:t xml:space="preserve">ing </w:t>
      </w:r>
      <w:r w:rsidR="00F311BA">
        <w:t xml:space="preserve">a recognition that disclosure is not </w:t>
      </w:r>
      <w:r w:rsidR="00F311BA" w:rsidRPr="00F311BA">
        <w:rPr>
          <w:i/>
          <w:iCs/>
        </w:rPr>
        <w:t xml:space="preserve">“strictly necessary” </w:t>
      </w:r>
      <w:r w:rsidR="00F311BA">
        <w:rPr>
          <w:iCs/>
        </w:rPr>
        <w:t xml:space="preserve">for the purposes for which it </w:t>
      </w:r>
      <w:r w:rsidR="0090631F">
        <w:rPr>
          <w:iCs/>
        </w:rPr>
        <w:t>is being sought, which have</w:t>
      </w:r>
      <w:r w:rsidR="002D35C1">
        <w:rPr>
          <w:iCs/>
        </w:rPr>
        <w:t>, I consider,</w:t>
      </w:r>
      <w:r w:rsidR="0090631F">
        <w:rPr>
          <w:iCs/>
        </w:rPr>
        <w:t xml:space="preserve"> been clearly explained in Diamond’s evidence and </w:t>
      </w:r>
      <w:proofErr w:type="gramStart"/>
      <w:r w:rsidR="0090631F">
        <w:rPr>
          <w:iCs/>
        </w:rPr>
        <w:t>in the course of</w:t>
      </w:r>
      <w:proofErr w:type="gramEnd"/>
      <w:r w:rsidR="0090631F">
        <w:rPr>
          <w:iCs/>
        </w:rPr>
        <w:t xml:space="preserve"> submissions. </w:t>
      </w:r>
    </w:p>
    <w:p w14:paraId="4DA48533" w14:textId="77777777" w:rsidR="009D2FA3" w:rsidRDefault="0090631F" w:rsidP="001846CE">
      <w:pPr>
        <w:pStyle w:val="ParaLevel1"/>
      </w:pPr>
      <w:r>
        <w:t xml:space="preserve">Consequently, </w:t>
      </w:r>
      <w:r w:rsidR="004A6CA3">
        <w:t xml:space="preserve">I do not consider that the delay is a significant discretionary factor that ought to weigh against granting the relief that is sought. </w:t>
      </w:r>
    </w:p>
    <w:p w14:paraId="264FFBC9" w14:textId="1A143FF3" w:rsidR="009D2FA3" w:rsidRPr="009D2FA3" w:rsidRDefault="009D2FA3" w:rsidP="001846CE">
      <w:pPr>
        <w:pStyle w:val="ParaLevel1"/>
        <w:numPr>
          <w:ilvl w:val="0"/>
          <w:numId w:val="0"/>
        </w:numPr>
        <w:rPr>
          <w:i/>
          <w:iCs/>
        </w:rPr>
      </w:pPr>
      <w:r>
        <w:rPr>
          <w:i/>
          <w:iCs/>
        </w:rPr>
        <w:t>The Subject Documents</w:t>
      </w:r>
    </w:p>
    <w:p w14:paraId="26E47463" w14:textId="77777777" w:rsidR="00E16FA9" w:rsidRDefault="005E6AC0" w:rsidP="001846CE">
      <w:pPr>
        <w:pStyle w:val="ParaLevel1"/>
      </w:pPr>
      <w:r>
        <w:t xml:space="preserve">TfWM maintains that Diamond has failed properly to justify </w:t>
      </w:r>
      <w:r w:rsidR="00AE4DD9">
        <w:t xml:space="preserve">its application in respect of each of the classes of documents sought, and this is said to be a serious failing </w:t>
      </w:r>
      <w:r w:rsidR="00E16FA9">
        <w:t xml:space="preserve">having regard to the fact that it is incumbent upon Diamond to demonstrate that the data/documents sought is/are </w:t>
      </w:r>
      <w:r w:rsidR="00E16FA9" w:rsidRPr="00E16FA9">
        <w:rPr>
          <w:i/>
          <w:iCs/>
        </w:rPr>
        <w:t>“strictly necessary”</w:t>
      </w:r>
      <w:r w:rsidR="00E16FA9">
        <w:t xml:space="preserve">. </w:t>
      </w:r>
    </w:p>
    <w:p w14:paraId="35F91CBB" w14:textId="51E6EC76" w:rsidR="00F25226" w:rsidRDefault="00F526C8" w:rsidP="001846CE">
      <w:pPr>
        <w:pStyle w:val="ParaLevel1"/>
      </w:pPr>
      <w:r>
        <w:t xml:space="preserve">I regard it as unfortunate that there is no evidence from Mr Meaney </w:t>
      </w:r>
      <w:r w:rsidR="00DC3EF5">
        <w:t xml:space="preserve">explaining, as expert, the classes of documents in respect of which disclosure is sought. </w:t>
      </w:r>
      <w:r w:rsidR="00462EDC">
        <w:t xml:space="preserve">However, </w:t>
      </w:r>
      <w:r w:rsidR="00294BB8">
        <w:t xml:space="preserve">Mr Dunn has provided a </w:t>
      </w:r>
      <w:proofErr w:type="gramStart"/>
      <w:r w:rsidR="00294BB8">
        <w:t>fairly cogent</w:t>
      </w:r>
      <w:proofErr w:type="gramEnd"/>
      <w:r w:rsidR="00294BB8">
        <w:t xml:space="preserve"> explanation in Dunn 1, paragraphs </w:t>
      </w:r>
      <w:r w:rsidR="00B205D7">
        <w:t>31 and 32</w:t>
      </w:r>
      <w:r w:rsidR="00162C46">
        <w:t>, with regard to what is sought</w:t>
      </w:r>
      <w:r w:rsidR="00223E53">
        <w:t xml:space="preserve">. </w:t>
      </w:r>
      <w:r w:rsidR="001441F1">
        <w:t xml:space="preserve">TfWM clearly understands </w:t>
      </w:r>
      <w:r w:rsidR="00BA26ED">
        <w:t xml:space="preserve">what is sought, </w:t>
      </w:r>
      <w:r w:rsidR="00162C46">
        <w:t xml:space="preserve">in that </w:t>
      </w:r>
      <w:r w:rsidR="006C06DC">
        <w:t xml:space="preserve">Mr Lewis, in paragraph 47 </w:t>
      </w:r>
      <w:r w:rsidR="001479F3">
        <w:t xml:space="preserve">of his witness statement, acknowledges that TfWM would be able to provide the data within a reasonable </w:t>
      </w:r>
      <w:proofErr w:type="gramStart"/>
      <w:r w:rsidR="001479F3">
        <w:t>period of time</w:t>
      </w:r>
      <w:proofErr w:type="gramEnd"/>
      <w:r w:rsidR="001479F3">
        <w:t xml:space="preserve">. </w:t>
      </w:r>
      <w:r w:rsidR="004612B8">
        <w:t xml:space="preserve">Further, TfWM </w:t>
      </w:r>
      <w:r w:rsidR="00073EB3">
        <w:t xml:space="preserve">does not, as I read Mr Lewis’s witness statement, seek to suggest that the data sought goes beyond what is reasonably required </w:t>
      </w:r>
      <w:proofErr w:type="gramStart"/>
      <w:r w:rsidR="00073EB3">
        <w:t>in order to</w:t>
      </w:r>
      <w:proofErr w:type="gramEnd"/>
      <w:r w:rsidR="00073EB3">
        <w:t xml:space="preserve"> </w:t>
      </w:r>
      <w:r w:rsidR="00C9784A">
        <w:t xml:space="preserve">address </w:t>
      </w:r>
      <w:r w:rsidR="00476F6F">
        <w:t>the Cross-</w:t>
      </w:r>
      <w:r w:rsidR="00C9784A">
        <w:t>Operator Issue.</w:t>
      </w:r>
    </w:p>
    <w:p w14:paraId="77E79685" w14:textId="568BEDC5" w:rsidR="00E37E9A" w:rsidRDefault="00F25226" w:rsidP="001846CE">
      <w:pPr>
        <w:pStyle w:val="ParaLevel1"/>
      </w:pPr>
      <w:r>
        <w:t>Further, as I read</w:t>
      </w:r>
      <w:r w:rsidR="006C1BF1">
        <w:t xml:space="preserve"> sub-paragraphs 1(a) to (d) </w:t>
      </w:r>
      <w:r w:rsidR="00617CCC">
        <w:t xml:space="preserve">of Diamond’s draft Order setting out the </w:t>
      </w:r>
      <w:r w:rsidR="00617CCC" w:rsidRPr="00617CCC">
        <w:rPr>
          <w:i/>
          <w:iCs/>
        </w:rPr>
        <w:t>“classes of documents”</w:t>
      </w:r>
      <w:r w:rsidR="00617CCC">
        <w:t xml:space="preserve"> in respect of which disclosure is sought,</w:t>
      </w:r>
      <w:r w:rsidR="006513C8">
        <w:t xml:space="preserve"> </w:t>
      </w:r>
      <w:r w:rsidR="007F3C9C">
        <w:t xml:space="preserve">it does not identify </w:t>
      </w:r>
      <w:r w:rsidR="008F64DD">
        <w:t>separate classes of documents</w:t>
      </w:r>
      <w:r w:rsidR="001B7AC4">
        <w:t xml:space="preserve"> in the usual sense</w:t>
      </w:r>
      <w:r w:rsidR="008F64DD">
        <w:t xml:space="preserve">. Rather, </w:t>
      </w:r>
      <w:r w:rsidR="001B7AC4">
        <w:t xml:space="preserve">as I read it, </w:t>
      </w:r>
      <w:r w:rsidR="008F64DD">
        <w:t xml:space="preserve">paragraph 1(c) </w:t>
      </w:r>
      <w:r w:rsidR="009139A0">
        <w:t xml:space="preserve">sets out the data required, and the other sub-paragraphs set out the parameters </w:t>
      </w:r>
      <w:r w:rsidR="00E37E9A">
        <w:t xml:space="preserve">and scope </w:t>
      </w:r>
      <w:r w:rsidR="005D265F">
        <w:t xml:space="preserve">thereof. </w:t>
      </w:r>
    </w:p>
    <w:p w14:paraId="7C555521" w14:textId="06D260F1" w:rsidR="00563499" w:rsidRDefault="00E01FA6" w:rsidP="001846CE">
      <w:pPr>
        <w:pStyle w:val="ParaLevel1"/>
      </w:pPr>
      <w:r>
        <w:t>If</w:t>
      </w:r>
      <w:r w:rsidR="00E8493D">
        <w:t xml:space="preserve"> TfWM were able to suggest</w:t>
      </w:r>
      <w:r w:rsidR="002F5F8C">
        <w:t>, which it has not to date done</w:t>
      </w:r>
      <w:r w:rsidR="00CD350C">
        <w:t>,</w:t>
      </w:r>
      <w:r w:rsidR="00E8493D">
        <w:t xml:space="preserve"> more limited parameters and scope</w:t>
      </w:r>
      <w:r w:rsidR="003B1E86">
        <w:t xml:space="preserve"> </w:t>
      </w:r>
      <w:r w:rsidR="00CD350C">
        <w:t xml:space="preserve">to the data to be provided </w:t>
      </w:r>
      <w:r w:rsidR="003B1E86">
        <w:t>that still enable</w:t>
      </w:r>
      <w:r w:rsidR="002F5F8C">
        <w:t>s</w:t>
      </w:r>
      <w:r w:rsidR="003B1E86">
        <w:t xml:space="preserve"> the Cross-Operator issue to be addressed</w:t>
      </w:r>
      <w:r w:rsidR="00EC242B">
        <w:t xml:space="preserve"> </w:t>
      </w:r>
      <w:r w:rsidR="00CD350C">
        <w:t xml:space="preserve">and </w:t>
      </w:r>
      <w:r w:rsidR="00F9578F">
        <w:t>a</w:t>
      </w:r>
      <w:r w:rsidR="00EC242B">
        <w:t xml:space="preserve"> </w:t>
      </w:r>
      <w:r w:rsidR="00F9578F">
        <w:t xml:space="preserve">more </w:t>
      </w:r>
      <w:r w:rsidR="00EC242B">
        <w:t xml:space="preserve">robust Look-up table </w:t>
      </w:r>
      <w:r w:rsidR="002A34CA">
        <w:t xml:space="preserve">to be prepared, </w:t>
      </w:r>
      <w:r w:rsidR="002D355F">
        <w:t xml:space="preserve">then the Court could always </w:t>
      </w:r>
      <w:proofErr w:type="gramStart"/>
      <w:r w:rsidR="002D355F">
        <w:t>give consideration to</w:t>
      </w:r>
      <w:proofErr w:type="gramEnd"/>
      <w:r w:rsidR="002D355F">
        <w:t xml:space="preserve"> a</w:t>
      </w:r>
      <w:r w:rsidR="002A34CA">
        <w:t>n O</w:t>
      </w:r>
      <w:r w:rsidR="002D355F">
        <w:t>rder</w:t>
      </w:r>
      <w:r w:rsidR="002A34CA">
        <w:t xml:space="preserve"> </w:t>
      </w:r>
      <w:r w:rsidR="007F24AC">
        <w:t xml:space="preserve">of more limited scope, or differently expressed, when it comes to </w:t>
      </w:r>
      <w:r w:rsidR="00C638E0">
        <w:t xml:space="preserve">finalise the terms of the Order. </w:t>
      </w:r>
    </w:p>
    <w:p w14:paraId="21B946C2" w14:textId="61C2B1D1" w:rsidR="00563499" w:rsidRDefault="00563499" w:rsidP="001846CE">
      <w:pPr>
        <w:pStyle w:val="ParaLevel1"/>
      </w:pPr>
      <w:r>
        <w:t xml:space="preserve">However, </w:t>
      </w:r>
      <w:r w:rsidR="006217D3">
        <w:t xml:space="preserve">I am not </w:t>
      </w:r>
      <w:r w:rsidR="00F9578F">
        <w:t xml:space="preserve">presently </w:t>
      </w:r>
      <w:r w:rsidR="006217D3">
        <w:t>persuaded that the draft Order is too widely drawn</w:t>
      </w:r>
      <w:r w:rsidR="008F1CEF">
        <w:t>, or that Diamond has failed to justify</w:t>
      </w:r>
      <w:r w:rsidR="00643658">
        <w:t xml:space="preserve"> its entitlement to the same as </w:t>
      </w:r>
      <w:r w:rsidR="00643658" w:rsidRPr="001D6223">
        <w:rPr>
          <w:i/>
          <w:iCs/>
        </w:rPr>
        <w:t>“strictly necessary”</w:t>
      </w:r>
      <w:r w:rsidR="001D6223">
        <w:rPr>
          <w:i/>
          <w:iCs/>
        </w:rPr>
        <w:t xml:space="preserve"> </w:t>
      </w:r>
      <w:r w:rsidR="000D61D9" w:rsidRPr="0019477A">
        <w:t>for the purposes for which it seeks pre-action disclosure</w:t>
      </w:r>
      <w:r w:rsidR="0019477A" w:rsidRPr="0019477A">
        <w:t xml:space="preserve"> as explained in Dunn </w:t>
      </w:r>
      <w:r w:rsidR="0019477A">
        <w:t>1</w:t>
      </w:r>
      <w:r w:rsidR="0019477A" w:rsidRPr="0019477A">
        <w:t>, paragraph 31 et seq.</w:t>
      </w:r>
    </w:p>
    <w:p w14:paraId="1085338D" w14:textId="5B433977" w:rsidR="009457A0" w:rsidRDefault="00210720" w:rsidP="001846CE">
      <w:pPr>
        <w:pStyle w:val="ParaLevel1"/>
      </w:pPr>
      <w:r>
        <w:t xml:space="preserve">Consequently, I do not consider that </w:t>
      </w:r>
      <w:r w:rsidR="001A681E">
        <w:t xml:space="preserve">there is the </w:t>
      </w:r>
      <w:r w:rsidR="00894CA8">
        <w:t xml:space="preserve">failing of the kind contended by TfWM that ought to weigh in the balance against granting the pre-action disclosure sought. </w:t>
      </w:r>
    </w:p>
    <w:p w14:paraId="036C4563" w14:textId="77777777" w:rsidR="001E6E8D" w:rsidRDefault="001E6E8D" w:rsidP="001846CE">
      <w:pPr>
        <w:pStyle w:val="ParaLevel1"/>
        <w:numPr>
          <w:ilvl w:val="0"/>
          <w:numId w:val="0"/>
        </w:numPr>
        <w:ind w:left="720" w:hanging="720"/>
        <w:rPr>
          <w:i/>
          <w:iCs/>
        </w:rPr>
      </w:pPr>
    </w:p>
    <w:p w14:paraId="24D7CDAE" w14:textId="77777777" w:rsidR="001E6E8D" w:rsidRDefault="001E6E8D" w:rsidP="001846CE">
      <w:pPr>
        <w:pStyle w:val="ParaLevel1"/>
        <w:numPr>
          <w:ilvl w:val="0"/>
          <w:numId w:val="0"/>
        </w:numPr>
        <w:ind w:left="720" w:hanging="720"/>
        <w:rPr>
          <w:i/>
          <w:iCs/>
        </w:rPr>
      </w:pPr>
    </w:p>
    <w:p w14:paraId="1C7CC26E" w14:textId="6BAE9D5C" w:rsidR="00C76D16" w:rsidRPr="00C76D16" w:rsidRDefault="00C76D16" w:rsidP="001846CE">
      <w:pPr>
        <w:pStyle w:val="ParaLevel1"/>
        <w:numPr>
          <w:ilvl w:val="0"/>
          <w:numId w:val="0"/>
        </w:numPr>
        <w:ind w:left="720" w:hanging="720"/>
        <w:rPr>
          <w:i/>
          <w:iCs/>
        </w:rPr>
      </w:pPr>
      <w:r w:rsidRPr="00C76D16">
        <w:rPr>
          <w:i/>
          <w:iCs/>
        </w:rPr>
        <w:lastRenderedPageBreak/>
        <w:t>Merits</w:t>
      </w:r>
    </w:p>
    <w:p w14:paraId="5609AA41" w14:textId="77777777" w:rsidR="00153192" w:rsidRDefault="00EF0ADE" w:rsidP="001846CE">
      <w:pPr>
        <w:pStyle w:val="ParaLevel1"/>
      </w:pPr>
      <w:r>
        <w:t xml:space="preserve">I do not consider that the points taken by TfWM </w:t>
      </w:r>
      <w:r w:rsidR="00105F61">
        <w:t xml:space="preserve">in respect of the merits are good ones. </w:t>
      </w:r>
    </w:p>
    <w:p w14:paraId="43A3029F" w14:textId="11EBB737" w:rsidR="00435203" w:rsidRDefault="00105F61" w:rsidP="001846CE">
      <w:pPr>
        <w:pStyle w:val="ParaLevel1"/>
      </w:pPr>
      <w:r>
        <w:t>I agree that</w:t>
      </w:r>
      <w:r w:rsidR="004463D7">
        <w:t xml:space="preserve"> this is not a case where the Court can proceed on an assumption that the Fares For</w:t>
      </w:r>
      <w:r w:rsidR="008538B2">
        <w:t>e</w:t>
      </w:r>
      <w:r w:rsidR="004463D7">
        <w:t>gone Claim is clearly meritorious.</w:t>
      </w:r>
      <w:r w:rsidR="00153192">
        <w:t xml:space="preserve"> However, Diamond has, in my judgment, advanced what might</w:t>
      </w:r>
      <w:r w:rsidR="008C27D5">
        <w:t xml:space="preserve"> </w:t>
      </w:r>
      <w:r w:rsidR="00032203">
        <w:t xml:space="preserve">fairly </w:t>
      </w:r>
      <w:proofErr w:type="gramStart"/>
      <w:r w:rsidR="00356332">
        <w:t xml:space="preserve">be </w:t>
      </w:r>
      <w:r w:rsidR="008C27D5">
        <w:t>considered to be</w:t>
      </w:r>
      <w:proofErr w:type="gramEnd"/>
      <w:r w:rsidR="008C27D5">
        <w:t xml:space="preserve"> cogent reasons as to why a </w:t>
      </w:r>
      <w:r w:rsidR="00356332">
        <w:t xml:space="preserve">Revenue </w:t>
      </w:r>
      <w:r w:rsidR="008C27D5">
        <w:t>For</w:t>
      </w:r>
      <w:r w:rsidR="008538B2">
        <w:t>e</w:t>
      </w:r>
      <w:r w:rsidR="008C27D5">
        <w:t xml:space="preserve">gone figure based upon </w:t>
      </w:r>
      <w:r w:rsidR="001B3CB1">
        <w:t>statistics relating to all</w:t>
      </w:r>
      <w:r w:rsidR="00EE42BE">
        <w:t xml:space="preserve"> bus operators in the Principal Area might well be skewed against</w:t>
      </w:r>
      <w:r w:rsidR="00F61C6D">
        <w:t xml:space="preserve"> Diamond because of the predominance of National Express (</w:t>
      </w:r>
      <w:r w:rsidR="00BD4E5C">
        <w:t>9</w:t>
      </w:r>
      <w:r w:rsidR="00F61C6D">
        <w:t>0%)</w:t>
      </w:r>
      <w:r w:rsidR="006C631D">
        <w:t xml:space="preserve"> </w:t>
      </w:r>
      <w:r w:rsidR="0082595E">
        <w:t xml:space="preserve">in the </w:t>
      </w:r>
      <w:r w:rsidR="006C631D">
        <w:t xml:space="preserve">constituency from which the </w:t>
      </w:r>
      <w:r w:rsidR="0082595E">
        <w:t xml:space="preserve">relevant </w:t>
      </w:r>
      <w:r w:rsidR="006C631D">
        <w:t>average</w:t>
      </w:r>
      <w:r w:rsidR="0082595E">
        <w:t xml:space="preserve">s are arrived at. </w:t>
      </w:r>
      <w:r w:rsidR="00274FCE">
        <w:t xml:space="preserve">Further, Diamond has demonstrated that any such skewing might well serve to mean that the </w:t>
      </w:r>
      <w:r w:rsidR="006963BA">
        <w:t xml:space="preserve">fundamental </w:t>
      </w:r>
      <w:r w:rsidR="006963BA" w:rsidRPr="009B74EB">
        <w:rPr>
          <w:i/>
          <w:iCs/>
        </w:rPr>
        <w:t>“</w:t>
      </w:r>
      <w:r w:rsidR="009B74EB" w:rsidRPr="009B74EB">
        <w:rPr>
          <w:i/>
          <w:iCs/>
        </w:rPr>
        <w:t xml:space="preserve">no better, no worse” </w:t>
      </w:r>
      <w:r w:rsidR="009B74EB">
        <w:t xml:space="preserve">objectives </w:t>
      </w:r>
      <w:r w:rsidR="00601850">
        <w:t xml:space="preserve">are </w:t>
      </w:r>
      <w:r w:rsidR="009B74EB">
        <w:t xml:space="preserve">not achieved by </w:t>
      </w:r>
      <w:proofErr w:type="spellStart"/>
      <w:r w:rsidR="00E06750">
        <w:t>TfWM’s</w:t>
      </w:r>
      <w:proofErr w:type="spellEnd"/>
      <w:r w:rsidR="00E06750">
        <w:t xml:space="preserve"> </w:t>
      </w:r>
      <w:r w:rsidR="00601850">
        <w:t xml:space="preserve">Revenue </w:t>
      </w:r>
      <w:r w:rsidR="00E06750">
        <w:t>For</w:t>
      </w:r>
      <w:r w:rsidR="008538B2">
        <w:t>e</w:t>
      </w:r>
      <w:r w:rsidR="00E06750">
        <w:t xml:space="preserve">gone figures. </w:t>
      </w:r>
      <w:r w:rsidR="009E1D3F">
        <w:t xml:space="preserve">Consequently, there may well, as I see it, </w:t>
      </w:r>
      <w:r w:rsidR="00435203">
        <w:t xml:space="preserve">be merit in Diamond’s claim. </w:t>
      </w:r>
    </w:p>
    <w:p w14:paraId="458CBFEA" w14:textId="7A18157C" w:rsidR="00435203" w:rsidRDefault="00435203" w:rsidP="001846CE">
      <w:pPr>
        <w:pStyle w:val="ParaLevel1"/>
      </w:pPr>
      <w:r>
        <w:t xml:space="preserve">However, </w:t>
      </w:r>
      <w:r w:rsidR="000E2F42">
        <w:t>in no way inconsistent with the above, Diamond recognises that its own analysis may be undermined by</w:t>
      </w:r>
      <w:r w:rsidR="00614817">
        <w:t xml:space="preserve"> data relating to </w:t>
      </w:r>
      <w:r w:rsidR="009B488D">
        <w:t>the Cross-Operator issue</w:t>
      </w:r>
      <w:r w:rsidR="00BE0AED">
        <w:t xml:space="preserve">. </w:t>
      </w:r>
      <w:r w:rsidR="008D36F0">
        <w:t xml:space="preserve">If there is a </w:t>
      </w:r>
      <w:r w:rsidR="00BE0AED">
        <w:t xml:space="preserve">real </w:t>
      </w:r>
      <w:r w:rsidR="008D36F0">
        <w:t>prospect</w:t>
      </w:r>
      <w:r w:rsidR="00C20084">
        <w:t>, as I consider that there is,</w:t>
      </w:r>
      <w:r w:rsidR="008D36F0">
        <w:t xml:space="preserve"> of</w:t>
      </w:r>
      <w:r w:rsidR="00E40679">
        <w:t xml:space="preserve"> the data sought </w:t>
      </w:r>
      <w:r w:rsidR="00C20084">
        <w:t xml:space="preserve">by the Application addressing the </w:t>
      </w:r>
      <w:r w:rsidR="005B4D12">
        <w:t xml:space="preserve">impact of the Cross-Operator issue </w:t>
      </w:r>
      <w:r w:rsidR="00817F7A">
        <w:t>on Diamond’s Look-up table</w:t>
      </w:r>
      <w:r w:rsidR="00913435">
        <w:t xml:space="preserve">, </w:t>
      </w:r>
      <w:r w:rsidR="00E40679">
        <w:t>then</w:t>
      </w:r>
      <w:r w:rsidR="00430856">
        <w:t xml:space="preserve"> there is, as I see it, merit in there being disclosure thereof at this stage</w:t>
      </w:r>
      <w:r w:rsidR="00374F5D">
        <w:t xml:space="preserve"> even though it might </w:t>
      </w:r>
      <w:r w:rsidR="003D0965">
        <w:t xml:space="preserve">serve to </w:t>
      </w:r>
      <w:r w:rsidR="00374F5D">
        <w:t>undermine the merits of Diamond’s case</w:t>
      </w:r>
      <w:r w:rsidR="00425077">
        <w:t xml:space="preserve"> </w:t>
      </w:r>
      <w:r w:rsidR="0041138F">
        <w:t>because there is a real prospect</w:t>
      </w:r>
      <w:r w:rsidR="00425077">
        <w:t xml:space="preserve">, in that </w:t>
      </w:r>
      <w:r w:rsidR="00913435">
        <w:t>scenario</w:t>
      </w:r>
      <w:r w:rsidR="00425077">
        <w:t>, of it assisting the dispute to be resolved without proceedings, and/or saving costs.</w:t>
      </w:r>
      <w:r>
        <w:t xml:space="preserve"> </w:t>
      </w:r>
    </w:p>
    <w:p w14:paraId="72ABA9E4" w14:textId="31DB1194" w:rsidR="00056035" w:rsidRDefault="002B3C4A" w:rsidP="001846CE">
      <w:pPr>
        <w:pStyle w:val="ParaLevel1"/>
      </w:pPr>
      <w:r>
        <w:t xml:space="preserve">In the circumstances, I do not consider that considerations as to the merits </w:t>
      </w:r>
      <w:r w:rsidR="0080293B">
        <w:t>of the Fares For</w:t>
      </w:r>
      <w:r w:rsidR="008538B2">
        <w:t>e</w:t>
      </w:r>
      <w:r w:rsidR="0080293B">
        <w:t xml:space="preserve">gone Claim undermine </w:t>
      </w:r>
      <w:r w:rsidR="000256F4">
        <w:t xml:space="preserve">the case </w:t>
      </w:r>
      <w:r w:rsidR="00DE4FC9">
        <w:t xml:space="preserve">for pre-action disclosure. </w:t>
      </w:r>
      <w:r w:rsidR="00F112BF">
        <w:t>Indeed, I consider the</w:t>
      </w:r>
      <w:r w:rsidR="003D0965">
        <w:t xml:space="preserve">se considerations </w:t>
      </w:r>
      <w:r w:rsidR="00F112BF">
        <w:t>provide</w:t>
      </w:r>
      <w:r w:rsidR="00A96325">
        <w:t xml:space="preserve"> compelling reason for </w:t>
      </w:r>
      <w:r w:rsidR="00056035">
        <w:t xml:space="preserve">ordering </w:t>
      </w:r>
      <w:r w:rsidR="00A96325">
        <w:t xml:space="preserve">pre-action disclosure </w:t>
      </w:r>
      <w:r w:rsidR="00056035">
        <w:t>so that the mer</w:t>
      </w:r>
      <w:r w:rsidR="00A96325">
        <w:t>its of the Fares For</w:t>
      </w:r>
      <w:r w:rsidR="008538B2">
        <w:t>e</w:t>
      </w:r>
      <w:r w:rsidR="00A96325">
        <w:t>gone Claim</w:t>
      </w:r>
      <w:r w:rsidR="00847E69">
        <w:t xml:space="preserve"> can be tested with the benefit of data that</w:t>
      </w:r>
      <w:r w:rsidR="006752F6">
        <w:t xml:space="preserve"> Diamond does not </w:t>
      </w:r>
      <w:r w:rsidR="00056035">
        <w:t xml:space="preserve">presently </w:t>
      </w:r>
      <w:r w:rsidR="006752F6">
        <w:t xml:space="preserve">have access to. </w:t>
      </w:r>
    </w:p>
    <w:p w14:paraId="0F22D9AA" w14:textId="762FD8AE" w:rsidR="00E060F6" w:rsidRDefault="006752F6" w:rsidP="001846CE">
      <w:pPr>
        <w:pStyle w:val="ParaLevel1"/>
      </w:pPr>
      <w:r>
        <w:t>There is, I consider, a real prospect that th</w:t>
      </w:r>
      <w:r w:rsidR="00056035">
        <w:t xml:space="preserve">is </w:t>
      </w:r>
      <w:r>
        <w:t>will</w:t>
      </w:r>
      <w:r w:rsidR="00430A3C">
        <w:t xml:space="preserve"> serve to assist in resolving the dispute without proceedings, and </w:t>
      </w:r>
      <w:r w:rsidR="00EF5CE2">
        <w:t xml:space="preserve">in </w:t>
      </w:r>
      <w:r w:rsidR="00430A3C">
        <w:t xml:space="preserve">saving costs, and that </w:t>
      </w:r>
      <w:r w:rsidR="00EF5CE2">
        <w:t xml:space="preserve">even </w:t>
      </w:r>
      <w:r w:rsidR="00430A3C">
        <w:t>if it does not,</w:t>
      </w:r>
      <w:r w:rsidR="009557C6">
        <w:t xml:space="preserve"> </w:t>
      </w:r>
      <w:r w:rsidR="008B567A">
        <w:t xml:space="preserve">that there is a real prospect that it </w:t>
      </w:r>
      <w:r w:rsidR="009557C6">
        <w:t xml:space="preserve">will assist Diamond in formulating a more focused claim once </w:t>
      </w:r>
      <w:r w:rsidR="008B567A">
        <w:t>it has</w:t>
      </w:r>
      <w:r w:rsidR="009557C6">
        <w:t xml:space="preserve"> been put on an equal footing with TfWM </w:t>
      </w:r>
      <w:r w:rsidR="000A2E06">
        <w:t>in respect of the relevant data</w:t>
      </w:r>
      <w:r w:rsidR="00A607D1">
        <w:t xml:space="preserve"> and thus assist in disposing fairly of the anticipated proceedings</w:t>
      </w:r>
      <w:r w:rsidR="000A2E06">
        <w:t>.</w:t>
      </w:r>
    </w:p>
    <w:p w14:paraId="701BABEB" w14:textId="6DCE2758" w:rsidR="00905088" w:rsidRDefault="00905088" w:rsidP="001846CE">
      <w:pPr>
        <w:pStyle w:val="ParaLevel1"/>
      </w:pPr>
      <w:r>
        <w:t xml:space="preserve">I can see </w:t>
      </w:r>
      <w:r w:rsidR="00A607D1">
        <w:t xml:space="preserve">some </w:t>
      </w:r>
      <w:r>
        <w:t xml:space="preserve">analogies with </w:t>
      </w:r>
      <w:r w:rsidR="0087745A">
        <w:t xml:space="preserve">certain </w:t>
      </w:r>
      <w:r>
        <w:t>types of medical negligence claim where</w:t>
      </w:r>
      <w:r w:rsidR="00F169D0">
        <w:t xml:space="preserve"> orders for pre-action disclosure are by no means uncommon, where </w:t>
      </w:r>
      <w:r w:rsidR="0087745A">
        <w:t xml:space="preserve">there is </w:t>
      </w:r>
      <w:r w:rsidR="00F169D0">
        <w:t>documentation</w:t>
      </w:r>
      <w:r w:rsidR="00936EE5">
        <w:t xml:space="preserve"> in the possession of the hospital or medical practitioner</w:t>
      </w:r>
      <w:r w:rsidR="00AF40F9">
        <w:t xml:space="preserve"> </w:t>
      </w:r>
      <w:r w:rsidR="0087745A">
        <w:t xml:space="preserve">that </w:t>
      </w:r>
      <w:r w:rsidR="00AF40F9">
        <w:t>provides the key to the merits</w:t>
      </w:r>
      <w:r w:rsidR="0087745A">
        <w:t xml:space="preserve"> and the </w:t>
      </w:r>
      <w:r w:rsidR="00AF40F9">
        <w:t>formulation of the claim.</w:t>
      </w:r>
    </w:p>
    <w:p w14:paraId="6DC9AF37" w14:textId="01C81E15" w:rsidR="00A32BDB" w:rsidRPr="00A32BDB" w:rsidRDefault="00A32BDB" w:rsidP="001846CE">
      <w:pPr>
        <w:pStyle w:val="ParaLevel1"/>
        <w:numPr>
          <w:ilvl w:val="0"/>
          <w:numId w:val="0"/>
        </w:numPr>
        <w:ind w:left="720" w:hanging="720"/>
        <w:rPr>
          <w:b/>
          <w:bCs/>
          <w:u w:val="single"/>
        </w:rPr>
      </w:pPr>
      <w:bookmarkStart w:id="24" w:name="J"/>
      <w:r>
        <w:rPr>
          <w:b/>
          <w:bCs/>
          <w:u w:val="single"/>
        </w:rPr>
        <w:t>Overall</w:t>
      </w:r>
      <w:r w:rsidR="00810BCF">
        <w:rPr>
          <w:b/>
          <w:bCs/>
          <w:u w:val="single"/>
        </w:rPr>
        <w:t xml:space="preserve"> conclusion</w:t>
      </w:r>
    </w:p>
    <w:bookmarkEnd w:id="24"/>
    <w:p w14:paraId="684609E8" w14:textId="64812245" w:rsidR="00A32BDB" w:rsidRDefault="000A2E06" w:rsidP="001846CE">
      <w:pPr>
        <w:pStyle w:val="ParaLevel1"/>
      </w:pPr>
      <w:r>
        <w:t>I am satisfied that the jurisdictional threshold under CPR 31.16(3)</w:t>
      </w:r>
      <w:r w:rsidR="00E75954">
        <w:t xml:space="preserve"> has been satisfied by Diamond. Further,</w:t>
      </w:r>
      <w:r w:rsidR="00395F7C">
        <w:t xml:space="preserve"> I do not consider that there are any discretionary considerations that w</w:t>
      </w:r>
      <w:r w:rsidR="00E5555B">
        <w:t xml:space="preserve">eigh </w:t>
      </w:r>
      <w:r w:rsidR="00395F7C">
        <w:t>determinative</w:t>
      </w:r>
      <w:r w:rsidR="004279D0">
        <w:t>ly</w:t>
      </w:r>
      <w:r w:rsidR="00395F7C">
        <w:t xml:space="preserve"> against ordering </w:t>
      </w:r>
      <w:r w:rsidR="004279D0">
        <w:t xml:space="preserve">the </w:t>
      </w:r>
      <w:r w:rsidR="00395F7C">
        <w:t>pre-action disclosure</w:t>
      </w:r>
      <w:r w:rsidR="00EA2408">
        <w:t xml:space="preserve"> </w:t>
      </w:r>
      <w:r w:rsidR="004279D0">
        <w:t xml:space="preserve">sought </w:t>
      </w:r>
      <w:r w:rsidR="00EA2408">
        <w:t xml:space="preserve">in the present case. To the contrary, </w:t>
      </w:r>
      <w:r w:rsidR="004E6FF7">
        <w:t xml:space="preserve">my </w:t>
      </w:r>
      <w:r w:rsidR="00075739" w:rsidRPr="00075739">
        <w:rPr>
          <w:i/>
          <w:iCs/>
        </w:rPr>
        <w:t>“</w:t>
      </w:r>
      <w:r w:rsidR="004E6FF7" w:rsidRPr="00075739">
        <w:rPr>
          <w:i/>
          <w:iCs/>
        </w:rPr>
        <w:t>big pic</w:t>
      </w:r>
      <w:r w:rsidR="00075739" w:rsidRPr="00075739">
        <w:rPr>
          <w:i/>
          <w:iCs/>
        </w:rPr>
        <w:t>ture view”</w:t>
      </w:r>
      <w:r w:rsidR="00075739">
        <w:t xml:space="preserve"> is that </w:t>
      </w:r>
      <w:r w:rsidR="0089426F">
        <w:t xml:space="preserve">I </w:t>
      </w:r>
      <w:r w:rsidR="00EA2408">
        <w:t>consider that discretionary considerations</w:t>
      </w:r>
      <w:r w:rsidR="004C5119">
        <w:t xml:space="preserve"> </w:t>
      </w:r>
      <w:r w:rsidR="00C441A4">
        <w:t>in the round</w:t>
      </w:r>
      <w:r w:rsidR="00EA2408">
        <w:t>,</w:t>
      </w:r>
      <w:r w:rsidR="005D4E08">
        <w:t xml:space="preserve"> </w:t>
      </w:r>
      <w:r w:rsidR="00DC14D4">
        <w:t xml:space="preserve">and </w:t>
      </w:r>
      <w:r w:rsidR="005D4E08">
        <w:t>in particular those considered in paragraphs 125 to 128 above</w:t>
      </w:r>
      <w:r w:rsidR="00EA2408">
        <w:t>,</w:t>
      </w:r>
      <w:r>
        <w:t xml:space="preserve"> </w:t>
      </w:r>
      <w:r w:rsidR="005D4E08">
        <w:t>w</w:t>
      </w:r>
      <w:r w:rsidR="004C5119">
        <w:t>eig</w:t>
      </w:r>
      <w:r w:rsidR="00DC14D4">
        <w:t xml:space="preserve">h </w:t>
      </w:r>
      <w:r w:rsidR="005D4E08">
        <w:t>significantly in favour</w:t>
      </w:r>
      <w:r w:rsidR="003B4D12">
        <w:t xml:space="preserve"> of granting the relief sought by the Application.</w:t>
      </w:r>
    </w:p>
    <w:p w14:paraId="1BCC8AAA" w14:textId="6289505D" w:rsidR="004A3C32" w:rsidRDefault="00432656" w:rsidP="001846CE">
      <w:pPr>
        <w:pStyle w:val="ParaLevel1"/>
      </w:pPr>
      <w:r w:rsidRPr="00432656">
        <w:lastRenderedPageBreak/>
        <w:t xml:space="preserve">The jurisdiction under CPR 31.16 may be unusual, but it is not exceptional – see </w:t>
      </w:r>
      <w:r w:rsidRPr="00432656">
        <w:rPr>
          <w:i/>
          <w:iCs/>
        </w:rPr>
        <w:t>Carillion</w:t>
      </w:r>
      <w:r w:rsidRPr="00432656">
        <w:t xml:space="preserve"> at [66(vi)].  </w:t>
      </w:r>
      <w:r w:rsidR="004A3C32">
        <w:t>I consider that the present case can properly be described as</w:t>
      </w:r>
      <w:r w:rsidR="00CF4231">
        <w:t xml:space="preserve"> outside</w:t>
      </w:r>
      <w:r w:rsidR="002E212F">
        <w:t xml:space="preserve"> </w:t>
      </w:r>
      <w:r w:rsidR="002E212F" w:rsidRPr="002E212F">
        <w:rPr>
          <w:i/>
          <w:iCs/>
        </w:rPr>
        <w:t>“the usual run”</w:t>
      </w:r>
      <w:r w:rsidR="002E212F">
        <w:rPr>
          <w:iCs/>
        </w:rPr>
        <w:t xml:space="preserve"> because Diamond has been able to identify a particular purpose for the</w:t>
      </w:r>
      <w:r w:rsidR="00DB3AEC">
        <w:rPr>
          <w:iCs/>
        </w:rPr>
        <w:t xml:space="preserve"> data in respect of which disclosure is sought, and that there is a real prospect</w:t>
      </w:r>
      <w:r w:rsidR="00916FCE">
        <w:rPr>
          <w:iCs/>
        </w:rPr>
        <w:t xml:space="preserve"> at least of that data, when use</w:t>
      </w:r>
      <w:r w:rsidR="00DD10AF">
        <w:rPr>
          <w:iCs/>
        </w:rPr>
        <w:t xml:space="preserve">d for </w:t>
      </w:r>
      <w:r w:rsidR="00916FCE">
        <w:rPr>
          <w:iCs/>
        </w:rPr>
        <w:t xml:space="preserve">the purpose of producing a revised </w:t>
      </w:r>
      <w:r w:rsidR="00111FF1">
        <w:rPr>
          <w:iCs/>
        </w:rPr>
        <w:t>Look-up</w:t>
      </w:r>
      <w:r w:rsidR="00916FCE">
        <w:rPr>
          <w:iCs/>
        </w:rPr>
        <w:t xml:space="preserve"> table for Diamond,</w:t>
      </w:r>
      <w:r w:rsidR="00C84DAA">
        <w:rPr>
          <w:iCs/>
        </w:rPr>
        <w:t xml:space="preserve"> assisting the dispute to be resolved without proceedings and saving costs, and failing that</w:t>
      </w:r>
      <w:r w:rsidR="00DD10AF">
        <w:rPr>
          <w:iCs/>
        </w:rPr>
        <w:t xml:space="preserve"> </w:t>
      </w:r>
      <w:r w:rsidR="000B57C0">
        <w:rPr>
          <w:iCs/>
        </w:rPr>
        <w:t xml:space="preserve">assisting </w:t>
      </w:r>
      <w:r w:rsidR="009A4178">
        <w:rPr>
          <w:iCs/>
        </w:rPr>
        <w:t xml:space="preserve">in the fair disposal </w:t>
      </w:r>
      <w:r w:rsidR="00DD10AF">
        <w:rPr>
          <w:iCs/>
        </w:rPr>
        <w:t>of the proceedings that Diamond anticipates.</w:t>
      </w:r>
    </w:p>
    <w:p w14:paraId="19883472" w14:textId="790620F9" w:rsidR="00936C8E" w:rsidRDefault="00936C8E" w:rsidP="001846CE">
      <w:pPr>
        <w:pStyle w:val="ParaLevel1"/>
      </w:pPr>
      <w:r>
        <w:t>I am presently satisfied that the terms of the draft Order produced by Diamond</w:t>
      </w:r>
      <w:r w:rsidR="00B268C1">
        <w:t xml:space="preserve"> are sufficiently focused to </w:t>
      </w:r>
      <w:r w:rsidR="00BA7FFA">
        <w:t xml:space="preserve">enable me to </w:t>
      </w:r>
      <w:r w:rsidR="00B268C1">
        <w:t xml:space="preserve">be able properly </w:t>
      </w:r>
      <w:r w:rsidR="00072001">
        <w:t xml:space="preserve">to </w:t>
      </w:r>
      <w:r w:rsidR="00B268C1">
        <w:t>conclude that</w:t>
      </w:r>
      <w:r w:rsidR="001F0687">
        <w:t xml:space="preserve"> the data to be provided pursuant thereto will provide Diamond with no more than </w:t>
      </w:r>
      <w:r w:rsidR="008E3FE2">
        <w:t xml:space="preserve">that which </w:t>
      </w:r>
      <w:r w:rsidR="001F0687">
        <w:t xml:space="preserve">is </w:t>
      </w:r>
      <w:r w:rsidR="001F0687" w:rsidRPr="001F0687">
        <w:rPr>
          <w:i/>
          <w:iCs/>
        </w:rPr>
        <w:t>“strictly necessary”</w:t>
      </w:r>
      <w:r w:rsidR="001F0687">
        <w:t>. However,</w:t>
      </w:r>
      <w:r w:rsidR="005E72A4">
        <w:t xml:space="preserve"> </w:t>
      </w:r>
      <w:r w:rsidR="008E3FE2">
        <w:t xml:space="preserve">as indicated, </w:t>
      </w:r>
      <w:r w:rsidR="005E72A4">
        <w:t>I would be prepared to hear submissions from TfWM as to the scope of data to be provided, so long as it does not undermine the objective</w:t>
      </w:r>
      <w:r w:rsidR="004A3C32">
        <w:t xml:space="preserve"> for which the data is sought.</w:t>
      </w:r>
    </w:p>
    <w:p w14:paraId="75142578" w14:textId="77777777" w:rsidR="00F75127" w:rsidRDefault="009A4178" w:rsidP="001846CE">
      <w:pPr>
        <w:pStyle w:val="ParaLevel1"/>
      </w:pPr>
      <w:r>
        <w:t xml:space="preserve">Further, </w:t>
      </w:r>
      <w:r w:rsidR="00617962">
        <w:t xml:space="preserve">I would be prepared to hear further submissions from the parties as to the terms of the confidentiality undertakings </w:t>
      </w:r>
      <w:r w:rsidR="00F75127">
        <w:t xml:space="preserve">to be given, and as to who those undertakings ought to be given by. </w:t>
      </w:r>
    </w:p>
    <w:p w14:paraId="0CAB54DA" w14:textId="3FE6BE27" w:rsidR="007C5909" w:rsidRDefault="007C5909" w:rsidP="001846CE">
      <w:pPr>
        <w:pStyle w:val="ParaLevel1"/>
      </w:pPr>
      <w:r w:rsidRPr="007C5909">
        <w:t>No attendance will be required at the hand down of this judgment. I will adjourn all consequential matters, including as to the form of order, any application for permission to appeal, and costs to a short consequentials hearing to be listed as soon as possible. I will extend the period for lodging an appellant’s notice with the Court of Appeal to 21 days after the consequentials hearing.</w:t>
      </w:r>
      <w:r w:rsidR="00C26648">
        <w:t xml:space="preserve">     </w:t>
      </w:r>
    </w:p>
    <w:p w14:paraId="29B3C6A7" w14:textId="36B0650E" w:rsidR="00C26648" w:rsidRDefault="00352918" w:rsidP="001846CE">
      <w:pPr>
        <w:pStyle w:val="BodyText"/>
        <w:spacing w:before="4" w:after="240"/>
        <w:jc w:val="center"/>
        <w:rPr>
          <w:rFonts w:ascii="Times New Roman" w:hAnsi="Times New Roman" w:cs="Times New Roman"/>
          <w:b/>
          <w:bCs/>
          <w:iCs/>
          <w:sz w:val="24"/>
          <w:szCs w:val="24"/>
          <w:u w:val="single"/>
        </w:rPr>
      </w:pPr>
      <w:r>
        <w:rPr>
          <w:rFonts w:ascii="Times New Roman" w:hAnsi="Times New Roman" w:cs="Times New Roman"/>
          <w:b/>
          <w:bCs/>
          <w:iCs/>
          <w:sz w:val="24"/>
          <w:szCs w:val="24"/>
          <w:u w:val="single"/>
        </w:rPr>
        <w:br w:type="page"/>
      </w:r>
      <w:r w:rsidR="00AA2583">
        <w:rPr>
          <w:rFonts w:ascii="Times New Roman" w:hAnsi="Times New Roman" w:cs="Times New Roman"/>
          <w:b/>
          <w:bCs/>
          <w:iCs/>
          <w:sz w:val="24"/>
          <w:szCs w:val="24"/>
          <w:u w:val="single"/>
        </w:rPr>
        <w:lastRenderedPageBreak/>
        <w:t>APPENDIX</w:t>
      </w:r>
    </w:p>
    <w:p w14:paraId="355AE42E" w14:textId="58D99A70" w:rsidR="00AA2583" w:rsidRDefault="00AA2583" w:rsidP="001846CE">
      <w:pPr>
        <w:pStyle w:val="BodyText"/>
        <w:spacing w:before="4" w:after="240"/>
        <w:jc w:val="center"/>
        <w:rPr>
          <w:rFonts w:ascii="Times New Roman" w:hAnsi="Times New Roman" w:cs="Times New Roman"/>
          <w:b/>
          <w:bCs/>
          <w:iCs/>
          <w:sz w:val="24"/>
          <w:szCs w:val="24"/>
          <w:u w:val="single"/>
        </w:rPr>
      </w:pPr>
      <w:r>
        <w:rPr>
          <w:rFonts w:ascii="Times New Roman" w:hAnsi="Times New Roman" w:cs="Times New Roman"/>
          <w:b/>
          <w:bCs/>
          <w:iCs/>
          <w:sz w:val="24"/>
          <w:szCs w:val="24"/>
          <w:u w:val="single"/>
        </w:rPr>
        <w:t>SCHEDUL</w:t>
      </w:r>
      <w:r w:rsidR="00DF03B2">
        <w:rPr>
          <w:rFonts w:ascii="Times New Roman" w:hAnsi="Times New Roman" w:cs="Times New Roman"/>
          <w:b/>
          <w:bCs/>
          <w:iCs/>
          <w:sz w:val="24"/>
          <w:szCs w:val="24"/>
          <w:u w:val="single"/>
        </w:rPr>
        <w:t>E 7 – 2000 ACT ARRANGEMENT</w:t>
      </w:r>
    </w:p>
    <w:p w14:paraId="34C7AD4B" w14:textId="77777777" w:rsidR="00DF03B2" w:rsidRPr="00AA2583" w:rsidRDefault="00DF03B2" w:rsidP="001846CE">
      <w:pPr>
        <w:pStyle w:val="BodyText"/>
        <w:spacing w:before="4" w:after="240"/>
        <w:jc w:val="center"/>
        <w:rPr>
          <w:rFonts w:ascii="Times New Roman" w:hAnsi="Times New Roman" w:cs="Times New Roman"/>
          <w:b/>
          <w:bCs/>
          <w:iCs/>
          <w:sz w:val="24"/>
          <w:szCs w:val="24"/>
          <w:u w:val="single"/>
        </w:rPr>
      </w:pPr>
    </w:p>
    <w:p w14:paraId="70D8C836" w14:textId="3BFD8675" w:rsidR="00C26648" w:rsidRPr="005E3E60" w:rsidRDefault="001671FF" w:rsidP="001846CE">
      <w:pPr>
        <w:pStyle w:val="BodyText"/>
        <w:spacing w:before="90" w:after="240"/>
        <w:ind w:left="567" w:right="117" w:hanging="418"/>
        <w:rPr>
          <w:rFonts w:ascii="Times New Roman" w:hAnsi="Times New Roman" w:cs="Times New Roman"/>
          <w:sz w:val="24"/>
          <w:szCs w:val="24"/>
        </w:rPr>
      </w:pPr>
      <w:r>
        <w:rPr>
          <w:rFonts w:ascii="Times New Roman" w:hAnsi="Times New Roman" w:cs="Times New Roman"/>
          <w:sz w:val="24"/>
          <w:szCs w:val="24"/>
        </w:rPr>
        <w:t>“</w:t>
      </w:r>
      <w:r w:rsidR="00C26648" w:rsidRPr="005E3E60">
        <w:rPr>
          <w:rFonts w:ascii="Times New Roman" w:hAnsi="Times New Roman" w:cs="Times New Roman"/>
          <w:sz w:val="24"/>
          <w:szCs w:val="24"/>
        </w:rPr>
        <w:t>1.</w:t>
      </w:r>
      <w:r w:rsidR="00A466CE">
        <w:rPr>
          <w:rFonts w:ascii="Times New Roman" w:hAnsi="Times New Roman" w:cs="Times New Roman"/>
          <w:sz w:val="24"/>
          <w:szCs w:val="24"/>
        </w:rPr>
        <w:tab/>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In</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event</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of</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any</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dispute,</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formally</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notified</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to</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Authority</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in</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writing,</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in</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connection</w:t>
      </w:r>
      <w:r w:rsidR="00C26648" w:rsidRPr="005E3E60">
        <w:rPr>
          <w:rFonts w:ascii="Times New Roman" w:hAnsi="Times New Roman" w:cs="Times New Roman"/>
          <w:spacing w:val="-4"/>
          <w:sz w:val="24"/>
          <w:szCs w:val="24"/>
        </w:rPr>
        <w:t xml:space="preserve"> </w:t>
      </w:r>
      <w:r w:rsidR="00C26648" w:rsidRPr="005E3E60">
        <w:rPr>
          <w:rFonts w:ascii="Times New Roman" w:hAnsi="Times New Roman" w:cs="Times New Roman"/>
          <w:sz w:val="24"/>
          <w:szCs w:val="24"/>
        </w:rPr>
        <w:t xml:space="preserve">with any matter arising from this agreement which cannot be resolved by agreement between the </w:t>
      </w:r>
      <w:proofErr w:type="gramStart"/>
      <w:r w:rsidR="00C26648" w:rsidRPr="005E3E60">
        <w:rPr>
          <w:rFonts w:ascii="Times New Roman" w:hAnsi="Times New Roman" w:cs="Times New Roman"/>
          <w:sz w:val="24"/>
          <w:szCs w:val="24"/>
        </w:rPr>
        <w:t>parties</w:t>
      </w:r>
      <w:proofErr w:type="gramEnd"/>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representatives</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within</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20</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working</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days</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of</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notification,</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senior</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representatives</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of</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the parties</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shall,</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within</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20</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working</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days</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of</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a</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further</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written</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request</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from</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either</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party</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to</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11"/>
          <w:sz w:val="24"/>
          <w:szCs w:val="24"/>
        </w:rPr>
        <w:t xml:space="preserve"> </w:t>
      </w:r>
      <w:r w:rsidR="00C26648" w:rsidRPr="005E3E60">
        <w:rPr>
          <w:rFonts w:ascii="Times New Roman" w:hAnsi="Times New Roman" w:cs="Times New Roman"/>
          <w:sz w:val="24"/>
          <w:szCs w:val="24"/>
        </w:rPr>
        <w:t>other, meet in good faith to attempt to resolve the dispute.</w:t>
      </w:r>
    </w:p>
    <w:p w14:paraId="6E67EC47" w14:textId="4719AC38" w:rsidR="00C26648" w:rsidRPr="005E3E60" w:rsidRDefault="00A466CE" w:rsidP="001846CE">
      <w:pPr>
        <w:pStyle w:val="BodyText"/>
        <w:spacing w:before="90" w:after="240"/>
        <w:ind w:left="567" w:right="117" w:hanging="418"/>
        <w:rPr>
          <w:rFonts w:ascii="Times New Roman" w:hAnsi="Times New Roman" w:cs="Times New Roman"/>
          <w:sz w:val="24"/>
          <w:szCs w:val="24"/>
        </w:rPr>
      </w:pPr>
      <w:r>
        <w:rPr>
          <w:rFonts w:ascii="Times New Roman" w:hAnsi="Times New Roman" w:cs="Times New Roman"/>
          <w:sz w:val="24"/>
          <w:szCs w:val="24"/>
        </w:rPr>
        <w:t>2</w:t>
      </w:r>
      <w:r>
        <w:rPr>
          <w:sz w:val="24"/>
          <w:szCs w:val="24"/>
        </w:rPr>
        <w:t>.</w:t>
      </w:r>
      <w:r>
        <w:rPr>
          <w:sz w:val="24"/>
          <w:szCs w:val="24"/>
        </w:rPr>
        <w:tab/>
      </w:r>
      <w:r w:rsidR="00C26648" w:rsidRPr="005E3E60">
        <w:rPr>
          <w:rFonts w:ascii="Times New Roman" w:hAnsi="Times New Roman" w:cs="Times New Roman"/>
          <w:sz w:val="24"/>
          <w:szCs w:val="24"/>
        </w:rPr>
        <w:t>If</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dispute</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is</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not</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resolved</w:t>
      </w:r>
      <w:r w:rsidR="00C26648" w:rsidRPr="005E3E60">
        <w:rPr>
          <w:rFonts w:ascii="Times New Roman" w:hAnsi="Times New Roman" w:cs="Times New Roman"/>
          <w:spacing w:val="-10"/>
          <w:sz w:val="24"/>
          <w:szCs w:val="24"/>
        </w:rPr>
        <w:t xml:space="preserve"> </w:t>
      </w:r>
      <w:proofErr w:type="gramStart"/>
      <w:r w:rsidR="00C26648" w:rsidRPr="005E3E60">
        <w:rPr>
          <w:rFonts w:ascii="Times New Roman" w:hAnsi="Times New Roman" w:cs="Times New Roman"/>
          <w:sz w:val="24"/>
          <w:szCs w:val="24"/>
        </w:rPr>
        <w:t>as</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a</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result</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of</w:t>
      </w:r>
      <w:proofErr w:type="gramEnd"/>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such</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meeting,</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either</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Authority</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or</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10"/>
          <w:sz w:val="24"/>
          <w:szCs w:val="24"/>
        </w:rPr>
        <w:t xml:space="preserve"> </w:t>
      </w:r>
      <w:r w:rsidR="00C26648" w:rsidRPr="005E3E60">
        <w:rPr>
          <w:rFonts w:ascii="Times New Roman" w:hAnsi="Times New Roman" w:cs="Times New Roman"/>
          <w:sz w:val="24"/>
          <w:szCs w:val="24"/>
        </w:rPr>
        <w:t>Operator may propose to the other in writing that the dispute referred to an independent expert (“Independent Expert”).</w:t>
      </w:r>
    </w:p>
    <w:p w14:paraId="6D715DC4" w14:textId="54D65500" w:rsidR="00C26648" w:rsidRPr="005E3E60" w:rsidRDefault="00A466CE" w:rsidP="001846CE">
      <w:pPr>
        <w:pStyle w:val="BodyText"/>
        <w:spacing w:before="90" w:after="240"/>
        <w:ind w:left="567" w:right="117" w:hanging="418"/>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C26648" w:rsidRPr="005E3E60">
        <w:rPr>
          <w:rFonts w:ascii="Times New Roman" w:hAnsi="Times New Roman" w:cs="Times New Roman"/>
          <w:sz w:val="24"/>
          <w:szCs w:val="24"/>
        </w:rPr>
        <w:t>If the parties are unable to agree on an Independent Expert, or if the Independent Expert agreed</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upon</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is</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unable</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or</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unwilling</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to</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act</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then</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any</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party</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may</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apply</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to</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President</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of</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the</w:t>
      </w:r>
      <w:r w:rsidR="00C26648" w:rsidRPr="005E3E60">
        <w:rPr>
          <w:rFonts w:ascii="Times New Roman" w:hAnsi="Times New Roman" w:cs="Times New Roman"/>
          <w:spacing w:val="-9"/>
          <w:sz w:val="24"/>
          <w:szCs w:val="24"/>
        </w:rPr>
        <w:t xml:space="preserve"> </w:t>
      </w:r>
      <w:r w:rsidR="00C26648" w:rsidRPr="005E3E60">
        <w:rPr>
          <w:rFonts w:ascii="Times New Roman" w:hAnsi="Times New Roman" w:cs="Times New Roman"/>
          <w:sz w:val="24"/>
          <w:szCs w:val="24"/>
        </w:rPr>
        <w:t>Law Society to appoint an Independent Expert.</w:t>
      </w:r>
    </w:p>
    <w:p w14:paraId="415248A3" w14:textId="665C1B53" w:rsidR="00C26648" w:rsidRPr="005E3E60" w:rsidRDefault="00A466CE" w:rsidP="001846CE">
      <w:pPr>
        <w:pStyle w:val="BodyText"/>
        <w:spacing w:before="90" w:after="240"/>
        <w:ind w:left="567" w:right="117" w:hanging="418"/>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26648" w:rsidRPr="005E3E60">
        <w:rPr>
          <w:rFonts w:ascii="Times New Roman" w:hAnsi="Times New Roman" w:cs="Times New Roman"/>
          <w:sz w:val="24"/>
          <w:szCs w:val="24"/>
        </w:rPr>
        <w:t>If any matter is referred to the Independent Expert for determination in accordance with paragraph 3 above, then</w:t>
      </w:r>
    </w:p>
    <w:p w14:paraId="3F50EFFE" w14:textId="14200F3F" w:rsidR="00C26648" w:rsidRPr="005E3E60" w:rsidRDefault="001671FF" w:rsidP="001846CE">
      <w:pPr>
        <w:pStyle w:val="ListParagraph"/>
        <w:tabs>
          <w:tab w:val="left" w:pos="446"/>
        </w:tabs>
        <w:ind w:left="567" w:hanging="815"/>
        <w:rPr>
          <w:sz w:val="24"/>
          <w:szCs w:val="24"/>
        </w:rPr>
      </w:pPr>
      <w:r>
        <w:rPr>
          <w:sz w:val="24"/>
          <w:szCs w:val="24"/>
        </w:rPr>
        <w:tab/>
      </w:r>
      <w:r>
        <w:rPr>
          <w:sz w:val="24"/>
          <w:szCs w:val="24"/>
        </w:rPr>
        <w:tab/>
        <w:t>(a)</w:t>
      </w:r>
      <w:r>
        <w:rPr>
          <w:sz w:val="24"/>
          <w:szCs w:val="24"/>
        </w:rPr>
        <w:tab/>
      </w:r>
      <w:r w:rsidR="00C26648" w:rsidRPr="005E3E60">
        <w:rPr>
          <w:sz w:val="24"/>
          <w:szCs w:val="24"/>
        </w:rPr>
        <w:t>the Independent Expert shall determine the matter, subject to the remaining provisions of this</w:t>
      </w:r>
      <w:r w:rsidR="00C26648" w:rsidRPr="005E3E60">
        <w:rPr>
          <w:spacing w:val="-10"/>
          <w:sz w:val="24"/>
          <w:szCs w:val="24"/>
        </w:rPr>
        <w:t xml:space="preserve"> </w:t>
      </w:r>
      <w:r w:rsidR="00C26648" w:rsidRPr="005E3E60">
        <w:rPr>
          <w:sz w:val="24"/>
          <w:szCs w:val="24"/>
        </w:rPr>
        <w:t>paragraph</w:t>
      </w:r>
      <w:r w:rsidR="00C26648" w:rsidRPr="005E3E60">
        <w:rPr>
          <w:spacing w:val="-10"/>
          <w:sz w:val="24"/>
          <w:szCs w:val="24"/>
        </w:rPr>
        <w:t xml:space="preserve"> </w:t>
      </w:r>
      <w:r w:rsidR="00C26648" w:rsidRPr="005E3E60">
        <w:rPr>
          <w:sz w:val="24"/>
          <w:szCs w:val="24"/>
        </w:rPr>
        <w:t>4,</w:t>
      </w:r>
      <w:r w:rsidR="00C26648" w:rsidRPr="005E3E60">
        <w:rPr>
          <w:spacing w:val="-10"/>
          <w:sz w:val="24"/>
          <w:szCs w:val="24"/>
        </w:rPr>
        <w:t xml:space="preserve"> </w:t>
      </w:r>
      <w:r w:rsidR="00C26648" w:rsidRPr="005E3E60">
        <w:rPr>
          <w:sz w:val="24"/>
          <w:szCs w:val="24"/>
        </w:rPr>
        <w:t>on</w:t>
      </w:r>
      <w:r w:rsidR="00C26648" w:rsidRPr="005E3E60">
        <w:rPr>
          <w:spacing w:val="-10"/>
          <w:sz w:val="24"/>
          <w:szCs w:val="24"/>
        </w:rPr>
        <w:t xml:space="preserve"> </w:t>
      </w:r>
      <w:r w:rsidR="00C26648" w:rsidRPr="005E3E60">
        <w:rPr>
          <w:sz w:val="24"/>
          <w:szCs w:val="24"/>
        </w:rPr>
        <w:t>a</w:t>
      </w:r>
      <w:r w:rsidR="00C26648" w:rsidRPr="005E3E60">
        <w:rPr>
          <w:spacing w:val="-10"/>
          <w:sz w:val="24"/>
          <w:szCs w:val="24"/>
        </w:rPr>
        <w:t xml:space="preserve"> </w:t>
      </w:r>
      <w:r w:rsidR="00C26648" w:rsidRPr="005E3E60">
        <w:rPr>
          <w:sz w:val="24"/>
          <w:szCs w:val="24"/>
        </w:rPr>
        <w:t>basis</w:t>
      </w:r>
      <w:r w:rsidR="00C26648" w:rsidRPr="005E3E60">
        <w:rPr>
          <w:spacing w:val="-10"/>
          <w:sz w:val="24"/>
          <w:szCs w:val="24"/>
        </w:rPr>
        <w:t xml:space="preserve"> </w:t>
      </w:r>
      <w:r w:rsidR="00C26648" w:rsidRPr="005E3E60">
        <w:rPr>
          <w:sz w:val="24"/>
          <w:szCs w:val="24"/>
        </w:rPr>
        <w:t>that</w:t>
      </w:r>
      <w:r w:rsidR="00C26648" w:rsidRPr="005E3E60">
        <w:rPr>
          <w:spacing w:val="-10"/>
          <w:sz w:val="24"/>
          <w:szCs w:val="24"/>
        </w:rPr>
        <w:t xml:space="preserve"> </w:t>
      </w:r>
      <w:r w:rsidR="00C26648" w:rsidRPr="005E3E60">
        <w:rPr>
          <w:sz w:val="24"/>
          <w:szCs w:val="24"/>
        </w:rPr>
        <w:t>is</w:t>
      </w:r>
      <w:r w:rsidR="00C26648" w:rsidRPr="005E3E60">
        <w:rPr>
          <w:spacing w:val="-10"/>
          <w:sz w:val="24"/>
          <w:szCs w:val="24"/>
        </w:rPr>
        <w:t xml:space="preserve"> </w:t>
      </w:r>
      <w:r w:rsidR="00C26648" w:rsidRPr="005E3E60">
        <w:rPr>
          <w:sz w:val="24"/>
          <w:szCs w:val="24"/>
        </w:rPr>
        <w:t>fair</w:t>
      </w:r>
      <w:r w:rsidR="00C26648" w:rsidRPr="005E3E60">
        <w:rPr>
          <w:spacing w:val="-10"/>
          <w:sz w:val="24"/>
          <w:szCs w:val="24"/>
        </w:rPr>
        <w:t xml:space="preserve"> </w:t>
      </w:r>
      <w:r w:rsidR="00C26648" w:rsidRPr="005E3E60">
        <w:rPr>
          <w:sz w:val="24"/>
          <w:szCs w:val="24"/>
        </w:rPr>
        <w:t>and</w:t>
      </w:r>
      <w:r w:rsidR="00C26648" w:rsidRPr="005E3E60">
        <w:rPr>
          <w:spacing w:val="-10"/>
          <w:sz w:val="24"/>
          <w:szCs w:val="24"/>
        </w:rPr>
        <w:t xml:space="preserve"> </w:t>
      </w:r>
      <w:r w:rsidR="00C26648" w:rsidRPr="005E3E60">
        <w:rPr>
          <w:sz w:val="24"/>
          <w:szCs w:val="24"/>
        </w:rPr>
        <w:t>reasonable</w:t>
      </w:r>
      <w:r w:rsidR="00C26648" w:rsidRPr="005E3E60">
        <w:rPr>
          <w:spacing w:val="-10"/>
          <w:sz w:val="24"/>
          <w:szCs w:val="24"/>
        </w:rPr>
        <w:t xml:space="preserve"> </w:t>
      </w:r>
      <w:r w:rsidR="00C26648" w:rsidRPr="005E3E60">
        <w:rPr>
          <w:sz w:val="24"/>
          <w:szCs w:val="24"/>
        </w:rPr>
        <w:t>in</w:t>
      </w:r>
      <w:r w:rsidR="00C26648" w:rsidRPr="005E3E60">
        <w:rPr>
          <w:spacing w:val="-10"/>
          <w:sz w:val="24"/>
          <w:szCs w:val="24"/>
        </w:rPr>
        <w:t xml:space="preserve"> </w:t>
      </w:r>
      <w:r w:rsidR="00C26648" w:rsidRPr="005E3E60">
        <w:rPr>
          <w:sz w:val="24"/>
          <w:szCs w:val="24"/>
        </w:rPr>
        <w:t>all</w:t>
      </w:r>
      <w:r w:rsidR="00C26648" w:rsidRPr="005E3E60">
        <w:rPr>
          <w:spacing w:val="-10"/>
          <w:sz w:val="24"/>
          <w:szCs w:val="24"/>
        </w:rPr>
        <w:t xml:space="preserve"> </w:t>
      </w:r>
      <w:r w:rsidR="00C26648" w:rsidRPr="005E3E60">
        <w:rPr>
          <w:sz w:val="24"/>
          <w:szCs w:val="24"/>
        </w:rPr>
        <w:t>respects</w:t>
      </w:r>
      <w:r w:rsidR="00C26648" w:rsidRPr="005E3E60">
        <w:rPr>
          <w:spacing w:val="-10"/>
          <w:sz w:val="24"/>
          <w:szCs w:val="24"/>
        </w:rPr>
        <w:t xml:space="preserve"> </w:t>
      </w:r>
      <w:r w:rsidR="00C26648" w:rsidRPr="005E3E60">
        <w:rPr>
          <w:sz w:val="24"/>
          <w:szCs w:val="24"/>
        </w:rPr>
        <w:t>as</w:t>
      </w:r>
      <w:r w:rsidR="00C26648" w:rsidRPr="005E3E60">
        <w:rPr>
          <w:spacing w:val="-10"/>
          <w:sz w:val="24"/>
          <w:szCs w:val="24"/>
        </w:rPr>
        <w:t xml:space="preserve"> </w:t>
      </w:r>
      <w:r w:rsidR="00C26648" w:rsidRPr="005E3E60">
        <w:rPr>
          <w:sz w:val="24"/>
          <w:szCs w:val="24"/>
        </w:rPr>
        <w:t>between</w:t>
      </w:r>
      <w:r w:rsidR="00C26648" w:rsidRPr="005E3E60">
        <w:rPr>
          <w:spacing w:val="-10"/>
          <w:sz w:val="24"/>
          <w:szCs w:val="24"/>
        </w:rPr>
        <w:t xml:space="preserve"> </w:t>
      </w:r>
      <w:r w:rsidR="00C26648" w:rsidRPr="005E3E60">
        <w:rPr>
          <w:sz w:val="24"/>
          <w:szCs w:val="24"/>
        </w:rPr>
        <w:t>the</w:t>
      </w:r>
      <w:r w:rsidR="00C26648" w:rsidRPr="005E3E60">
        <w:rPr>
          <w:spacing w:val="-10"/>
          <w:sz w:val="24"/>
          <w:szCs w:val="24"/>
        </w:rPr>
        <w:t xml:space="preserve"> </w:t>
      </w:r>
      <w:r w:rsidR="00C26648" w:rsidRPr="005E3E60">
        <w:rPr>
          <w:sz w:val="24"/>
          <w:szCs w:val="24"/>
        </w:rPr>
        <w:t xml:space="preserve">Operator and the Authority and that takes into account all relevant factors and </w:t>
      </w:r>
      <w:proofErr w:type="gramStart"/>
      <w:r w:rsidR="00C26648" w:rsidRPr="005E3E60">
        <w:rPr>
          <w:sz w:val="24"/>
          <w:szCs w:val="24"/>
        </w:rPr>
        <w:t>circumstances;</w:t>
      </w:r>
      <w:proofErr w:type="gramEnd"/>
    </w:p>
    <w:p w14:paraId="1F13C249" w14:textId="77777777" w:rsidR="00C26648" w:rsidRPr="005E3E60" w:rsidRDefault="00C26648" w:rsidP="001846CE">
      <w:pPr>
        <w:pStyle w:val="BodyText"/>
        <w:spacing w:before="3"/>
        <w:rPr>
          <w:rFonts w:ascii="Times New Roman" w:hAnsi="Times New Roman" w:cs="Times New Roman"/>
          <w:sz w:val="24"/>
          <w:szCs w:val="24"/>
        </w:rPr>
      </w:pPr>
    </w:p>
    <w:p w14:paraId="54112A48" w14:textId="45861E06" w:rsidR="00C26648" w:rsidRPr="005E3E60" w:rsidRDefault="001671FF" w:rsidP="001846CE">
      <w:pPr>
        <w:pStyle w:val="ListParagraph"/>
        <w:tabs>
          <w:tab w:val="left" w:pos="428"/>
        </w:tabs>
        <w:ind w:left="567" w:hanging="815"/>
        <w:rPr>
          <w:sz w:val="24"/>
          <w:szCs w:val="24"/>
        </w:rPr>
      </w:pPr>
      <w:r>
        <w:rPr>
          <w:sz w:val="24"/>
          <w:szCs w:val="24"/>
        </w:rPr>
        <w:tab/>
      </w:r>
      <w:r>
        <w:rPr>
          <w:sz w:val="24"/>
          <w:szCs w:val="24"/>
        </w:rPr>
        <w:tab/>
        <w:t>(b)</w:t>
      </w:r>
      <w:r>
        <w:rPr>
          <w:sz w:val="24"/>
          <w:szCs w:val="24"/>
        </w:rPr>
        <w:tab/>
      </w:r>
      <w:r w:rsidR="00C26648" w:rsidRPr="005E3E60">
        <w:rPr>
          <w:sz w:val="24"/>
          <w:szCs w:val="24"/>
        </w:rPr>
        <w:t>the</w:t>
      </w:r>
      <w:r w:rsidR="00C26648" w:rsidRPr="005E3E60">
        <w:rPr>
          <w:spacing w:val="-13"/>
          <w:sz w:val="24"/>
          <w:szCs w:val="24"/>
        </w:rPr>
        <w:t xml:space="preserve"> </w:t>
      </w:r>
      <w:r w:rsidR="00C26648" w:rsidRPr="005E3E60">
        <w:rPr>
          <w:sz w:val="24"/>
          <w:szCs w:val="24"/>
        </w:rPr>
        <w:t>Independent</w:t>
      </w:r>
      <w:r w:rsidR="00C26648" w:rsidRPr="005E3E60">
        <w:rPr>
          <w:spacing w:val="-13"/>
          <w:sz w:val="24"/>
          <w:szCs w:val="24"/>
        </w:rPr>
        <w:t xml:space="preserve"> </w:t>
      </w:r>
      <w:r w:rsidR="00C26648" w:rsidRPr="005E3E60">
        <w:rPr>
          <w:sz w:val="24"/>
          <w:szCs w:val="24"/>
        </w:rPr>
        <w:t>Expert</w:t>
      </w:r>
      <w:r w:rsidR="00C26648" w:rsidRPr="005E3E60">
        <w:rPr>
          <w:spacing w:val="-13"/>
          <w:sz w:val="24"/>
          <w:szCs w:val="24"/>
        </w:rPr>
        <w:t xml:space="preserve"> </w:t>
      </w:r>
      <w:r w:rsidR="00C26648" w:rsidRPr="005E3E60">
        <w:rPr>
          <w:sz w:val="24"/>
          <w:szCs w:val="24"/>
        </w:rPr>
        <w:t>shall</w:t>
      </w:r>
      <w:r w:rsidR="00C26648" w:rsidRPr="005E3E60">
        <w:rPr>
          <w:spacing w:val="-13"/>
          <w:sz w:val="24"/>
          <w:szCs w:val="24"/>
        </w:rPr>
        <w:t xml:space="preserve"> </w:t>
      </w:r>
      <w:r w:rsidR="00C26648" w:rsidRPr="005E3E60">
        <w:rPr>
          <w:sz w:val="24"/>
          <w:szCs w:val="24"/>
        </w:rPr>
        <w:t>act</w:t>
      </w:r>
      <w:r w:rsidR="00C26648" w:rsidRPr="005E3E60">
        <w:rPr>
          <w:spacing w:val="-13"/>
          <w:sz w:val="24"/>
          <w:szCs w:val="24"/>
        </w:rPr>
        <w:t xml:space="preserve"> </w:t>
      </w:r>
      <w:r w:rsidR="00C26648" w:rsidRPr="005E3E60">
        <w:rPr>
          <w:sz w:val="24"/>
          <w:szCs w:val="24"/>
        </w:rPr>
        <w:t>as</w:t>
      </w:r>
      <w:r w:rsidR="00C26648" w:rsidRPr="005E3E60">
        <w:rPr>
          <w:spacing w:val="-13"/>
          <w:sz w:val="24"/>
          <w:szCs w:val="24"/>
        </w:rPr>
        <w:t xml:space="preserve"> </w:t>
      </w:r>
      <w:r w:rsidR="00C26648" w:rsidRPr="005E3E60">
        <w:rPr>
          <w:sz w:val="24"/>
          <w:szCs w:val="24"/>
        </w:rPr>
        <w:t>an</w:t>
      </w:r>
      <w:r w:rsidR="00C26648" w:rsidRPr="005E3E60">
        <w:rPr>
          <w:spacing w:val="-13"/>
          <w:sz w:val="24"/>
          <w:szCs w:val="24"/>
        </w:rPr>
        <w:t xml:space="preserve"> </w:t>
      </w:r>
      <w:r w:rsidR="00C26648" w:rsidRPr="005E3E60">
        <w:rPr>
          <w:sz w:val="24"/>
          <w:szCs w:val="24"/>
        </w:rPr>
        <w:t>expert</w:t>
      </w:r>
      <w:r w:rsidR="00C26648" w:rsidRPr="005E3E60">
        <w:rPr>
          <w:spacing w:val="-13"/>
          <w:sz w:val="24"/>
          <w:szCs w:val="24"/>
        </w:rPr>
        <w:t xml:space="preserve"> </w:t>
      </w:r>
      <w:r w:rsidR="00C26648" w:rsidRPr="005E3E60">
        <w:rPr>
          <w:sz w:val="24"/>
          <w:szCs w:val="24"/>
        </w:rPr>
        <w:t>and</w:t>
      </w:r>
      <w:r w:rsidR="00C26648" w:rsidRPr="005E3E60">
        <w:rPr>
          <w:spacing w:val="-13"/>
          <w:sz w:val="24"/>
          <w:szCs w:val="24"/>
        </w:rPr>
        <w:t xml:space="preserve"> </w:t>
      </w:r>
      <w:r w:rsidR="00C26648" w:rsidRPr="005E3E60">
        <w:rPr>
          <w:sz w:val="24"/>
          <w:szCs w:val="24"/>
        </w:rPr>
        <w:t>not</w:t>
      </w:r>
      <w:r w:rsidR="00C26648" w:rsidRPr="005E3E60">
        <w:rPr>
          <w:spacing w:val="-13"/>
          <w:sz w:val="24"/>
          <w:szCs w:val="24"/>
        </w:rPr>
        <w:t xml:space="preserve"> </w:t>
      </w:r>
      <w:r w:rsidR="00C26648" w:rsidRPr="005E3E60">
        <w:rPr>
          <w:sz w:val="24"/>
          <w:szCs w:val="24"/>
        </w:rPr>
        <w:t>as</w:t>
      </w:r>
      <w:r w:rsidR="00C26648" w:rsidRPr="005E3E60">
        <w:rPr>
          <w:spacing w:val="-13"/>
          <w:sz w:val="24"/>
          <w:szCs w:val="24"/>
        </w:rPr>
        <w:t xml:space="preserve"> </w:t>
      </w:r>
      <w:r w:rsidR="00C26648" w:rsidRPr="005E3E60">
        <w:rPr>
          <w:sz w:val="24"/>
          <w:szCs w:val="24"/>
        </w:rPr>
        <w:t>an</w:t>
      </w:r>
      <w:r w:rsidR="00C26648" w:rsidRPr="005E3E60">
        <w:rPr>
          <w:spacing w:val="-13"/>
          <w:sz w:val="24"/>
          <w:szCs w:val="24"/>
        </w:rPr>
        <w:t xml:space="preserve"> </w:t>
      </w:r>
      <w:r w:rsidR="00C26648" w:rsidRPr="005E3E60">
        <w:rPr>
          <w:sz w:val="24"/>
          <w:szCs w:val="24"/>
        </w:rPr>
        <w:t>arbitrator</w:t>
      </w:r>
      <w:r w:rsidR="00C26648" w:rsidRPr="005E3E60">
        <w:rPr>
          <w:spacing w:val="-13"/>
          <w:sz w:val="24"/>
          <w:szCs w:val="24"/>
        </w:rPr>
        <w:t xml:space="preserve"> </w:t>
      </w:r>
      <w:r w:rsidR="00C26648" w:rsidRPr="005E3E60">
        <w:rPr>
          <w:sz w:val="24"/>
          <w:szCs w:val="24"/>
        </w:rPr>
        <w:t>and</w:t>
      </w:r>
      <w:r w:rsidR="00C26648" w:rsidRPr="005E3E60">
        <w:rPr>
          <w:spacing w:val="-13"/>
          <w:sz w:val="24"/>
          <w:szCs w:val="24"/>
        </w:rPr>
        <w:t xml:space="preserve"> </w:t>
      </w:r>
      <w:r w:rsidR="00C26648" w:rsidRPr="005E3E60">
        <w:rPr>
          <w:sz w:val="24"/>
          <w:szCs w:val="24"/>
        </w:rPr>
        <w:t>its</w:t>
      </w:r>
      <w:r w:rsidR="00C26648" w:rsidRPr="005E3E60">
        <w:rPr>
          <w:spacing w:val="-13"/>
          <w:sz w:val="24"/>
          <w:szCs w:val="24"/>
        </w:rPr>
        <w:t xml:space="preserve"> </w:t>
      </w:r>
      <w:r w:rsidR="00C26648" w:rsidRPr="005E3E60">
        <w:rPr>
          <w:sz w:val="24"/>
          <w:szCs w:val="24"/>
        </w:rPr>
        <w:t xml:space="preserve">determination of the dispute shall be final and binding on the parties (save in the case of manifest </w:t>
      </w:r>
      <w:proofErr w:type="gramStart"/>
      <w:r w:rsidR="00C26648" w:rsidRPr="005E3E60">
        <w:rPr>
          <w:sz w:val="24"/>
          <w:szCs w:val="24"/>
        </w:rPr>
        <w:t>error;</w:t>
      </w:r>
      <w:proofErr w:type="gramEnd"/>
    </w:p>
    <w:p w14:paraId="318FFC1A" w14:textId="77777777" w:rsidR="00C26648" w:rsidRPr="005E3E60" w:rsidRDefault="00C26648" w:rsidP="001846CE">
      <w:pPr>
        <w:pStyle w:val="BodyText"/>
        <w:spacing w:before="1"/>
        <w:rPr>
          <w:rFonts w:ascii="Times New Roman" w:hAnsi="Times New Roman" w:cs="Times New Roman"/>
          <w:sz w:val="24"/>
          <w:szCs w:val="24"/>
        </w:rPr>
      </w:pPr>
    </w:p>
    <w:p w14:paraId="7BC73327" w14:textId="226FED57" w:rsidR="00C26648" w:rsidRDefault="001671FF" w:rsidP="001846CE">
      <w:pPr>
        <w:pStyle w:val="ListParagraph"/>
        <w:tabs>
          <w:tab w:val="left" w:pos="427"/>
        </w:tabs>
        <w:ind w:left="567" w:hanging="815"/>
        <w:rPr>
          <w:sz w:val="24"/>
          <w:szCs w:val="24"/>
        </w:rPr>
      </w:pPr>
      <w:r>
        <w:rPr>
          <w:sz w:val="24"/>
          <w:szCs w:val="24"/>
        </w:rPr>
        <w:tab/>
      </w:r>
      <w:r>
        <w:rPr>
          <w:sz w:val="24"/>
          <w:szCs w:val="24"/>
        </w:rPr>
        <w:tab/>
        <w:t>(c)</w:t>
      </w:r>
      <w:r>
        <w:rPr>
          <w:sz w:val="24"/>
          <w:szCs w:val="24"/>
        </w:rPr>
        <w:tab/>
      </w:r>
      <w:r w:rsidR="00C26648" w:rsidRPr="005E3E60">
        <w:rPr>
          <w:sz w:val="24"/>
          <w:szCs w:val="24"/>
        </w:rPr>
        <w:t xml:space="preserve">the Authority and the Operator shall ensure that the Independent Expert has full access to all books, </w:t>
      </w:r>
      <w:proofErr w:type="gramStart"/>
      <w:r w:rsidR="00C26648" w:rsidRPr="005E3E60">
        <w:rPr>
          <w:sz w:val="24"/>
          <w:szCs w:val="24"/>
        </w:rPr>
        <w:t>information</w:t>
      </w:r>
      <w:proofErr w:type="gramEnd"/>
      <w:r w:rsidR="00C26648" w:rsidRPr="005E3E60">
        <w:rPr>
          <w:sz w:val="24"/>
          <w:szCs w:val="24"/>
        </w:rPr>
        <w:t xml:space="preserve"> and records in their possession or in the possession of their auditors and accountants that are relevant to the dispute and to his determination thereon; and</w:t>
      </w:r>
    </w:p>
    <w:p w14:paraId="2E4F7251" w14:textId="77777777" w:rsidR="001671FF" w:rsidRPr="005E3E60" w:rsidRDefault="001671FF" w:rsidP="001846CE">
      <w:pPr>
        <w:pStyle w:val="ListParagraph"/>
        <w:tabs>
          <w:tab w:val="left" w:pos="427"/>
        </w:tabs>
        <w:ind w:left="567" w:hanging="815"/>
        <w:rPr>
          <w:sz w:val="24"/>
          <w:szCs w:val="24"/>
        </w:rPr>
      </w:pPr>
    </w:p>
    <w:p w14:paraId="00FCA7A9" w14:textId="2EB2BCF1" w:rsidR="00C26648" w:rsidRPr="007C5909" w:rsidRDefault="001671FF" w:rsidP="001846CE">
      <w:pPr>
        <w:pStyle w:val="ListParagraph"/>
        <w:tabs>
          <w:tab w:val="left" w:pos="427"/>
        </w:tabs>
        <w:ind w:left="567" w:hanging="815"/>
      </w:pPr>
      <w:r>
        <w:rPr>
          <w:sz w:val="24"/>
          <w:szCs w:val="24"/>
        </w:rPr>
        <w:tab/>
      </w:r>
      <w:r>
        <w:rPr>
          <w:sz w:val="24"/>
          <w:szCs w:val="24"/>
        </w:rPr>
        <w:tab/>
        <w:t>(d)</w:t>
      </w:r>
      <w:r>
        <w:rPr>
          <w:sz w:val="24"/>
          <w:szCs w:val="24"/>
        </w:rPr>
        <w:tab/>
      </w:r>
      <w:r w:rsidR="00C26648" w:rsidRPr="005E3E60">
        <w:rPr>
          <w:sz w:val="24"/>
          <w:szCs w:val="24"/>
        </w:rPr>
        <w:t>the</w:t>
      </w:r>
      <w:r w:rsidR="00C26648" w:rsidRPr="005E3E60">
        <w:rPr>
          <w:spacing w:val="-7"/>
          <w:sz w:val="24"/>
          <w:szCs w:val="24"/>
        </w:rPr>
        <w:t xml:space="preserve"> </w:t>
      </w:r>
      <w:r w:rsidR="00C26648" w:rsidRPr="005E3E60">
        <w:rPr>
          <w:sz w:val="24"/>
          <w:szCs w:val="24"/>
        </w:rPr>
        <w:t>Independent</w:t>
      </w:r>
      <w:r w:rsidR="00C26648" w:rsidRPr="005E3E60">
        <w:rPr>
          <w:spacing w:val="-7"/>
          <w:sz w:val="24"/>
          <w:szCs w:val="24"/>
        </w:rPr>
        <w:t xml:space="preserve"> </w:t>
      </w:r>
      <w:r w:rsidR="00C26648" w:rsidRPr="005E3E60">
        <w:rPr>
          <w:sz w:val="24"/>
          <w:szCs w:val="24"/>
        </w:rPr>
        <w:t>Expert’s</w:t>
      </w:r>
      <w:r w:rsidR="00C26648" w:rsidRPr="005E3E60">
        <w:rPr>
          <w:spacing w:val="-7"/>
          <w:sz w:val="24"/>
          <w:szCs w:val="24"/>
        </w:rPr>
        <w:t xml:space="preserve"> </w:t>
      </w:r>
      <w:r w:rsidR="00C26648" w:rsidRPr="005E3E60">
        <w:rPr>
          <w:sz w:val="24"/>
          <w:szCs w:val="24"/>
        </w:rPr>
        <w:t>fees</w:t>
      </w:r>
      <w:r w:rsidR="00C26648" w:rsidRPr="005E3E60">
        <w:rPr>
          <w:spacing w:val="-7"/>
          <w:sz w:val="24"/>
          <w:szCs w:val="24"/>
        </w:rPr>
        <w:t xml:space="preserve"> </w:t>
      </w:r>
      <w:r w:rsidR="00C26648" w:rsidRPr="005E3E60">
        <w:rPr>
          <w:sz w:val="24"/>
          <w:szCs w:val="24"/>
        </w:rPr>
        <w:t>shall</w:t>
      </w:r>
      <w:r w:rsidR="00C26648" w:rsidRPr="005E3E60">
        <w:rPr>
          <w:spacing w:val="-7"/>
          <w:sz w:val="24"/>
          <w:szCs w:val="24"/>
        </w:rPr>
        <w:t xml:space="preserve"> </w:t>
      </w:r>
      <w:r w:rsidR="00C26648" w:rsidRPr="005E3E60">
        <w:rPr>
          <w:sz w:val="24"/>
          <w:szCs w:val="24"/>
        </w:rPr>
        <w:t>be</w:t>
      </w:r>
      <w:r w:rsidR="00C26648" w:rsidRPr="005E3E60">
        <w:rPr>
          <w:spacing w:val="-7"/>
          <w:sz w:val="24"/>
          <w:szCs w:val="24"/>
        </w:rPr>
        <w:t xml:space="preserve"> </w:t>
      </w:r>
      <w:r w:rsidR="00C26648" w:rsidRPr="005E3E60">
        <w:rPr>
          <w:sz w:val="24"/>
          <w:szCs w:val="24"/>
        </w:rPr>
        <w:t>borne</w:t>
      </w:r>
      <w:r w:rsidR="00C26648" w:rsidRPr="005E3E60">
        <w:rPr>
          <w:spacing w:val="-7"/>
          <w:sz w:val="24"/>
          <w:szCs w:val="24"/>
        </w:rPr>
        <w:t xml:space="preserve"> </w:t>
      </w:r>
      <w:r w:rsidR="00C26648" w:rsidRPr="005E3E60">
        <w:rPr>
          <w:sz w:val="24"/>
          <w:szCs w:val="24"/>
        </w:rPr>
        <w:t>equally</w:t>
      </w:r>
      <w:r w:rsidR="00C26648" w:rsidRPr="005E3E60">
        <w:rPr>
          <w:spacing w:val="-7"/>
          <w:sz w:val="24"/>
          <w:szCs w:val="24"/>
        </w:rPr>
        <w:t xml:space="preserve"> </w:t>
      </w:r>
      <w:r w:rsidR="00C26648" w:rsidRPr="005E3E60">
        <w:rPr>
          <w:sz w:val="24"/>
          <w:szCs w:val="24"/>
        </w:rPr>
        <w:t>by</w:t>
      </w:r>
      <w:r w:rsidR="00C26648" w:rsidRPr="005E3E60">
        <w:rPr>
          <w:spacing w:val="-7"/>
          <w:sz w:val="24"/>
          <w:szCs w:val="24"/>
        </w:rPr>
        <w:t xml:space="preserve"> </w:t>
      </w:r>
      <w:r w:rsidR="00C26648" w:rsidRPr="005E3E60">
        <w:rPr>
          <w:sz w:val="24"/>
          <w:szCs w:val="24"/>
        </w:rPr>
        <w:t>the</w:t>
      </w:r>
      <w:r w:rsidR="00C26648" w:rsidRPr="005E3E60">
        <w:rPr>
          <w:spacing w:val="-7"/>
          <w:sz w:val="24"/>
          <w:szCs w:val="24"/>
        </w:rPr>
        <w:t xml:space="preserve"> </w:t>
      </w:r>
      <w:r w:rsidR="00C26648" w:rsidRPr="005E3E60">
        <w:rPr>
          <w:sz w:val="24"/>
          <w:szCs w:val="24"/>
        </w:rPr>
        <w:t>parties</w:t>
      </w:r>
      <w:r w:rsidR="00C26648" w:rsidRPr="005E3E60">
        <w:rPr>
          <w:spacing w:val="-7"/>
          <w:sz w:val="24"/>
          <w:szCs w:val="24"/>
        </w:rPr>
        <w:t xml:space="preserve"> </w:t>
      </w:r>
      <w:r w:rsidR="00C26648" w:rsidRPr="005E3E60">
        <w:rPr>
          <w:sz w:val="24"/>
          <w:szCs w:val="24"/>
        </w:rPr>
        <w:t>unless</w:t>
      </w:r>
      <w:r w:rsidR="00C26648" w:rsidRPr="005E3E60">
        <w:rPr>
          <w:spacing w:val="-7"/>
          <w:sz w:val="24"/>
          <w:szCs w:val="24"/>
        </w:rPr>
        <w:t xml:space="preserve"> </w:t>
      </w:r>
      <w:r w:rsidR="00C26648" w:rsidRPr="005E3E60">
        <w:rPr>
          <w:sz w:val="24"/>
          <w:szCs w:val="24"/>
        </w:rPr>
        <w:t>they</w:t>
      </w:r>
      <w:r w:rsidR="00C26648" w:rsidRPr="005E3E60">
        <w:rPr>
          <w:spacing w:val="-7"/>
          <w:sz w:val="24"/>
          <w:szCs w:val="24"/>
        </w:rPr>
        <w:t xml:space="preserve"> </w:t>
      </w:r>
      <w:r w:rsidR="00C26648" w:rsidRPr="005E3E60">
        <w:rPr>
          <w:sz w:val="24"/>
          <w:szCs w:val="24"/>
        </w:rPr>
        <w:t>shall</w:t>
      </w:r>
      <w:r w:rsidR="00C26648" w:rsidRPr="005E3E60">
        <w:rPr>
          <w:spacing w:val="-7"/>
          <w:sz w:val="24"/>
          <w:szCs w:val="24"/>
        </w:rPr>
        <w:t xml:space="preserve"> </w:t>
      </w:r>
      <w:r w:rsidR="00C26648" w:rsidRPr="005E3E60">
        <w:rPr>
          <w:sz w:val="24"/>
          <w:szCs w:val="24"/>
        </w:rPr>
        <w:t xml:space="preserve">decide that one party has acted unreasonably (in which case their fees shall be borne as they shall </w:t>
      </w:r>
      <w:r w:rsidR="00C26648" w:rsidRPr="005E3E60">
        <w:rPr>
          <w:spacing w:val="-2"/>
          <w:sz w:val="24"/>
          <w:szCs w:val="24"/>
        </w:rPr>
        <w:t>direct).</w:t>
      </w:r>
      <w:r>
        <w:rPr>
          <w:spacing w:val="-2"/>
          <w:sz w:val="24"/>
          <w:szCs w:val="24"/>
        </w:rPr>
        <w:t>”</w:t>
      </w:r>
    </w:p>
    <w:sectPr w:rsidR="00C26648" w:rsidRPr="007C5909" w:rsidSect="001846CE">
      <w:headerReference w:type="default" r:id="rId9"/>
      <w:footerReference w:type="default" r:id="rId10"/>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9D22" w14:textId="77777777" w:rsidR="00B17169" w:rsidRDefault="00B17169">
      <w:r>
        <w:separator/>
      </w:r>
    </w:p>
  </w:endnote>
  <w:endnote w:type="continuationSeparator" w:id="0">
    <w:p w14:paraId="1A4F09BB" w14:textId="77777777" w:rsidR="00B17169" w:rsidRDefault="00B17169">
      <w:r>
        <w:continuationSeparator/>
      </w:r>
    </w:p>
  </w:endnote>
  <w:endnote w:type="continuationNotice" w:id="1">
    <w:p w14:paraId="415522AC" w14:textId="77777777" w:rsidR="00B17169" w:rsidRDefault="00B171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charset w:val="00"/>
    <w:family w:val="swiss"/>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0FF" w14:textId="77777777" w:rsidR="005E2342" w:rsidRDefault="005E2342">
    <w:pPr>
      <w:pStyle w:val="Footer"/>
      <w:jc w:val="center"/>
      <w:rPr>
        <w:rFonts w:ascii="Times New Roman" w:hAnsi="Times New Roman"/>
        <w:sz w:val="16"/>
      </w:rPr>
    </w:pPr>
  </w:p>
  <w:p w14:paraId="555D678F" w14:textId="564F8C4B" w:rsidR="005E2342" w:rsidRDefault="005E2342">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505B8A">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D100" w14:textId="77777777" w:rsidR="00B17169" w:rsidRDefault="00B17169">
      <w:r>
        <w:separator/>
      </w:r>
    </w:p>
  </w:footnote>
  <w:footnote w:type="continuationSeparator" w:id="0">
    <w:p w14:paraId="54FE9229" w14:textId="77777777" w:rsidR="00B17169" w:rsidRDefault="00B17169">
      <w:r>
        <w:continuationSeparator/>
      </w:r>
    </w:p>
  </w:footnote>
  <w:footnote w:type="continuationNotice" w:id="1">
    <w:p w14:paraId="5DDE2C6F" w14:textId="77777777" w:rsidR="00B17169" w:rsidRDefault="00B171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14:paraId="6339A2E6" w14:textId="77777777">
      <w:tc>
        <w:tcPr>
          <w:tcW w:w="4680" w:type="dxa"/>
        </w:tcPr>
        <w:p w14:paraId="6AD0B04B" w14:textId="77777777" w:rsidR="001846CE" w:rsidRDefault="001846CE">
          <w:pPr>
            <w:pStyle w:val="Header"/>
            <w:rPr>
              <w:rFonts w:ascii="Times New Roman" w:hAnsi="Times New Roman"/>
              <w:b/>
              <w:sz w:val="16"/>
              <w:u w:val="single"/>
            </w:rPr>
          </w:pPr>
          <w:r>
            <w:rPr>
              <w:rFonts w:ascii="Times New Roman" w:hAnsi="Times New Roman"/>
              <w:b/>
              <w:sz w:val="16"/>
              <w:u w:val="single"/>
            </w:rPr>
            <w:t>HHJ CAWSON KC</w:t>
          </w:r>
        </w:p>
        <w:p w14:paraId="6268BD56" w14:textId="630821AF" w:rsidR="005E2342" w:rsidRPr="001846CE" w:rsidRDefault="001846CE">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67347A03" w14:textId="59E08475" w:rsidR="005E2342" w:rsidRDefault="002D1D0B">
          <w:pPr>
            <w:pStyle w:val="Header"/>
            <w:jc w:val="right"/>
            <w:rPr>
              <w:rFonts w:ascii="Times New Roman" w:hAnsi="Times New Roman"/>
              <w:sz w:val="16"/>
            </w:rPr>
          </w:pPr>
          <w:r>
            <w:rPr>
              <w:rFonts w:ascii="Times New Roman" w:hAnsi="Times New Roman"/>
              <w:sz w:val="16"/>
            </w:rPr>
            <w:t>Case No: CC-2023-MAN-000031</w:t>
          </w:r>
        </w:p>
      </w:tc>
    </w:tr>
  </w:tbl>
  <w:p w14:paraId="352B3B48"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8F4"/>
    <w:multiLevelType w:val="hybridMultilevel"/>
    <w:tmpl w:val="413850F8"/>
    <w:lvl w:ilvl="0" w:tplc="D0D05666">
      <w:start w:val="2"/>
      <w:numFmt w:val="decimal"/>
      <w:lvlText w:val="%1."/>
      <w:lvlJc w:val="left"/>
      <w:pPr>
        <w:ind w:left="100" w:hanging="233"/>
      </w:pPr>
      <w:rPr>
        <w:rFonts w:ascii="Times New Roman" w:eastAsia="Times New Roman" w:hAnsi="Times New Roman" w:cs="Times New Roman" w:hint="default"/>
        <w:b w:val="0"/>
        <w:bCs w:val="0"/>
        <w:i/>
        <w:iCs/>
        <w:spacing w:val="0"/>
        <w:w w:val="100"/>
        <w:sz w:val="24"/>
        <w:szCs w:val="24"/>
        <w:lang w:val="en-US" w:eastAsia="en-US" w:bidi="ar-SA"/>
      </w:rPr>
    </w:lvl>
    <w:lvl w:ilvl="1" w:tplc="88906B06">
      <w:start w:val="1"/>
      <w:numFmt w:val="lowerLetter"/>
      <w:lvlText w:val="(%2)"/>
      <w:lvlJc w:val="left"/>
      <w:pPr>
        <w:ind w:left="100" w:hanging="348"/>
      </w:pPr>
      <w:rPr>
        <w:rFonts w:ascii="Times New Roman" w:eastAsia="Times New Roman" w:hAnsi="Times New Roman" w:cs="Times New Roman" w:hint="default"/>
        <w:b w:val="0"/>
        <w:bCs w:val="0"/>
        <w:i/>
        <w:iCs/>
        <w:spacing w:val="0"/>
        <w:w w:val="100"/>
        <w:sz w:val="24"/>
        <w:szCs w:val="24"/>
        <w:lang w:val="en-US" w:eastAsia="en-US" w:bidi="ar-SA"/>
      </w:rPr>
    </w:lvl>
    <w:lvl w:ilvl="2" w:tplc="17C08BA2">
      <w:numFmt w:val="bullet"/>
      <w:lvlText w:val="•"/>
      <w:lvlJc w:val="left"/>
      <w:pPr>
        <w:ind w:left="1928" w:hanging="348"/>
      </w:pPr>
      <w:rPr>
        <w:rFonts w:hint="default"/>
        <w:lang w:val="en-US" w:eastAsia="en-US" w:bidi="ar-SA"/>
      </w:rPr>
    </w:lvl>
    <w:lvl w:ilvl="3" w:tplc="562C4FE6">
      <w:numFmt w:val="bullet"/>
      <w:lvlText w:val="•"/>
      <w:lvlJc w:val="left"/>
      <w:pPr>
        <w:ind w:left="2842" w:hanging="348"/>
      </w:pPr>
      <w:rPr>
        <w:rFonts w:hint="default"/>
        <w:lang w:val="en-US" w:eastAsia="en-US" w:bidi="ar-SA"/>
      </w:rPr>
    </w:lvl>
    <w:lvl w:ilvl="4" w:tplc="8A58CDEE">
      <w:numFmt w:val="bullet"/>
      <w:lvlText w:val="•"/>
      <w:lvlJc w:val="left"/>
      <w:pPr>
        <w:ind w:left="3756" w:hanging="348"/>
      </w:pPr>
      <w:rPr>
        <w:rFonts w:hint="default"/>
        <w:lang w:val="en-US" w:eastAsia="en-US" w:bidi="ar-SA"/>
      </w:rPr>
    </w:lvl>
    <w:lvl w:ilvl="5" w:tplc="B044C510">
      <w:numFmt w:val="bullet"/>
      <w:lvlText w:val="•"/>
      <w:lvlJc w:val="left"/>
      <w:pPr>
        <w:ind w:left="4670" w:hanging="348"/>
      </w:pPr>
      <w:rPr>
        <w:rFonts w:hint="default"/>
        <w:lang w:val="en-US" w:eastAsia="en-US" w:bidi="ar-SA"/>
      </w:rPr>
    </w:lvl>
    <w:lvl w:ilvl="6" w:tplc="694024E0">
      <w:numFmt w:val="bullet"/>
      <w:lvlText w:val="•"/>
      <w:lvlJc w:val="left"/>
      <w:pPr>
        <w:ind w:left="5584" w:hanging="348"/>
      </w:pPr>
      <w:rPr>
        <w:rFonts w:hint="default"/>
        <w:lang w:val="en-US" w:eastAsia="en-US" w:bidi="ar-SA"/>
      </w:rPr>
    </w:lvl>
    <w:lvl w:ilvl="7" w:tplc="30F80DCA">
      <w:numFmt w:val="bullet"/>
      <w:lvlText w:val="•"/>
      <w:lvlJc w:val="left"/>
      <w:pPr>
        <w:ind w:left="6498" w:hanging="348"/>
      </w:pPr>
      <w:rPr>
        <w:rFonts w:hint="default"/>
        <w:lang w:val="en-US" w:eastAsia="en-US" w:bidi="ar-SA"/>
      </w:rPr>
    </w:lvl>
    <w:lvl w:ilvl="8" w:tplc="7A547856">
      <w:numFmt w:val="bullet"/>
      <w:lvlText w:val="•"/>
      <w:lvlJc w:val="left"/>
      <w:pPr>
        <w:ind w:left="7412" w:hanging="348"/>
      </w:pPr>
      <w:rPr>
        <w:rFonts w:hint="default"/>
        <w:lang w:val="en-US" w:eastAsia="en-US" w:bidi="ar-SA"/>
      </w:rPr>
    </w:lvl>
  </w:abstractNum>
  <w:abstractNum w:abstractNumId="1" w15:restartNumberingAfterBreak="0">
    <w:nsid w:val="12FE5FCA"/>
    <w:multiLevelType w:val="hybridMultilevel"/>
    <w:tmpl w:val="243EDED2"/>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15:restartNumberingAfterBreak="0">
    <w:nsid w:val="4D9B72BB"/>
    <w:multiLevelType w:val="hybridMultilevel"/>
    <w:tmpl w:val="A2F0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1435058783">
    <w:abstractNumId w:val="4"/>
  </w:num>
  <w:num w:numId="2" w16cid:durableId="1883786870">
    <w:abstractNumId w:val="4"/>
  </w:num>
  <w:num w:numId="3" w16cid:durableId="1539201054">
    <w:abstractNumId w:val="4"/>
  </w:num>
  <w:num w:numId="4" w16cid:durableId="1014259127">
    <w:abstractNumId w:val="4"/>
  </w:num>
  <w:num w:numId="5" w16cid:durableId="94523006">
    <w:abstractNumId w:val="4"/>
  </w:num>
  <w:num w:numId="6" w16cid:durableId="8680782">
    <w:abstractNumId w:val="4"/>
  </w:num>
  <w:num w:numId="7" w16cid:durableId="145829682">
    <w:abstractNumId w:val="4"/>
  </w:num>
  <w:num w:numId="8" w16cid:durableId="1089232564">
    <w:abstractNumId w:val="4"/>
  </w:num>
  <w:num w:numId="9" w16cid:durableId="1482849614">
    <w:abstractNumId w:val="4"/>
  </w:num>
  <w:num w:numId="10" w16cid:durableId="1744335413">
    <w:abstractNumId w:val="3"/>
  </w:num>
  <w:num w:numId="11" w16cid:durableId="1388912390">
    <w:abstractNumId w:val="2"/>
  </w:num>
  <w:num w:numId="12" w16cid:durableId="638263384">
    <w:abstractNumId w:val="1"/>
  </w:num>
  <w:num w:numId="13" w16cid:durableId="16733374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7081649">
    <w:abstractNumId w:val="4"/>
  </w:num>
  <w:num w:numId="15" w16cid:durableId="796948039">
    <w:abstractNumId w:val="4"/>
  </w:num>
  <w:num w:numId="16" w16cid:durableId="547451040">
    <w:abstractNumId w:val="4"/>
  </w:num>
  <w:num w:numId="17" w16cid:durableId="1851678236">
    <w:abstractNumId w:val="4"/>
  </w:num>
  <w:num w:numId="18" w16cid:durableId="283999806">
    <w:abstractNumId w:val="0"/>
  </w:num>
  <w:num w:numId="19" w16cid:durableId="1052118974">
    <w:abstractNumId w:val="4"/>
  </w:num>
  <w:num w:numId="20" w16cid:durableId="1563903321">
    <w:abstractNumId w:val="4"/>
  </w:num>
  <w:num w:numId="21" w16cid:durableId="227228979">
    <w:abstractNumId w:val="4"/>
  </w:num>
  <w:num w:numId="22" w16cid:durableId="1776364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40F11714-53A2-4D9D-8CE9-8ED92B259B01}"/>
    <w:docVar w:name="dgnword-eventsink" w:val="1672576101808"/>
  </w:docVars>
  <w:rsids>
    <w:rsidRoot w:val="00980AA4"/>
    <w:rsid w:val="000005DF"/>
    <w:rsid w:val="00001398"/>
    <w:rsid w:val="000018EC"/>
    <w:rsid w:val="000020AD"/>
    <w:rsid w:val="00003007"/>
    <w:rsid w:val="00007DBD"/>
    <w:rsid w:val="00010559"/>
    <w:rsid w:val="0001086E"/>
    <w:rsid w:val="00011809"/>
    <w:rsid w:val="00014AEC"/>
    <w:rsid w:val="00015567"/>
    <w:rsid w:val="000159D1"/>
    <w:rsid w:val="000165D0"/>
    <w:rsid w:val="00017B27"/>
    <w:rsid w:val="00020644"/>
    <w:rsid w:val="00021FE6"/>
    <w:rsid w:val="000252E9"/>
    <w:rsid w:val="000256F4"/>
    <w:rsid w:val="00025777"/>
    <w:rsid w:val="00025892"/>
    <w:rsid w:val="00027271"/>
    <w:rsid w:val="00030D4C"/>
    <w:rsid w:val="00031155"/>
    <w:rsid w:val="00032203"/>
    <w:rsid w:val="00033762"/>
    <w:rsid w:val="000340EE"/>
    <w:rsid w:val="00034B1C"/>
    <w:rsid w:val="0004122E"/>
    <w:rsid w:val="000428EA"/>
    <w:rsid w:val="00044241"/>
    <w:rsid w:val="0004459A"/>
    <w:rsid w:val="00045F70"/>
    <w:rsid w:val="000463D4"/>
    <w:rsid w:val="00051929"/>
    <w:rsid w:val="0005268D"/>
    <w:rsid w:val="00055596"/>
    <w:rsid w:val="00055C09"/>
    <w:rsid w:val="00056035"/>
    <w:rsid w:val="00063E75"/>
    <w:rsid w:val="00070E14"/>
    <w:rsid w:val="00071215"/>
    <w:rsid w:val="000715A7"/>
    <w:rsid w:val="00071A22"/>
    <w:rsid w:val="00071E40"/>
    <w:rsid w:val="00072001"/>
    <w:rsid w:val="00073EB3"/>
    <w:rsid w:val="00074CC8"/>
    <w:rsid w:val="00074EF5"/>
    <w:rsid w:val="00075739"/>
    <w:rsid w:val="00076B4F"/>
    <w:rsid w:val="0007715D"/>
    <w:rsid w:val="00077711"/>
    <w:rsid w:val="00077D30"/>
    <w:rsid w:val="000801B6"/>
    <w:rsid w:val="0008388A"/>
    <w:rsid w:val="0008431E"/>
    <w:rsid w:val="000868BB"/>
    <w:rsid w:val="00086EE7"/>
    <w:rsid w:val="00087420"/>
    <w:rsid w:val="00087D74"/>
    <w:rsid w:val="000906ED"/>
    <w:rsid w:val="000928C8"/>
    <w:rsid w:val="00092C8F"/>
    <w:rsid w:val="00097C72"/>
    <w:rsid w:val="000A20B9"/>
    <w:rsid w:val="000A2E06"/>
    <w:rsid w:val="000A34FB"/>
    <w:rsid w:val="000A433A"/>
    <w:rsid w:val="000A5BE2"/>
    <w:rsid w:val="000A5F38"/>
    <w:rsid w:val="000A66AA"/>
    <w:rsid w:val="000A6825"/>
    <w:rsid w:val="000A71E9"/>
    <w:rsid w:val="000A7CE0"/>
    <w:rsid w:val="000B1262"/>
    <w:rsid w:val="000B2679"/>
    <w:rsid w:val="000B3E69"/>
    <w:rsid w:val="000B4766"/>
    <w:rsid w:val="000B4F91"/>
    <w:rsid w:val="000B57C0"/>
    <w:rsid w:val="000C08DD"/>
    <w:rsid w:val="000C1A60"/>
    <w:rsid w:val="000C2EFD"/>
    <w:rsid w:val="000C3C42"/>
    <w:rsid w:val="000C40B0"/>
    <w:rsid w:val="000C4C80"/>
    <w:rsid w:val="000C5746"/>
    <w:rsid w:val="000C593F"/>
    <w:rsid w:val="000C6043"/>
    <w:rsid w:val="000C6909"/>
    <w:rsid w:val="000D0325"/>
    <w:rsid w:val="000D39D8"/>
    <w:rsid w:val="000D470D"/>
    <w:rsid w:val="000D5B65"/>
    <w:rsid w:val="000D5D9C"/>
    <w:rsid w:val="000D61D9"/>
    <w:rsid w:val="000E0238"/>
    <w:rsid w:val="000E115C"/>
    <w:rsid w:val="000E2128"/>
    <w:rsid w:val="000E2F42"/>
    <w:rsid w:val="000E3469"/>
    <w:rsid w:val="000E4BF2"/>
    <w:rsid w:val="000E5603"/>
    <w:rsid w:val="000E6E40"/>
    <w:rsid w:val="000E6E9A"/>
    <w:rsid w:val="000E74F0"/>
    <w:rsid w:val="000F01B8"/>
    <w:rsid w:val="000F23ED"/>
    <w:rsid w:val="000F2DD8"/>
    <w:rsid w:val="000F3654"/>
    <w:rsid w:val="000F4579"/>
    <w:rsid w:val="000F49E7"/>
    <w:rsid w:val="000F5EC7"/>
    <w:rsid w:val="000F694C"/>
    <w:rsid w:val="0010339E"/>
    <w:rsid w:val="0010375C"/>
    <w:rsid w:val="00104C06"/>
    <w:rsid w:val="00105F61"/>
    <w:rsid w:val="00107A4F"/>
    <w:rsid w:val="0011096E"/>
    <w:rsid w:val="00111208"/>
    <w:rsid w:val="00111BAA"/>
    <w:rsid w:val="00111FF1"/>
    <w:rsid w:val="001134D6"/>
    <w:rsid w:val="00116195"/>
    <w:rsid w:val="00116695"/>
    <w:rsid w:val="001168D3"/>
    <w:rsid w:val="001219AE"/>
    <w:rsid w:val="00122815"/>
    <w:rsid w:val="0012348F"/>
    <w:rsid w:val="00123C3A"/>
    <w:rsid w:val="00124B85"/>
    <w:rsid w:val="00125042"/>
    <w:rsid w:val="00126A85"/>
    <w:rsid w:val="00126CE8"/>
    <w:rsid w:val="0013155A"/>
    <w:rsid w:val="0013409E"/>
    <w:rsid w:val="001342BF"/>
    <w:rsid w:val="001350B9"/>
    <w:rsid w:val="00135997"/>
    <w:rsid w:val="001364B5"/>
    <w:rsid w:val="00136FDD"/>
    <w:rsid w:val="00137834"/>
    <w:rsid w:val="00140EC6"/>
    <w:rsid w:val="00141AB2"/>
    <w:rsid w:val="001441F1"/>
    <w:rsid w:val="0014597D"/>
    <w:rsid w:val="00146566"/>
    <w:rsid w:val="00146B91"/>
    <w:rsid w:val="001479F3"/>
    <w:rsid w:val="00150D1F"/>
    <w:rsid w:val="00152B71"/>
    <w:rsid w:val="00153192"/>
    <w:rsid w:val="00156EA0"/>
    <w:rsid w:val="001579E7"/>
    <w:rsid w:val="001621C4"/>
    <w:rsid w:val="00162C46"/>
    <w:rsid w:val="00165BCD"/>
    <w:rsid w:val="0016706E"/>
    <w:rsid w:val="001671FF"/>
    <w:rsid w:val="00170857"/>
    <w:rsid w:val="00171461"/>
    <w:rsid w:val="00171A6E"/>
    <w:rsid w:val="00171DE9"/>
    <w:rsid w:val="00172B43"/>
    <w:rsid w:val="001744C3"/>
    <w:rsid w:val="001752CF"/>
    <w:rsid w:val="001756C3"/>
    <w:rsid w:val="00175FE5"/>
    <w:rsid w:val="00177623"/>
    <w:rsid w:val="00177835"/>
    <w:rsid w:val="00177D38"/>
    <w:rsid w:val="00181426"/>
    <w:rsid w:val="001846CE"/>
    <w:rsid w:val="001858EE"/>
    <w:rsid w:val="0018752E"/>
    <w:rsid w:val="00192CD3"/>
    <w:rsid w:val="00194360"/>
    <w:rsid w:val="00194716"/>
    <w:rsid w:val="0019477A"/>
    <w:rsid w:val="00194F55"/>
    <w:rsid w:val="00197EA3"/>
    <w:rsid w:val="001A0275"/>
    <w:rsid w:val="001A3B0E"/>
    <w:rsid w:val="001A4040"/>
    <w:rsid w:val="001A5D7E"/>
    <w:rsid w:val="001A681E"/>
    <w:rsid w:val="001A76A7"/>
    <w:rsid w:val="001B2941"/>
    <w:rsid w:val="001B3CB1"/>
    <w:rsid w:val="001B3F0E"/>
    <w:rsid w:val="001B633C"/>
    <w:rsid w:val="001B6369"/>
    <w:rsid w:val="001B7AC4"/>
    <w:rsid w:val="001B7F40"/>
    <w:rsid w:val="001C0139"/>
    <w:rsid w:val="001C1881"/>
    <w:rsid w:val="001C23A4"/>
    <w:rsid w:val="001C2D55"/>
    <w:rsid w:val="001C5A8B"/>
    <w:rsid w:val="001C7DD3"/>
    <w:rsid w:val="001D024D"/>
    <w:rsid w:val="001D04A6"/>
    <w:rsid w:val="001D1022"/>
    <w:rsid w:val="001D17C0"/>
    <w:rsid w:val="001D4E14"/>
    <w:rsid w:val="001D53BD"/>
    <w:rsid w:val="001D54B0"/>
    <w:rsid w:val="001D5D76"/>
    <w:rsid w:val="001D5D9F"/>
    <w:rsid w:val="001D6223"/>
    <w:rsid w:val="001D6C60"/>
    <w:rsid w:val="001D6CF8"/>
    <w:rsid w:val="001D6FCF"/>
    <w:rsid w:val="001D7B27"/>
    <w:rsid w:val="001E214A"/>
    <w:rsid w:val="001E4ABB"/>
    <w:rsid w:val="001E62F9"/>
    <w:rsid w:val="001E6C50"/>
    <w:rsid w:val="001E6E8D"/>
    <w:rsid w:val="001E727B"/>
    <w:rsid w:val="001F04A5"/>
    <w:rsid w:val="001F0687"/>
    <w:rsid w:val="001F1D6C"/>
    <w:rsid w:val="001F1EC6"/>
    <w:rsid w:val="001F2C36"/>
    <w:rsid w:val="001F3E03"/>
    <w:rsid w:val="001F4D17"/>
    <w:rsid w:val="001F4DBA"/>
    <w:rsid w:val="001F50EA"/>
    <w:rsid w:val="001F5220"/>
    <w:rsid w:val="001F5510"/>
    <w:rsid w:val="001F7362"/>
    <w:rsid w:val="00201736"/>
    <w:rsid w:val="00202485"/>
    <w:rsid w:val="002045CF"/>
    <w:rsid w:val="0020566D"/>
    <w:rsid w:val="0020687B"/>
    <w:rsid w:val="00206DBC"/>
    <w:rsid w:val="00207EAA"/>
    <w:rsid w:val="00210720"/>
    <w:rsid w:val="0021401C"/>
    <w:rsid w:val="00214588"/>
    <w:rsid w:val="0021608A"/>
    <w:rsid w:val="002171E2"/>
    <w:rsid w:val="00222C22"/>
    <w:rsid w:val="00223E53"/>
    <w:rsid w:val="00226FE4"/>
    <w:rsid w:val="0023170F"/>
    <w:rsid w:val="00231977"/>
    <w:rsid w:val="00231AE4"/>
    <w:rsid w:val="002327A2"/>
    <w:rsid w:val="0023415E"/>
    <w:rsid w:val="002342CB"/>
    <w:rsid w:val="00234B13"/>
    <w:rsid w:val="00235325"/>
    <w:rsid w:val="00235686"/>
    <w:rsid w:val="002363D6"/>
    <w:rsid w:val="00242515"/>
    <w:rsid w:val="00245135"/>
    <w:rsid w:val="002451A9"/>
    <w:rsid w:val="00246193"/>
    <w:rsid w:val="00247A89"/>
    <w:rsid w:val="00250B51"/>
    <w:rsid w:val="00251B1D"/>
    <w:rsid w:val="0025368A"/>
    <w:rsid w:val="00256D11"/>
    <w:rsid w:val="002620E4"/>
    <w:rsid w:val="002627AE"/>
    <w:rsid w:val="0026295F"/>
    <w:rsid w:val="00264684"/>
    <w:rsid w:val="0026502A"/>
    <w:rsid w:val="00265A14"/>
    <w:rsid w:val="00266B72"/>
    <w:rsid w:val="00266F20"/>
    <w:rsid w:val="00267485"/>
    <w:rsid w:val="00267B77"/>
    <w:rsid w:val="00270437"/>
    <w:rsid w:val="00274207"/>
    <w:rsid w:val="00274FCE"/>
    <w:rsid w:val="00275120"/>
    <w:rsid w:val="0027531C"/>
    <w:rsid w:val="00275AE1"/>
    <w:rsid w:val="00276793"/>
    <w:rsid w:val="00276D02"/>
    <w:rsid w:val="00277927"/>
    <w:rsid w:val="00277A83"/>
    <w:rsid w:val="00283215"/>
    <w:rsid w:val="002838BF"/>
    <w:rsid w:val="00283D14"/>
    <w:rsid w:val="00285F1B"/>
    <w:rsid w:val="00285FA7"/>
    <w:rsid w:val="002862B3"/>
    <w:rsid w:val="0028771C"/>
    <w:rsid w:val="00287885"/>
    <w:rsid w:val="00290233"/>
    <w:rsid w:val="00294BB8"/>
    <w:rsid w:val="00297BDC"/>
    <w:rsid w:val="002A0727"/>
    <w:rsid w:val="002A0EF2"/>
    <w:rsid w:val="002A27F6"/>
    <w:rsid w:val="002A34CA"/>
    <w:rsid w:val="002A3E2A"/>
    <w:rsid w:val="002A555F"/>
    <w:rsid w:val="002A73CA"/>
    <w:rsid w:val="002B1710"/>
    <w:rsid w:val="002B18A2"/>
    <w:rsid w:val="002B3C4A"/>
    <w:rsid w:val="002B3F17"/>
    <w:rsid w:val="002B5134"/>
    <w:rsid w:val="002B6249"/>
    <w:rsid w:val="002B77C5"/>
    <w:rsid w:val="002C08B9"/>
    <w:rsid w:val="002C0919"/>
    <w:rsid w:val="002C2487"/>
    <w:rsid w:val="002C3916"/>
    <w:rsid w:val="002C3AEC"/>
    <w:rsid w:val="002C5285"/>
    <w:rsid w:val="002D1D0B"/>
    <w:rsid w:val="002D355F"/>
    <w:rsid w:val="002D35C1"/>
    <w:rsid w:val="002D39AD"/>
    <w:rsid w:val="002D3A4F"/>
    <w:rsid w:val="002D4015"/>
    <w:rsid w:val="002D4B10"/>
    <w:rsid w:val="002D5B04"/>
    <w:rsid w:val="002D7B95"/>
    <w:rsid w:val="002E01B3"/>
    <w:rsid w:val="002E1E01"/>
    <w:rsid w:val="002E212F"/>
    <w:rsid w:val="002E4323"/>
    <w:rsid w:val="002E4B8D"/>
    <w:rsid w:val="002E6B45"/>
    <w:rsid w:val="002E6E4B"/>
    <w:rsid w:val="002E79C9"/>
    <w:rsid w:val="002E7BA0"/>
    <w:rsid w:val="002F2C73"/>
    <w:rsid w:val="002F3AD6"/>
    <w:rsid w:val="002F5E7E"/>
    <w:rsid w:val="002F5F8C"/>
    <w:rsid w:val="002F6A70"/>
    <w:rsid w:val="00300D9E"/>
    <w:rsid w:val="00301790"/>
    <w:rsid w:val="003022EA"/>
    <w:rsid w:val="003051A6"/>
    <w:rsid w:val="00306F45"/>
    <w:rsid w:val="00310513"/>
    <w:rsid w:val="00311F5C"/>
    <w:rsid w:val="00312B7D"/>
    <w:rsid w:val="003130B1"/>
    <w:rsid w:val="00314430"/>
    <w:rsid w:val="00314E83"/>
    <w:rsid w:val="00320797"/>
    <w:rsid w:val="00321A0E"/>
    <w:rsid w:val="00321F09"/>
    <w:rsid w:val="00325C20"/>
    <w:rsid w:val="00326853"/>
    <w:rsid w:val="00330E88"/>
    <w:rsid w:val="003318D3"/>
    <w:rsid w:val="00332EDC"/>
    <w:rsid w:val="00333746"/>
    <w:rsid w:val="00335575"/>
    <w:rsid w:val="0033615A"/>
    <w:rsid w:val="00337662"/>
    <w:rsid w:val="003410E3"/>
    <w:rsid w:val="003415CD"/>
    <w:rsid w:val="00342148"/>
    <w:rsid w:val="0034293B"/>
    <w:rsid w:val="0034472C"/>
    <w:rsid w:val="00345A13"/>
    <w:rsid w:val="00345D15"/>
    <w:rsid w:val="003467CC"/>
    <w:rsid w:val="003525B8"/>
    <w:rsid w:val="00352918"/>
    <w:rsid w:val="00353780"/>
    <w:rsid w:val="00353AB7"/>
    <w:rsid w:val="00355FB8"/>
    <w:rsid w:val="00356332"/>
    <w:rsid w:val="00360D9F"/>
    <w:rsid w:val="00361EE3"/>
    <w:rsid w:val="0036288A"/>
    <w:rsid w:val="003635C0"/>
    <w:rsid w:val="00363F07"/>
    <w:rsid w:val="00366324"/>
    <w:rsid w:val="00366471"/>
    <w:rsid w:val="00367620"/>
    <w:rsid w:val="003700B4"/>
    <w:rsid w:val="00370158"/>
    <w:rsid w:val="00370594"/>
    <w:rsid w:val="00371AA7"/>
    <w:rsid w:val="003748B4"/>
    <w:rsid w:val="00374CE9"/>
    <w:rsid w:val="00374F5D"/>
    <w:rsid w:val="00375026"/>
    <w:rsid w:val="00376176"/>
    <w:rsid w:val="003776B1"/>
    <w:rsid w:val="00384913"/>
    <w:rsid w:val="003857DB"/>
    <w:rsid w:val="00387EA6"/>
    <w:rsid w:val="003932F6"/>
    <w:rsid w:val="00394537"/>
    <w:rsid w:val="00394947"/>
    <w:rsid w:val="00394985"/>
    <w:rsid w:val="00395F7C"/>
    <w:rsid w:val="00396B35"/>
    <w:rsid w:val="00397431"/>
    <w:rsid w:val="003A0AB9"/>
    <w:rsid w:val="003A1487"/>
    <w:rsid w:val="003A1997"/>
    <w:rsid w:val="003A45A9"/>
    <w:rsid w:val="003A47BF"/>
    <w:rsid w:val="003B095D"/>
    <w:rsid w:val="003B1824"/>
    <w:rsid w:val="003B1BCE"/>
    <w:rsid w:val="003B1E86"/>
    <w:rsid w:val="003B4D12"/>
    <w:rsid w:val="003C0BEB"/>
    <w:rsid w:val="003C408A"/>
    <w:rsid w:val="003C450B"/>
    <w:rsid w:val="003C5466"/>
    <w:rsid w:val="003C6450"/>
    <w:rsid w:val="003C74F2"/>
    <w:rsid w:val="003D06CB"/>
    <w:rsid w:val="003D0965"/>
    <w:rsid w:val="003D1A15"/>
    <w:rsid w:val="003D26A6"/>
    <w:rsid w:val="003D3E11"/>
    <w:rsid w:val="003D5F80"/>
    <w:rsid w:val="003D7A63"/>
    <w:rsid w:val="003E1021"/>
    <w:rsid w:val="003E4205"/>
    <w:rsid w:val="003E4D37"/>
    <w:rsid w:val="003E72A3"/>
    <w:rsid w:val="003F0EFE"/>
    <w:rsid w:val="003F2364"/>
    <w:rsid w:val="003F53E4"/>
    <w:rsid w:val="003F5E17"/>
    <w:rsid w:val="003F66DF"/>
    <w:rsid w:val="0040217A"/>
    <w:rsid w:val="004034AD"/>
    <w:rsid w:val="00403612"/>
    <w:rsid w:val="00403B10"/>
    <w:rsid w:val="004048CE"/>
    <w:rsid w:val="0040738A"/>
    <w:rsid w:val="00410F5F"/>
    <w:rsid w:val="0041138F"/>
    <w:rsid w:val="0041304F"/>
    <w:rsid w:val="0041427E"/>
    <w:rsid w:val="00417818"/>
    <w:rsid w:val="00421880"/>
    <w:rsid w:val="0042208B"/>
    <w:rsid w:val="00425077"/>
    <w:rsid w:val="00427233"/>
    <w:rsid w:val="004279D0"/>
    <w:rsid w:val="00430293"/>
    <w:rsid w:val="00430856"/>
    <w:rsid w:val="00430A3C"/>
    <w:rsid w:val="00432656"/>
    <w:rsid w:val="004336BA"/>
    <w:rsid w:val="0043420C"/>
    <w:rsid w:val="00435203"/>
    <w:rsid w:val="00435743"/>
    <w:rsid w:val="00437160"/>
    <w:rsid w:val="00437BD7"/>
    <w:rsid w:val="0044457E"/>
    <w:rsid w:val="0044498C"/>
    <w:rsid w:val="004449B0"/>
    <w:rsid w:val="004456E1"/>
    <w:rsid w:val="004463D7"/>
    <w:rsid w:val="00446907"/>
    <w:rsid w:val="00447FE9"/>
    <w:rsid w:val="00450BC7"/>
    <w:rsid w:val="00453421"/>
    <w:rsid w:val="004545ED"/>
    <w:rsid w:val="00455B9D"/>
    <w:rsid w:val="00455BAD"/>
    <w:rsid w:val="00455F28"/>
    <w:rsid w:val="00455F7E"/>
    <w:rsid w:val="0045751C"/>
    <w:rsid w:val="00457C13"/>
    <w:rsid w:val="00460FC0"/>
    <w:rsid w:val="004612B8"/>
    <w:rsid w:val="00461BD7"/>
    <w:rsid w:val="0046248B"/>
    <w:rsid w:val="00462EDC"/>
    <w:rsid w:val="004635B3"/>
    <w:rsid w:val="00464102"/>
    <w:rsid w:val="00464541"/>
    <w:rsid w:val="004653A8"/>
    <w:rsid w:val="00470D8C"/>
    <w:rsid w:val="00476207"/>
    <w:rsid w:val="00476F6F"/>
    <w:rsid w:val="0048039A"/>
    <w:rsid w:val="00480B21"/>
    <w:rsid w:val="00482916"/>
    <w:rsid w:val="00483125"/>
    <w:rsid w:val="0048313E"/>
    <w:rsid w:val="004839EE"/>
    <w:rsid w:val="00483A83"/>
    <w:rsid w:val="004844CB"/>
    <w:rsid w:val="004858C6"/>
    <w:rsid w:val="004868BE"/>
    <w:rsid w:val="004868D6"/>
    <w:rsid w:val="00487577"/>
    <w:rsid w:val="004878C6"/>
    <w:rsid w:val="004905B1"/>
    <w:rsid w:val="00491AE9"/>
    <w:rsid w:val="004924CD"/>
    <w:rsid w:val="004926AC"/>
    <w:rsid w:val="004A27E5"/>
    <w:rsid w:val="004A364F"/>
    <w:rsid w:val="004A3C32"/>
    <w:rsid w:val="004A6CA3"/>
    <w:rsid w:val="004B1867"/>
    <w:rsid w:val="004B3EEC"/>
    <w:rsid w:val="004B41F9"/>
    <w:rsid w:val="004B463B"/>
    <w:rsid w:val="004C153D"/>
    <w:rsid w:val="004C313A"/>
    <w:rsid w:val="004C471B"/>
    <w:rsid w:val="004C5119"/>
    <w:rsid w:val="004C527C"/>
    <w:rsid w:val="004C775D"/>
    <w:rsid w:val="004D2E59"/>
    <w:rsid w:val="004D416F"/>
    <w:rsid w:val="004D4D38"/>
    <w:rsid w:val="004D6598"/>
    <w:rsid w:val="004D78CD"/>
    <w:rsid w:val="004E03F9"/>
    <w:rsid w:val="004E1605"/>
    <w:rsid w:val="004E1908"/>
    <w:rsid w:val="004E1C6F"/>
    <w:rsid w:val="004E1DA2"/>
    <w:rsid w:val="004E2712"/>
    <w:rsid w:val="004E4AD6"/>
    <w:rsid w:val="004E52BF"/>
    <w:rsid w:val="004E66D5"/>
    <w:rsid w:val="004E6FF7"/>
    <w:rsid w:val="004E73E3"/>
    <w:rsid w:val="004F0E62"/>
    <w:rsid w:val="004F1994"/>
    <w:rsid w:val="004F22CC"/>
    <w:rsid w:val="005013F6"/>
    <w:rsid w:val="0050324A"/>
    <w:rsid w:val="005040AE"/>
    <w:rsid w:val="00504A70"/>
    <w:rsid w:val="0050544D"/>
    <w:rsid w:val="00505B8A"/>
    <w:rsid w:val="00505DB1"/>
    <w:rsid w:val="0050780F"/>
    <w:rsid w:val="00510154"/>
    <w:rsid w:val="00511BD4"/>
    <w:rsid w:val="00511C0C"/>
    <w:rsid w:val="00512DAA"/>
    <w:rsid w:val="005141DD"/>
    <w:rsid w:val="005154B7"/>
    <w:rsid w:val="00515B99"/>
    <w:rsid w:val="005177A9"/>
    <w:rsid w:val="00520F4C"/>
    <w:rsid w:val="00521183"/>
    <w:rsid w:val="00523D04"/>
    <w:rsid w:val="0052534D"/>
    <w:rsid w:val="00527C8D"/>
    <w:rsid w:val="00531002"/>
    <w:rsid w:val="005346CE"/>
    <w:rsid w:val="005350EE"/>
    <w:rsid w:val="00535F6A"/>
    <w:rsid w:val="00536E53"/>
    <w:rsid w:val="005371E9"/>
    <w:rsid w:val="00541465"/>
    <w:rsid w:val="00543ACB"/>
    <w:rsid w:val="00543FEE"/>
    <w:rsid w:val="0054419B"/>
    <w:rsid w:val="00544532"/>
    <w:rsid w:val="00551706"/>
    <w:rsid w:val="005531EE"/>
    <w:rsid w:val="005553BC"/>
    <w:rsid w:val="0055588D"/>
    <w:rsid w:val="00556BAB"/>
    <w:rsid w:val="00556D5F"/>
    <w:rsid w:val="00557230"/>
    <w:rsid w:val="0055745E"/>
    <w:rsid w:val="00557788"/>
    <w:rsid w:val="00563499"/>
    <w:rsid w:val="0056361C"/>
    <w:rsid w:val="00563993"/>
    <w:rsid w:val="00563B65"/>
    <w:rsid w:val="00566735"/>
    <w:rsid w:val="00567DC8"/>
    <w:rsid w:val="00570AAB"/>
    <w:rsid w:val="0057312A"/>
    <w:rsid w:val="005746A9"/>
    <w:rsid w:val="00577176"/>
    <w:rsid w:val="0058026E"/>
    <w:rsid w:val="00580C42"/>
    <w:rsid w:val="00584996"/>
    <w:rsid w:val="005917D9"/>
    <w:rsid w:val="005954E5"/>
    <w:rsid w:val="005968DA"/>
    <w:rsid w:val="005A3E08"/>
    <w:rsid w:val="005A4B48"/>
    <w:rsid w:val="005A516C"/>
    <w:rsid w:val="005A5F61"/>
    <w:rsid w:val="005B1B44"/>
    <w:rsid w:val="005B1C38"/>
    <w:rsid w:val="005B26E2"/>
    <w:rsid w:val="005B2D49"/>
    <w:rsid w:val="005B3CDA"/>
    <w:rsid w:val="005B4582"/>
    <w:rsid w:val="005B4895"/>
    <w:rsid w:val="005B4D12"/>
    <w:rsid w:val="005B7430"/>
    <w:rsid w:val="005C1E36"/>
    <w:rsid w:val="005C2375"/>
    <w:rsid w:val="005C37EC"/>
    <w:rsid w:val="005C3E56"/>
    <w:rsid w:val="005C415D"/>
    <w:rsid w:val="005C70E0"/>
    <w:rsid w:val="005C7676"/>
    <w:rsid w:val="005C7C61"/>
    <w:rsid w:val="005D265F"/>
    <w:rsid w:val="005D45A7"/>
    <w:rsid w:val="005D49E9"/>
    <w:rsid w:val="005D4E08"/>
    <w:rsid w:val="005D515F"/>
    <w:rsid w:val="005D6A29"/>
    <w:rsid w:val="005E069C"/>
    <w:rsid w:val="005E076F"/>
    <w:rsid w:val="005E1529"/>
    <w:rsid w:val="005E229E"/>
    <w:rsid w:val="005E2342"/>
    <w:rsid w:val="005E250E"/>
    <w:rsid w:val="005E32DA"/>
    <w:rsid w:val="005E39B5"/>
    <w:rsid w:val="005E4AD3"/>
    <w:rsid w:val="005E5B2D"/>
    <w:rsid w:val="005E5D05"/>
    <w:rsid w:val="005E6AC0"/>
    <w:rsid w:val="005E72A4"/>
    <w:rsid w:val="005F0241"/>
    <w:rsid w:val="005F3E7F"/>
    <w:rsid w:val="005F589B"/>
    <w:rsid w:val="005F5D79"/>
    <w:rsid w:val="005F7187"/>
    <w:rsid w:val="005F71E1"/>
    <w:rsid w:val="00600B8A"/>
    <w:rsid w:val="00601850"/>
    <w:rsid w:val="006119A6"/>
    <w:rsid w:val="006125EA"/>
    <w:rsid w:val="00614817"/>
    <w:rsid w:val="006149D9"/>
    <w:rsid w:val="00615135"/>
    <w:rsid w:val="0061664A"/>
    <w:rsid w:val="0061697E"/>
    <w:rsid w:val="00616B15"/>
    <w:rsid w:val="00616E94"/>
    <w:rsid w:val="0061768F"/>
    <w:rsid w:val="00617962"/>
    <w:rsid w:val="00617CCC"/>
    <w:rsid w:val="006217D3"/>
    <w:rsid w:val="00621ACA"/>
    <w:rsid w:val="006276EB"/>
    <w:rsid w:val="00631B41"/>
    <w:rsid w:val="00631BA0"/>
    <w:rsid w:val="00631E94"/>
    <w:rsid w:val="00634EBC"/>
    <w:rsid w:val="006350B3"/>
    <w:rsid w:val="00636064"/>
    <w:rsid w:val="006360A3"/>
    <w:rsid w:val="00636E4E"/>
    <w:rsid w:val="00641EDE"/>
    <w:rsid w:val="00642FDC"/>
    <w:rsid w:val="00643658"/>
    <w:rsid w:val="00644986"/>
    <w:rsid w:val="0064539D"/>
    <w:rsid w:val="00650322"/>
    <w:rsid w:val="006505C4"/>
    <w:rsid w:val="006513C8"/>
    <w:rsid w:val="00652CA3"/>
    <w:rsid w:val="0065338F"/>
    <w:rsid w:val="006536DA"/>
    <w:rsid w:val="006545C4"/>
    <w:rsid w:val="00654EAB"/>
    <w:rsid w:val="00655869"/>
    <w:rsid w:val="00655A05"/>
    <w:rsid w:val="00655EDF"/>
    <w:rsid w:val="00656286"/>
    <w:rsid w:val="00657CC3"/>
    <w:rsid w:val="00657EF9"/>
    <w:rsid w:val="00662596"/>
    <w:rsid w:val="00665E0F"/>
    <w:rsid w:val="00666A82"/>
    <w:rsid w:val="00666D8A"/>
    <w:rsid w:val="00667587"/>
    <w:rsid w:val="0067013D"/>
    <w:rsid w:val="0067030D"/>
    <w:rsid w:val="00672705"/>
    <w:rsid w:val="00672AFA"/>
    <w:rsid w:val="006733E4"/>
    <w:rsid w:val="006752F6"/>
    <w:rsid w:val="00676988"/>
    <w:rsid w:val="00676DE8"/>
    <w:rsid w:val="00682639"/>
    <w:rsid w:val="00683E79"/>
    <w:rsid w:val="00684604"/>
    <w:rsid w:val="00687DAF"/>
    <w:rsid w:val="00690FFE"/>
    <w:rsid w:val="006916A1"/>
    <w:rsid w:val="00692748"/>
    <w:rsid w:val="006963BA"/>
    <w:rsid w:val="00697509"/>
    <w:rsid w:val="006A046D"/>
    <w:rsid w:val="006A0FB9"/>
    <w:rsid w:val="006A153A"/>
    <w:rsid w:val="006A2617"/>
    <w:rsid w:val="006A3260"/>
    <w:rsid w:val="006A38B4"/>
    <w:rsid w:val="006A6D6A"/>
    <w:rsid w:val="006A71E8"/>
    <w:rsid w:val="006B1816"/>
    <w:rsid w:val="006B1C03"/>
    <w:rsid w:val="006B3BC8"/>
    <w:rsid w:val="006B4926"/>
    <w:rsid w:val="006B755E"/>
    <w:rsid w:val="006B77E5"/>
    <w:rsid w:val="006C06DC"/>
    <w:rsid w:val="006C1BF1"/>
    <w:rsid w:val="006C1D74"/>
    <w:rsid w:val="006C25AF"/>
    <w:rsid w:val="006C43A2"/>
    <w:rsid w:val="006C631D"/>
    <w:rsid w:val="006C72C0"/>
    <w:rsid w:val="006C7ACB"/>
    <w:rsid w:val="006D00D6"/>
    <w:rsid w:val="006D38F7"/>
    <w:rsid w:val="006D665E"/>
    <w:rsid w:val="006D6E18"/>
    <w:rsid w:val="006E13A7"/>
    <w:rsid w:val="006E1D91"/>
    <w:rsid w:val="006E4E53"/>
    <w:rsid w:val="006E628B"/>
    <w:rsid w:val="006F26BE"/>
    <w:rsid w:val="006F36E0"/>
    <w:rsid w:val="006F3D9B"/>
    <w:rsid w:val="00703F01"/>
    <w:rsid w:val="00706834"/>
    <w:rsid w:val="00707651"/>
    <w:rsid w:val="0071166F"/>
    <w:rsid w:val="007117F9"/>
    <w:rsid w:val="00711F5B"/>
    <w:rsid w:val="007120C7"/>
    <w:rsid w:val="00712E0A"/>
    <w:rsid w:val="007132DB"/>
    <w:rsid w:val="00713A50"/>
    <w:rsid w:val="00713DD0"/>
    <w:rsid w:val="00715624"/>
    <w:rsid w:val="00716543"/>
    <w:rsid w:val="0071778D"/>
    <w:rsid w:val="00720296"/>
    <w:rsid w:val="007202AD"/>
    <w:rsid w:val="007211C4"/>
    <w:rsid w:val="00722918"/>
    <w:rsid w:val="00722F9A"/>
    <w:rsid w:val="00724C58"/>
    <w:rsid w:val="0072588A"/>
    <w:rsid w:val="0072787B"/>
    <w:rsid w:val="00727C0B"/>
    <w:rsid w:val="0073136B"/>
    <w:rsid w:val="007323D1"/>
    <w:rsid w:val="00732CE7"/>
    <w:rsid w:val="00732DFE"/>
    <w:rsid w:val="00733377"/>
    <w:rsid w:val="00733D7C"/>
    <w:rsid w:val="00733D84"/>
    <w:rsid w:val="00734141"/>
    <w:rsid w:val="00735338"/>
    <w:rsid w:val="00736F66"/>
    <w:rsid w:val="00750800"/>
    <w:rsid w:val="00753ABC"/>
    <w:rsid w:val="0075584D"/>
    <w:rsid w:val="007563E3"/>
    <w:rsid w:val="00756972"/>
    <w:rsid w:val="0076006E"/>
    <w:rsid w:val="007600A9"/>
    <w:rsid w:val="00760B13"/>
    <w:rsid w:val="00764C94"/>
    <w:rsid w:val="00764F1B"/>
    <w:rsid w:val="00765A77"/>
    <w:rsid w:val="0076701A"/>
    <w:rsid w:val="0076784B"/>
    <w:rsid w:val="00770743"/>
    <w:rsid w:val="00770FF4"/>
    <w:rsid w:val="0077103A"/>
    <w:rsid w:val="0077134B"/>
    <w:rsid w:val="00771E79"/>
    <w:rsid w:val="007745D4"/>
    <w:rsid w:val="00774785"/>
    <w:rsid w:val="00774985"/>
    <w:rsid w:val="00776592"/>
    <w:rsid w:val="00776719"/>
    <w:rsid w:val="00776803"/>
    <w:rsid w:val="00781E68"/>
    <w:rsid w:val="00783456"/>
    <w:rsid w:val="00783E5F"/>
    <w:rsid w:val="0078424E"/>
    <w:rsid w:val="0079056E"/>
    <w:rsid w:val="0079093D"/>
    <w:rsid w:val="00790AB0"/>
    <w:rsid w:val="00791FAA"/>
    <w:rsid w:val="007936EE"/>
    <w:rsid w:val="007A46B1"/>
    <w:rsid w:val="007A51B8"/>
    <w:rsid w:val="007A5BD3"/>
    <w:rsid w:val="007A63E6"/>
    <w:rsid w:val="007B38C6"/>
    <w:rsid w:val="007B4822"/>
    <w:rsid w:val="007B625D"/>
    <w:rsid w:val="007C2BC7"/>
    <w:rsid w:val="007C575D"/>
    <w:rsid w:val="007C5909"/>
    <w:rsid w:val="007C6303"/>
    <w:rsid w:val="007C6903"/>
    <w:rsid w:val="007C6F2F"/>
    <w:rsid w:val="007C72A9"/>
    <w:rsid w:val="007D04B2"/>
    <w:rsid w:val="007D0773"/>
    <w:rsid w:val="007D1399"/>
    <w:rsid w:val="007D2F44"/>
    <w:rsid w:val="007D3739"/>
    <w:rsid w:val="007D4EB0"/>
    <w:rsid w:val="007D60AF"/>
    <w:rsid w:val="007D6155"/>
    <w:rsid w:val="007D6FD9"/>
    <w:rsid w:val="007E08F0"/>
    <w:rsid w:val="007E2890"/>
    <w:rsid w:val="007E6174"/>
    <w:rsid w:val="007E7473"/>
    <w:rsid w:val="007F24AC"/>
    <w:rsid w:val="007F2516"/>
    <w:rsid w:val="007F2C70"/>
    <w:rsid w:val="007F2CDE"/>
    <w:rsid w:val="007F3C9C"/>
    <w:rsid w:val="007F6B15"/>
    <w:rsid w:val="007F7BE0"/>
    <w:rsid w:val="0080293B"/>
    <w:rsid w:val="00805615"/>
    <w:rsid w:val="00807305"/>
    <w:rsid w:val="00810929"/>
    <w:rsid w:val="00810BCF"/>
    <w:rsid w:val="00810E43"/>
    <w:rsid w:val="0081113E"/>
    <w:rsid w:val="008118E0"/>
    <w:rsid w:val="00812DAB"/>
    <w:rsid w:val="00812E00"/>
    <w:rsid w:val="0081361A"/>
    <w:rsid w:val="00814C02"/>
    <w:rsid w:val="00814F56"/>
    <w:rsid w:val="00816391"/>
    <w:rsid w:val="00817F7A"/>
    <w:rsid w:val="00820458"/>
    <w:rsid w:val="00821B25"/>
    <w:rsid w:val="00822DB8"/>
    <w:rsid w:val="0082429C"/>
    <w:rsid w:val="008247F3"/>
    <w:rsid w:val="00825926"/>
    <w:rsid w:val="0082595E"/>
    <w:rsid w:val="0082668A"/>
    <w:rsid w:val="00827F7D"/>
    <w:rsid w:val="00827FA3"/>
    <w:rsid w:val="00830417"/>
    <w:rsid w:val="008352C3"/>
    <w:rsid w:val="0083764C"/>
    <w:rsid w:val="00837975"/>
    <w:rsid w:val="008405EB"/>
    <w:rsid w:val="00841EC8"/>
    <w:rsid w:val="0084338E"/>
    <w:rsid w:val="008450D5"/>
    <w:rsid w:val="00846C50"/>
    <w:rsid w:val="00847E69"/>
    <w:rsid w:val="0085022D"/>
    <w:rsid w:val="00851803"/>
    <w:rsid w:val="0085242E"/>
    <w:rsid w:val="008538B2"/>
    <w:rsid w:val="008628F7"/>
    <w:rsid w:val="00862E9A"/>
    <w:rsid w:val="0086359F"/>
    <w:rsid w:val="00865F9C"/>
    <w:rsid w:val="00870EB2"/>
    <w:rsid w:val="008724F5"/>
    <w:rsid w:val="008726E8"/>
    <w:rsid w:val="00872FA3"/>
    <w:rsid w:val="008730C1"/>
    <w:rsid w:val="008757EE"/>
    <w:rsid w:val="0087669A"/>
    <w:rsid w:val="0087745A"/>
    <w:rsid w:val="00881007"/>
    <w:rsid w:val="00881B6C"/>
    <w:rsid w:val="008820D0"/>
    <w:rsid w:val="00885F7C"/>
    <w:rsid w:val="00887671"/>
    <w:rsid w:val="00887A57"/>
    <w:rsid w:val="0089050E"/>
    <w:rsid w:val="00891466"/>
    <w:rsid w:val="00891C19"/>
    <w:rsid w:val="00892828"/>
    <w:rsid w:val="0089371C"/>
    <w:rsid w:val="0089426F"/>
    <w:rsid w:val="00894CA8"/>
    <w:rsid w:val="0089575D"/>
    <w:rsid w:val="00895C7D"/>
    <w:rsid w:val="00895CF7"/>
    <w:rsid w:val="008964D8"/>
    <w:rsid w:val="008A0059"/>
    <w:rsid w:val="008A2A2E"/>
    <w:rsid w:val="008A62C0"/>
    <w:rsid w:val="008A62C2"/>
    <w:rsid w:val="008B162F"/>
    <w:rsid w:val="008B270D"/>
    <w:rsid w:val="008B285C"/>
    <w:rsid w:val="008B49F0"/>
    <w:rsid w:val="008B567A"/>
    <w:rsid w:val="008B59AB"/>
    <w:rsid w:val="008B67E3"/>
    <w:rsid w:val="008C0DE6"/>
    <w:rsid w:val="008C1373"/>
    <w:rsid w:val="008C156B"/>
    <w:rsid w:val="008C27D5"/>
    <w:rsid w:val="008C2962"/>
    <w:rsid w:val="008C2AE1"/>
    <w:rsid w:val="008C44B0"/>
    <w:rsid w:val="008C4923"/>
    <w:rsid w:val="008C6A46"/>
    <w:rsid w:val="008C7DFB"/>
    <w:rsid w:val="008D0073"/>
    <w:rsid w:val="008D146E"/>
    <w:rsid w:val="008D32EB"/>
    <w:rsid w:val="008D36F0"/>
    <w:rsid w:val="008D60A9"/>
    <w:rsid w:val="008E06BD"/>
    <w:rsid w:val="008E2055"/>
    <w:rsid w:val="008E2127"/>
    <w:rsid w:val="008E2F9B"/>
    <w:rsid w:val="008E3FE2"/>
    <w:rsid w:val="008F0C6C"/>
    <w:rsid w:val="008F1CE6"/>
    <w:rsid w:val="008F1CEF"/>
    <w:rsid w:val="008F5475"/>
    <w:rsid w:val="008F626E"/>
    <w:rsid w:val="008F64DD"/>
    <w:rsid w:val="008F71D8"/>
    <w:rsid w:val="008F7DFE"/>
    <w:rsid w:val="00903843"/>
    <w:rsid w:val="00903984"/>
    <w:rsid w:val="00903B25"/>
    <w:rsid w:val="00905088"/>
    <w:rsid w:val="00905658"/>
    <w:rsid w:val="0090631F"/>
    <w:rsid w:val="00910E76"/>
    <w:rsid w:val="009124D6"/>
    <w:rsid w:val="0091280D"/>
    <w:rsid w:val="00913435"/>
    <w:rsid w:val="009139A0"/>
    <w:rsid w:val="0091569A"/>
    <w:rsid w:val="009164D9"/>
    <w:rsid w:val="00916FCE"/>
    <w:rsid w:val="009179BA"/>
    <w:rsid w:val="00921795"/>
    <w:rsid w:val="0092182E"/>
    <w:rsid w:val="00922809"/>
    <w:rsid w:val="00925364"/>
    <w:rsid w:val="009259C3"/>
    <w:rsid w:val="0092745F"/>
    <w:rsid w:val="00930CD7"/>
    <w:rsid w:val="009363F3"/>
    <w:rsid w:val="00936C8E"/>
    <w:rsid w:val="00936EE5"/>
    <w:rsid w:val="009373D0"/>
    <w:rsid w:val="009376E8"/>
    <w:rsid w:val="009407E7"/>
    <w:rsid w:val="00940803"/>
    <w:rsid w:val="00943373"/>
    <w:rsid w:val="009457A0"/>
    <w:rsid w:val="009469C5"/>
    <w:rsid w:val="0094792E"/>
    <w:rsid w:val="0095188D"/>
    <w:rsid w:val="00953FC2"/>
    <w:rsid w:val="009557C6"/>
    <w:rsid w:val="00957408"/>
    <w:rsid w:val="00960305"/>
    <w:rsid w:val="00960CE1"/>
    <w:rsid w:val="00960D37"/>
    <w:rsid w:val="00961306"/>
    <w:rsid w:val="00961439"/>
    <w:rsid w:val="00962B98"/>
    <w:rsid w:val="00963027"/>
    <w:rsid w:val="00965EFB"/>
    <w:rsid w:val="009661AB"/>
    <w:rsid w:val="00966DF7"/>
    <w:rsid w:val="00966F6F"/>
    <w:rsid w:val="0096731B"/>
    <w:rsid w:val="0096764B"/>
    <w:rsid w:val="009677F4"/>
    <w:rsid w:val="009720A7"/>
    <w:rsid w:val="00973D3F"/>
    <w:rsid w:val="0097598C"/>
    <w:rsid w:val="00977436"/>
    <w:rsid w:val="00977D49"/>
    <w:rsid w:val="00977E54"/>
    <w:rsid w:val="00977F3F"/>
    <w:rsid w:val="00980889"/>
    <w:rsid w:val="00980AA4"/>
    <w:rsid w:val="00981432"/>
    <w:rsid w:val="0098192B"/>
    <w:rsid w:val="00983716"/>
    <w:rsid w:val="009855D3"/>
    <w:rsid w:val="00985B12"/>
    <w:rsid w:val="009872C1"/>
    <w:rsid w:val="009902EF"/>
    <w:rsid w:val="0099088E"/>
    <w:rsid w:val="00993869"/>
    <w:rsid w:val="0099393E"/>
    <w:rsid w:val="00993A45"/>
    <w:rsid w:val="009947E5"/>
    <w:rsid w:val="00995FCB"/>
    <w:rsid w:val="00996032"/>
    <w:rsid w:val="0099689C"/>
    <w:rsid w:val="0099729C"/>
    <w:rsid w:val="009A0109"/>
    <w:rsid w:val="009A0B66"/>
    <w:rsid w:val="009A186D"/>
    <w:rsid w:val="009A1DAE"/>
    <w:rsid w:val="009A4178"/>
    <w:rsid w:val="009A5CC3"/>
    <w:rsid w:val="009A6817"/>
    <w:rsid w:val="009B1281"/>
    <w:rsid w:val="009B2B9B"/>
    <w:rsid w:val="009B2FA8"/>
    <w:rsid w:val="009B488D"/>
    <w:rsid w:val="009B5C2A"/>
    <w:rsid w:val="009B715C"/>
    <w:rsid w:val="009B7319"/>
    <w:rsid w:val="009B74EB"/>
    <w:rsid w:val="009B79AC"/>
    <w:rsid w:val="009B7B7D"/>
    <w:rsid w:val="009C04AB"/>
    <w:rsid w:val="009C0D8A"/>
    <w:rsid w:val="009C1CEF"/>
    <w:rsid w:val="009C2644"/>
    <w:rsid w:val="009C6395"/>
    <w:rsid w:val="009C6916"/>
    <w:rsid w:val="009C6C62"/>
    <w:rsid w:val="009C6F88"/>
    <w:rsid w:val="009D0215"/>
    <w:rsid w:val="009D03D8"/>
    <w:rsid w:val="009D2FA3"/>
    <w:rsid w:val="009D389F"/>
    <w:rsid w:val="009D5B76"/>
    <w:rsid w:val="009D671E"/>
    <w:rsid w:val="009D68D1"/>
    <w:rsid w:val="009E18D5"/>
    <w:rsid w:val="009E1D3F"/>
    <w:rsid w:val="009E26A5"/>
    <w:rsid w:val="009E4253"/>
    <w:rsid w:val="009E47C1"/>
    <w:rsid w:val="009E4800"/>
    <w:rsid w:val="009E4CE1"/>
    <w:rsid w:val="009E6A2B"/>
    <w:rsid w:val="009F0016"/>
    <w:rsid w:val="009F2580"/>
    <w:rsid w:val="009F5F96"/>
    <w:rsid w:val="00A001AE"/>
    <w:rsid w:val="00A01382"/>
    <w:rsid w:val="00A018CC"/>
    <w:rsid w:val="00A0336D"/>
    <w:rsid w:val="00A05494"/>
    <w:rsid w:val="00A10F64"/>
    <w:rsid w:val="00A11089"/>
    <w:rsid w:val="00A11FA2"/>
    <w:rsid w:val="00A1534C"/>
    <w:rsid w:val="00A15E1E"/>
    <w:rsid w:val="00A16C93"/>
    <w:rsid w:val="00A16E0D"/>
    <w:rsid w:val="00A17F78"/>
    <w:rsid w:val="00A20B32"/>
    <w:rsid w:val="00A21658"/>
    <w:rsid w:val="00A24316"/>
    <w:rsid w:val="00A24FBD"/>
    <w:rsid w:val="00A25854"/>
    <w:rsid w:val="00A25A8F"/>
    <w:rsid w:val="00A27D6A"/>
    <w:rsid w:val="00A303B7"/>
    <w:rsid w:val="00A32BDB"/>
    <w:rsid w:val="00A33229"/>
    <w:rsid w:val="00A34CFA"/>
    <w:rsid w:val="00A35C97"/>
    <w:rsid w:val="00A36733"/>
    <w:rsid w:val="00A37E5B"/>
    <w:rsid w:val="00A4127D"/>
    <w:rsid w:val="00A41FB0"/>
    <w:rsid w:val="00A42117"/>
    <w:rsid w:val="00A4233F"/>
    <w:rsid w:val="00A43436"/>
    <w:rsid w:val="00A43E13"/>
    <w:rsid w:val="00A44DF4"/>
    <w:rsid w:val="00A457E9"/>
    <w:rsid w:val="00A466CE"/>
    <w:rsid w:val="00A46A0B"/>
    <w:rsid w:val="00A46FBD"/>
    <w:rsid w:val="00A5022D"/>
    <w:rsid w:val="00A5089E"/>
    <w:rsid w:val="00A519BB"/>
    <w:rsid w:val="00A538F5"/>
    <w:rsid w:val="00A55F0B"/>
    <w:rsid w:val="00A57450"/>
    <w:rsid w:val="00A60059"/>
    <w:rsid w:val="00A607D1"/>
    <w:rsid w:val="00A60F27"/>
    <w:rsid w:val="00A61740"/>
    <w:rsid w:val="00A62359"/>
    <w:rsid w:val="00A624C6"/>
    <w:rsid w:val="00A632B0"/>
    <w:rsid w:val="00A63C1A"/>
    <w:rsid w:val="00A657B6"/>
    <w:rsid w:val="00A65D20"/>
    <w:rsid w:val="00A701BF"/>
    <w:rsid w:val="00A70755"/>
    <w:rsid w:val="00A71AEB"/>
    <w:rsid w:val="00A7365B"/>
    <w:rsid w:val="00A754C7"/>
    <w:rsid w:val="00A80FD0"/>
    <w:rsid w:val="00A810E2"/>
    <w:rsid w:val="00A83A9C"/>
    <w:rsid w:val="00A902B6"/>
    <w:rsid w:val="00A912C3"/>
    <w:rsid w:val="00A92374"/>
    <w:rsid w:val="00A930D0"/>
    <w:rsid w:val="00A93AC5"/>
    <w:rsid w:val="00A93D85"/>
    <w:rsid w:val="00A94269"/>
    <w:rsid w:val="00A9461F"/>
    <w:rsid w:val="00A96325"/>
    <w:rsid w:val="00A97065"/>
    <w:rsid w:val="00AA1AC3"/>
    <w:rsid w:val="00AA2191"/>
    <w:rsid w:val="00AA2583"/>
    <w:rsid w:val="00AA453A"/>
    <w:rsid w:val="00AA5BD0"/>
    <w:rsid w:val="00AA6E4A"/>
    <w:rsid w:val="00AB188E"/>
    <w:rsid w:val="00AB3177"/>
    <w:rsid w:val="00AB4406"/>
    <w:rsid w:val="00AB4E9A"/>
    <w:rsid w:val="00AB707D"/>
    <w:rsid w:val="00AC13B5"/>
    <w:rsid w:val="00AC4874"/>
    <w:rsid w:val="00AC6E18"/>
    <w:rsid w:val="00AC7119"/>
    <w:rsid w:val="00AD0B49"/>
    <w:rsid w:val="00AD2D83"/>
    <w:rsid w:val="00AD5A4D"/>
    <w:rsid w:val="00AE09A8"/>
    <w:rsid w:val="00AE20FC"/>
    <w:rsid w:val="00AE4DD9"/>
    <w:rsid w:val="00AE7044"/>
    <w:rsid w:val="00AE7203"/>
    <w:rsid w:val="00AE7B5C"/>
    <w:rsid w:val="00AF0BB8"/>
    <w:rsid w:val="00AF164E"/>
    <w:rsid w:val="00AF26C4"/>
    <w:rsid w:val="00AF40F9"/>
    <w:rsid w:val="00AF5806"/>
    <w:rsid w:val="00AF6A40"/>
    <w:rsid w:val="00B01F0D"/>
    <w:rsid w:val="00B02424"/>
    <w:rsid w:val="00B029CA"/>
    <w:rsid w:val="00B069E7"/>
    <w:rsid w:val="00B06C61"/>
    <w:rsid w:val="00B105DD"/>
    <w:rsid w:val="00B14D9C"/>
    <w:rsid w:val="00B17169"/>
    <w:rsid w:val="00B205D7"/>
    <w:rsid w:val="00B239DC"/>
    <w:rsid w:val="00B24407"/>
    <w:rsid w:val="00B2612E"/>
    <w:rsid w:val="00B26889"/>
    <w:rsid w:val="00B268C1"/>
    <w:rsid w:val="00B31D54"/>
    <w:rsid w:val="00B325DB"/>
    <w:rsid w:val="00B32690"/>
    <w:rsid w:val="00B331FD"/>
    <w:rsid w:val="00B36A16"/>
    <w:rsid w:val="00B378B3"/>
    <w:rsid w:val="00B4016E"/>
    <w:rsid w:val="00B54B04"/>
    <w:rsid w:val="00B54DDD"/>
    <w:rsid w:val="00B57DB5"/>
    <w:rsid w:val="00B61123"/>
    <w:rsid w:val="00B6415E"/>
    <w:rsid w:val="00B66329"/>
    <w:rsid w:val="00B666C6"/>
    <w:rsid w:val="00B7061C"/>
    <w:rsid w:val="00B7181C"/>
    <w:rsid w:val="00B71BA6"/>
    <w:rsid w:val="00B7405C"/>
    <w:rsid w:val="00B74637"/>
    <w:rsid w:val="00B74BA3"/>
    <w:rsid w:val="00B74CEA"/>
    <w:rsid w:val="00B75AF3"/>
    <w:rsid w:val="00B765AB"/>
    <w:rsid w:val="00B805FE"/>
    <w:rsid w:val="00B81D09"/>
    <w:rsid w:val="00B82F2E"/>
    <w:rsid w:val="00B83D2C"/>
    <w:rsid w:val="00B903E1"/>
    <w:rsid w:val="00B90E5F"/>
    <w:rsid w:val="00B9179E"/>
    <w:rsid w:val="00B92656"/>
    <w:rsid w:val="00B95304"/>
    <w:rsid w:val="00B95634"/>
    <w:rsid w:val="00B96DAA"/>
    <w:rsid w:val="00B97CEA"/>
    <w:rsid w:val="00BA06CE"/>
    <w:rsid w:val="00BA118D"/>
    <w:rsid w:val="00BA26ED"/>
    <w:rsid w:val="00BA34C4"/>
    <w:rsid w:val="00BA644F"/>
    <w:rsid w:val="00BA7FFA"/>
    <w:rsid w:val="00BB1091"/>
    <w:rsid w:val="00BB2DD1"/>
    <w:rsid w:val="00BB3546"/>
    <w:rsid w:val="00BB50F1"/>
    <w:rsid w:val="00BB5CD8"/>
    <w:rsid w:val="00BB61D0"/>
    <w:rsid w:val="00BC1BE6"/>
    <w:rsid w:val="00BC285C"/>
    <w:rsid w:val="00BC47E9"/>
    <w:rsid w:val="00BC4942"/>
    <w:rsid w:val="00BC5103"/>
    <w:rsid w:val="00BC5AF5"/>
    <w:rsid w:val="00BC68C4"/>
    <w:rsid w:val="00BD4E5C"/>
    <w:rsid w:val="00BD5DFD"/>
    <w:rsid w:val="00BD63CC"/>
    <w:rsid w:val="00BD6CCC"/>
    <w:rsid w:val="00BD76FB"/>
    <w:rsid w:val="00BE0AED"/>
    <w:rsid w:val="00BE16E3"/>
    <w:rsid w:val="00BE25E3"/>
    <w:rsid w:val="00BE3145"/>
    <w:rsid w:val="00BE7933"/>
    <w:rsid w:val="00BF134C"/>
    <w:rsid w:val="00BF46B1"/>
    <w:rsid w:val="00C0454A"/>
    <w:rsid w:val="00C05A8A"/>
    <w:rsid w:val="00C12307"/>
    <w:rsid w:val="00C1248A"/>
    <w:rsid w:val="00C143DC"/>
    <w:rsid w:val="00C15370"/>
    <w:rsid w:val="00C16D87"/>
    <w:rsid w:val="00C20084"/>
    <w:rsid w:val="00C20B17"/>
    <w:rsid w:val="00C226BA"/>
    <w:rsid w:val="00C2343B"/>
    <w:rsid w:val="00C23D77"/>
    <w:rsid w:val="00C26648"/>
    <w:rsid w:val="00C27899"/>
    <w:rsid w:val="00C308B8"/>
    <w:rsid w:val="00C319A7"/>
    <w:rsid w:val="00C34C32"/>
    <w:rsid w:val="00C34D1F"/>
    <w:rsid w:val="00C422D0"/>
    <w:rsid w:val="00C441A4"/>
    <w:rsid w:val="00C4432E"/>
    <w:rsid w:val="00C44B76"/>
    <w:rsid w:val="00C45130"/>
    <w:rsid w:val="00C4515D"/>
    <w:rsid w:val="00C45936"/>
    <w:rsid w:val="00C467A7"/>
    <w:rsid w:val="00C472D5"/>
    <w:rsid w:val="00C50D36"/>
    <w:rsid w:val="00C516E6"/>
    <w:rsid w:val="00C52F37"/>
    <w:rsid w:val="00C54DB3"/>
    <w:rsid w:val="00C57488"/>
    <w:rsid w:val="00C62E35"/>
    <w:rsid w:val="00C638E0"/>
    <w:rsid w:val="00C639F2"/>
    <w:rsid w:val="00C64AB5"/>
    <w:rsid w:val="00C67086"/>
    <w:rsid w:val="00C70C5E"/>
    <w:rsid w:val="00C736BC"/>
    <w:rsid w:val="00C75EE8"/>
    <w:rsid w:val="00C76CF6"/>
    <w:rsid w:val="00C76D16"/>
    <w:rsid w:val="00C77272"/>
    <w:rsid w:val="00C77D00"/>
    <w:rsid w:val="00C81382"/>
    <w:rsid w:val="00C813DC"/>
    <w:rsid w:val="00C831AF"/>
    <w:rsid w:val="00C8470B"/>
    <w:rsid w:val="00C8480A"/>
    <w:rsid w:val="00C84DAA"/>
    <w:rsid w:val="00C8565C"/>
    <w:rsid w:val="00C86D20"/>
    <w:rsid w:val="00C91F2B"/>
    <w:rsid w:val="00C9353A"/>
    <w:rsid w:val="00C9421C"/>
    <w:rsid w:val="00C943C3"/>
    <w:rsid w:val="00C96376"/>
    <w:rsid w:val="00C975EA"/>
    <w:rsid w:val="00C9784A"/>
    <w:rsid w:val="00C9786D"/>
    <w:rsid w:val="00CA1794"/>
    <w:rsid w:val="00CA36E7"/>
    <w:rsid w:val="00CA4E98"/>
    <w:rsid w:val="00CA7DD5"/>
    <w:rsid w:val="00CC01CF"/>
    <w:rsid w:val="00CC1B23"/>
    <w:rsid w:val="00CC1FA7"/>
    <w:rsid w:val="00CC378F"/>
    <w:rsid w:val="00CC41EF"/>
    <w:rsid w:val="00CC4F80"/>
    <w:rsid w:val="00CC55E1"/>
    <w:rsid w:val="00CC578B"/>
    <w:rsid w:val="00CC59AC"/>
    <w:rsid w:val="00CC5F3D"/>
    <w:rsid w:val="00CC7255"/>
    <w:rsid w:val="00CC7E39"/>
    <w:rsid w:val="00CD0E71"/>
    <w:rsid w:val="00CD350C"/>
    <w:rsid w:val="00CD3719"/>
    <w:rsid w:val="00CE070A"/>
    <w:rsid w:val="00CE348C"/>
    <w:rsid w:val="00CE4C81"/>
    <w:rsid w:val="00CE4F0E"/>
    <w:rsid w:val="00CE5324"/>
    <w:rsid w:val="00CE5A35"/>
    <w:rsid w:val="00CE6356"/>
    <w:rsid w:val="00CF03D6"/>
    <w:rsid w:val="00CF084F"/>
    <w:rsid w:val="00CF3A28"/>
    <w:rsid w:val="00CF3BF3"/>
    <w:rsid w:val="00CF4231"/>
    <w:rsid w:val="00CF463D"/>
    <w:rsid w:val="00CF4B9D"/>
    <w:rsid w:val="00CF4E3A"/>
    <w:rsid w:val="00CF75D1"/>
    <w:rsid w:val="00D0172C"/>
    <w:rsid w:val="00D03287"/>
    <w:rsid w:val="00D05821"/>
    <w:rsid w:val="00D07F0A"/>
    <w:rsid w:val="00D07F97"/>
    <w:rsid w:val="00D10E43"/>
    <w:rsid w:val="00D145A7"/>
    <w:rsid w:val="00D15072"/>
    <w:rsid w:val="00D15471"/>
    <w:rsid w:val="00D17EC2"/>
    <w:rsid w:val="00D20DA5"/>
    <w:rsid w:val="00D2101F"/>
    <w:rsid w:val="00D2626A"/>
    <w:rsid w:val="00D2633F"/>
    <w:rsid w:val="00D2641D"/>
    <w:rsid w:val="00D264D8"/>
    <w:rsid w:val="00D31B81"/>
    <w:rsid w:val="00D32325"/>
    <w:rsid w:val="00D324CB"/>
    <w:rsid w:val="00D331DD"/>
    <w:rsid w:val="00D368E2"/>
    <w:rsid w:val="00D36967"/>
    <w:rsid w:val="00D43BF3"/>
    <w:rsid w:val="00D45C94"/>
    <w:rsid w:val="00D45F86"/>
    <w:rsid w:val="00D463EC"/>
    <w:rsid w:val="00D469BE"/>
    <w:rsid w:val="00D47DD3"/>
    <w:rsid w:val="00D50B5C"/>
    <w:rsid w:val="00D51654"/>
    <w:rsid w:val="00D52320"/>
    <w:rsid w:val="00D5315F"/>
    <w:rsid w:val="00D53305"/>
    <w:rsid w:val="00D56F8C"/>
    <w:rsid w:val="00D57062"/>
    <w:rsid w:val="00D61328"/>
    <w:rsid w:val="00D6146B"/>
    <w:rsid w:val="00D62967"/>
    <w:rsid w:val="00D75076"/>
    <w:rsid w:val="00D77720"/>
    <w:rsid w:val="00D777C0"/>
    <w:rsid w:val="00D77E0E"/>
    <w:rsid w:val="00D8076C"/>
    <w:rsid w:val="00D812B8"/>
    <w:rsid w:val="00D82E27"/>
    <w:rsid w:val="00D82F3B"/>
    <w:rsid w:val="00D8339D"/>
    <w:rsid w:val="00D86162"/>
    <w:rsid w:val="00D87910"/>
    <w:rsid w:val="00D9025B"/>
    <w:rsid w:val="00D924F5"/>
    <w:rsid w:val="00D94F07"/>
    <w:rsid w:val="00D9503E"/>
    <w:rsid w:val="00D957B9"/>
    <w:rsid w:val="00D96A9A"/>
    <w:rsid w:val="00D978D9"/>
    <w:rsid w:val="00D97A1C"/>
    <w:rsid w:val="00DA044C"/>
    <w:rsid w:val="00DA1A2A"/>
    <w:rsid w:val="00DA40D6"/>
    <w:rsid w:val="00DA6059"/>
    <w:rsid w:val="00DA61CD"/>
    <w:rsid w:val="00DB3AEC"/>
    <w:rsid w:val="00DB3B48"/>
    <w:rsid w:val="00DB4D4A"/>
    <w:rsid w:val="00DB6854"/>
    <w:rsid w:val="00DC14D4"/>
    <w:rsid w:val="00DC3EF5"/>
    <w:rsid w:val="00DC54D2"/>
    <w:rsid w:val="00DC5933"/>
    <w:rsid w:val="00DC7653"/>
    <w:rsid w:val="00DD0991"/>
    <w:rsid w:val="00DD10AF"/>
    <w:rsid w:val="00DD1946"/>
    <w:rsid w:val="00DD3AA2"/>
    <w:rsid w:val="00DD6B60"/>
    <w:rsid w:val="00DD768F"/>
    <w:rsid w:val="00DE05AD"/>
    <w:rsid w:val="00DE2FE1"/>
    <w:rsid w:val="00DE3DF1"/>
    <w:rsid w:val="00DE4FC9"/>
    <w:rsid w:val="00DE7144"/>
    <w:rsid w:val="00DF03B2"/>
    <w:rsid w:val="00DF0413"/>
    <w:rsid w:val="00DF33B4"/>
    <w:rsid w:val="00DF448D"/>
    <w:rsid w:val="00DF4D73"/>
    <w:rsid w:val="00DF6A5E"/>
    <w:rsid w:val="00E0013C"/>
    <w:rsid w:val="00E00508"/>
    <w:rsid w:val="00E00F9B"/>
    <w:rsid w:val="00E00FEF"/>
    <w:rsid w:val="00E0103A"/>
    <w:rsid w:val="00E015DE"/>
    <w:rsid w:val="00E01FA6"/>
    <w:rsid w:val="00E02265"/>
    <w:rsid w:val="00E02D11"/>
    <w:rsid w:val="00E05FD6"/>
    <w:rsid w:val="00E060F6"/>
    <w:rsid w:val="00E064BF"/>
    <w:rsid w:val="00E06750"/>
    <w:rsid w:val="00E07AF3"/>
    <w:rsid w:val="00E1023D"/>
    <w:rsid w:val="00E12F7A"/>
    <w:rsid w:val="00E14D29"/>
    <w:rsid w:val="00E14F97"/>
    <w:rsid w:val="00E16FA9"/>
    <w:rsid w:val="00E216F5"/>
    <w:rsid w:val="00E23461"/>
    <w:rsid w:val="00E2487E"/>
    <w:rsid w:val="00E25433"/>
    <w:rsid w:val="00E2571A"/>
    <w:rsid w:val="00E27F58"/>
    <w:rsid w:val="00E30425"/>
    <w:rsid w:val="00E31B50"/>
    <w:rsid w:val="00E34BD9"/>
    <w:rsid w:val="00E34EA6"/>
    <w:rsid w:val="00E37E6B"/>
    <w:rsid w:val="00E37E9A"/>
    <w:rsid w:val="00E40679"/>
    <w:rsid w:val="00E4245C"/>
    <w:rsid w:val="00E45994"/>
    <w:rsid w:val="00E45E86"/>
    <w:rsid w:val="00E5390F"/>
    <w:rsid w:val="00E54434"/>
    <w:rsid w:val="00E5555B"/>
    <w:rsid w:val="00E566BF"/>
    <w:rsid w:val="00E56FAE"/>
    <w:rsid w:val="00E5787C"/>
    <w:rsid w:val="00E6446C"/>
    <w:rsid w:val="00E6617A"/>
    <w:rsid w:val="00E66C7C"/>
    <w:rsid w:val="00E71B76"/>
    <w:rsid w:val="00E739CE"/>
    <w:rsid w:val="00E74953"/>
    <w:rsid w:val="00E75954"/>
    <w:rsid w:val="00E759D2"/>
    <w:rsid w:val="00E77E22"/>
    <w:rsid w:val="00E8225C"/>
    <w:rsid w:val="00E839E2"/>
    <w:rsid w:val="00E8493D"/>
    <w:rsid w:val="00E8553D"/>
    <w:rsid w:val="00E857F4"/>
    <w:rsid w:val="00E913FF"/>
    <w:rsid w:val="00E91AF7"/>
    <w:rsid w:val="00E92102"/>
    <w:rsid w:val="00E921B7"/>
    <w:rsid w:val="00E929BF"/>
    <w:rsid w:val="00E94333"/>
    <w:rsid w:val="00E945EF"/>
    <w:rsid w:val="00E95138"/>
    <w:rsid w:val="00EA0D08"/>
    <w:rsid w:val="00EA13E0"/>
    <w:rsid w:val="00EA1A06"/>
    <w:rsid w:val="00EA2408"/>
    <w:rsid w:val="00EA2D9F"/>
    <w:rsid w:val="00EA2FE5"/>
    <w:rsid w:val="00EA32DE"/>
    <w:rsid w:val="00EA386F"/>
    <w:rsid w:val="00EA4BAF"/>
    <w:rsid w:val="00EA667F"/>
    <w:rsid w:val="00EB02D3"/>
    <w:rsid w:val="00EB3932"/>
    <w:rsid w:val="00EB4F66"/>
    <w:rsid w:val="00EB745D"/>
    <w:rsid w:val="00EB77DE"/>
    <w:rsid w:val="00EC07C8"/>
    <w:rsid w:val="00EC242B"/>
    <w:rsid w:val="00EC4F93"/>
    <w:rsid w:val="00EC5E38"/>
    <w:rsid w:val="00EC7543"/>
    <w:rsid w:val="00ED006F"/>
    <w:rsid w:val="00ED062E"/>
    <w:rsid w:val="00ED0B8E"/>
    <w:rsid w:val="00ED0F0C"/>
    <w:rsid w:val="00ED1FDD"/>
    <w:rsid w:val="00ED29EA"/>
    <w:rsid w:val="00ED2FCF"/>
    <w:rsid w:val="00ED3B92"/>
    <w:rsid w:val="00ED6135"/>
    <w:rsid w:val="00ED61F5"/>
    <w:rsid w:val="00EE1383"/>
    <w:rsid w:val="00EE29AB"/>
    <w:rsid w:val="00EE36A7"/>
    <w:rsid w:val="00EE394D"/>
    <w:rsid w:val="00EE42BE"/>
    <w:rsid w:val="00EE5700"/>
    <w:rsid w:val="00EE5962"/>
    <w:rsid w:val="00EE5BE7"/>
    <w:rsid w:val="00EF0ADE"/>
    <w:rsid w:val="00EF0BA1"/>
    <w:rsid w:val="00EF1C6B"/>
    <w:rsid w:val="00EF3139"/>
    <w:rsid w:val="00EF3F1A"/>
    <w:rsid w:val="00EF4F36"/>
    <w:rsid w:val="00EF5CE2"/>
    <w:rsid w:val="00EF636D"/>
    <w:rsid w:val="00EF649E"/>
    <w:rsid w:val="00F0046A"/>
    <w:rsid w:val="00F01944"/>
    <w:rsid w:val="00F02284"/>
    <w:rsid w:val="00F0264D"/>
    <w:rsid w:val="00F0401C"/>
    <w:rsid w:val="00F06691"/>
    <w:rsid w:val="00F07797"/>
    <w:rsid w:val="00F07E7E"/>
    <w:rsid w:val="00F11149"/>
    <w:rsid w:val="00F112BF"/>
    <w:rsid w:val="00F120C8"/>
    <w:rsid w:val="00F12B81"/>
    <w:rsid w:val="00F13476"/>
    <w:rsid w:val="00F1352E"/>
    <w:rsid w:val="00F1355D"/>
    <w:rsid w:val="00F15B0A"/>
    <w:rsid w:val="00F169D0"/>
    <w:rsid w:val="00F17DE7"/>
    <w:rsid w:val="00F201A5"/>
    <w:rsid w:val="00F21DB9"/>
    <w:rsid w:val="00F222CB"/>
    <w:rsid w:val="00F23779"/>
    <w:rsid w:val="00F23B39"/>
    <w:rsid w:val="00F241B3"/>
    <w:rsid w:val="00F24D14"/>
    <w:rsid w:val="00F24D29"/>
    <w:rsid w:val="00F25226"/>
    <w:rsid w:val="00F27722"/>
    <w:rsid w:val="00F27D13"/>
    <w:rsid w:val="00F311BA"/>
    <w:rsid w:val="00F36D4A"/>
    <w:rsid w:val="00F375A7"/>
    <w:rsid w:val="00F425B0"/>
    <w:rsid w:val="00F4263A"/>
    <w:rsid w:val="00F42653"/>
    <w:rsid w:val="00F466E4"/>
    <w:rsid w:val="00F470FC"/>
    <w:rsid w:val="00F47993"/>
    <w:rsid w:val="00F51C49"/>
    <w:rsid w:val="00F526C8"/>
    <w:rsid w:val="00F52879"/>
    <w:rsid w:val="00F53E5B"/>
    <w:rsid w:val="00F54C02"/>
    <w:rsid w:val="00F603B1"/>
    <w:rsid w:val="00F6043C"/>
    <w:rsid w:val="00F6110B"/>
    <w:rsid w:val="00F61C6D"/>
    <w:rsid w:val="00F67E31"/>
    <w:rsid w:val="00F712B7"/>
    <w:rsid w:val="00F715A7"/>
    <w:rsid w:val="00F73B48"/>
    <w:rsid w:val="00F745CC"/>
    <w:rsid w:val="00F75127"/>
    <w:rsid w:val="00F75AEC"/>
    <w:rsid w:val="00F75CF3"/>
    <w:rsid w:val="00F806E2"/>
    <w:rsid w:val="00F81E0D"/>
    <w:rsid w:val="00F84963"/>
    <w:rsid w:val="00F920CA"/>
    <w:rsid w:val="00F925FC"/>
    <w:rsid w:val="00F9578F"/>
    <w:rsid w:val="00F97FAB"/>
    <w:rsid w:val="00FA26AA"/>
    <w:rsid w:val="00FA36C8"/>
    <w:rsid w:val="00FA4186"/>
    <w:rsid w:val="00FA4EDF"/>
    <w:rsid w:val="00FA5972"/>
    <w:rsid w:val="00FB08E4"/>
    <w:rsid w:val="00FB0926"/>
    <w:rsid w:val="00FB17FC"/>
    <w:rsid w:val="00FB73B9"/>
    <w:rsid w:val="00FB79CF"/>
    <w:rsid w:val="00FB7EEE"/>
    <w:rsid w:val="00FC1033"/>
    <w:rsid w:val="00FC2AAC"/>
    <w:rsid w:val="00FC2C6C"/>
    <w:rsid w:val="00FC6319"/>
    <w:rsid w:val="00FC7586"/>
    <w:rsid w:val="00FD1EB5"/>
    <w:rsid w:val="00FD65AF"/>
    <w:rsid w:val="00FD66C1"/>
    <w:rsid w:val="00FE058F"/>
    <w:rsid w:val="00FE175D"/>
    <w:rsid w:val="00FE2829"/>
    <w:rsid w:val="00FE5B9E"/>
    <w:rsid w:val="00FE607E"/>
    <w:rsid w:val="00FE670C"/>
    <w:rsid w:val="00FE74A1"/>
    <w:rsid w:val="00FF0EB8"/>
    <w:rsid w:val="00FF27D5"/>
    <w:rsid w:val="00FF32D7"/>
    <w:rsid w:val="00FF40E3"/>
    <w:rsid w:val="00FF5972"/>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FDB22"/>
  <w15:chartTrackingRefBased/>
  <w15:docId w15:val="{8987ED82-A37A-4EF9-9D83-81DC909E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uiPriority w:val="10"/>
    <w:qFormat/>
    <w:pPr>
      <w:pBdr>
        <w:top w:val="single" w:sz="6" w:space="1" w:color="auto"/>
        <w:left w:val="single" w:sz="6" w:space="1" w:color="auto"/>
        <w:bottom w:val="single" w:sz="6" w:space="1" w:color="auto"/>
        <w:right w:val="single" w:sz="6" w:space="1" w:color="auto"/>
      </w:pBdr>
      <w:jc w:val="center"/>
    </w:pPr>
    <w:rPr>
      <w:b/>
      <w:sz w:val="20"/>
    </w:rPr>
  </w:style>
  <w:style w:type="character" w:styleId="Hyperlink">
    <w:name w:val="Hyperlink"/>
    <w:unhideWhenUsed/>
    <w:rsid w:val="00980AA4"/>
    <w:rPr>
      <w:color w:val="0563C1"/>
      <w:u w:val="single"/>
    </w:rPr>
  </w:style>
  <w:style w:type="paragraph" w:customStyle="1" w:styleId="eMailBlock">
    <w:name w:val="eMailBlock"/>
    <w:basedOn w:val="Title"/>
    <w:rPr>
      <w:sz w:val="26"/>
    </w:rPr>
  </w:style>
  <w:style w:type="paragraph" w:customStyle="1" w:styleId="Default">
    <w:name w:val="Default"/>
    <w:rsid w:val="007B4822"/>
    <w:pPr>
      <w:autoSpaceDE w:val="0"/>
      <w:autoSpaceDN w:val="0"/>
      <w:adjustRightInd w:val="0"/>
    </w:pPr>
    <w:rPr>
      <w:color w:val="000000"/>
      <w:sz w:val="24"/>
      <w:szCs w:val="24"/>
    </w:rPr>
  </w:style>
  <w:style w:type="paragraph" w:styleId="BodyText">
    <w:name w:val="Body Text"/>
    <w:basedOn w:val="Normal"/>
    <w:link w:val="BodyTextChar"/>
    <w:uiPriority w:val="1"/>
    <w:qFormat/>
    <w:rsid w:val="00235686"/>
    <w:pPr>
      <w:autoSpaceDE w:val="0"/>
      <w:autoSpaceDN w:val="0"/>
      <w:adjustRightInd w:val="0"/>
      <w:spacing w:before="13"/>
      <w:ind w:left="39" w:right="145" w:firstLine="49"/>
      <w:jc w:val="both"/>
    </w:pPr>
    <w:rPr>
      <w:rFonts w:ascii="Arial" w:hAnsi="Arial" w:cs="Arial"/>
      <w:sz w:val="20"/>
      <w:szCs w:val="20"/>
      <w:lang w:eastAsia="en-GB"/>
    </w:rPr>
  </w:style>
  <w:style w:type="character" w:customStyle="1" w:styleId="BodyTextChar">
    <w:name w:val="Body Text Char"/>
    <w:link w:val="BodyText"/>
    <w:uiPriority w:val="1"/>
    <w:rsid w:val="00235686"/>
    <w:rPr>
      <w:rFonts w:ascii="Arial" w:hAnsi="Arial" w:cs="Arial"/>
    </w:rPr>
  </w:style>
  <w:style w:type="paragraph" w:styleId="ListParagraph">
    <w:name w:val="List Paragraph"/>
    <w:basedOn w:val="Normal"/>
    <w:uiPriority w:val="1"/>
    <w:qFormat/>
    <w:rsid w:val="00C26648"/>
    <w:pPr>
      <w:widowControl w:val="0"/>
      <w:autoSpaceDE w:val="0"/>
      <w:autoSpaceDN w:val="0"/>
      <w:ind w:left="100" w:right="117"/>
      <w:jc w:val="both"/>
    </w:pPr>
    <w:rPr>
      <w:sz w:val="22"/>
      <w:szCs w:val="22"/>
      <w:lang w:val="en-US"/>
    </w:rPr>
  </w:style>
  <w:style w:type="character" w:styleId="UnresolvedMention">
    <w:name w:val="Unresolved Mention"/>
    <w:uiPriority w:val="99"/>
    <w:semiHidden/>
    <w:unhideWhenUsed/>
    <w:rsid w:val="00300D9E"/>
    <w:rPr>
      <w:color w:val="605E5C"/>
      <w:shd w:val="clear" w:color="auto" w:fill="E1DFDD"/>
    </w:rPr>
  </w:style>
  <w:style w:type="character" w:styleId="FollowedHyperlink">
    <w:name w:val="FollowedHyperlink"/>
    <w:rsid w:val="00063E7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wsonQCHHJMark\AppData\Roaming\Judgment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53706-C342-48AE-8EFA-6723C003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35</TotalTime>
  <Pages>31</Pages>
  <Words>13240</Words>
  <Characters>75473</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88536</CharactersWithSpaces>
  <SharedDoc>false</SharedDoc>
  <HLinks>
    <vt:vector size="6" baseType="variant">
      <vt:variant>
        <vt:i4>6881305</vt:i4>
      </vt:variant>
      <vt:variant>
        <vt:i4>0</vt:i4>
      </vt:variant>
      <vt:variant>
        <vt:i4>0</vt:i4>
      </vt:variant>
      <vt:variant>
        <vt:i4>5</vt:i4>
      </vt:variant>
      <vt:variant>
        <vt:lpwstr>mailto:hhj.mark.cawson.kc@ejudiciary.net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Cawson QC, HHJ Mark</dc:creator>
  <cp:keywords/>
  <dc:description/>
  <cp:lastModifiedBy>Cawson KC, HHJ Mark</cp:lastModifiedBy>
  <cp:revision>44</cp:revision>
  <cp:lastPrinted>2023-08-10T22:14:00Z</cp:lastPrinted>
  <dcterms:created xsi:type="dcterms:W3CDTF">2023-08-16T14:00:00Z</dcterms:created>
  <dcterms:modified xsi:type="dcterms:W3CDTF">2023-08-17T08:20:00Z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CHANCERY DIVISION</vt:lpwstr>
  </property>
  <property fmtid="{D5CDD505-2E9C-101B-9397-08002B2CF9AE}" pid="5" name="SubDivision">
    <vt:lpwstr/>
  </property>
  <property fmtid="{D5CDD505-2E9C-101B-9397-08002B2CF9AE}" pid="6" name="ApprovedStage">
    <vt:lpwstr>Approved</vt:lpwstr>
  </property>
  <property fmtid="{D5CDD505-2E9C-101B-9397-08002B2CF9AE}" pid="7" name="NCDiv">
    <vt:lpwstr>Ch</vt:lpwstr>
  </property>
  <property fmtid="{D5CDD505-2E9C-101B-9397-08002B2CF9AE}" pid="8" name="NCCaseNum">
    <vt:lpwstr>CC-2023-MAN-000031</vt:lpwstr>
  </property>
  <property fmtid="{D5CDD505-2E9C-101B-9397-08002B2CF9AE}" pid="9" name="NCJudgeDate">
    <vt:lpwstr>17/08/2023</vt:lpwstr>
  </property>
  <property fmtid="{D5CDD505-2E9C-101B-9397-08002B2CF9AE}" pid="10" name="NCJudge">
    <vt:lpwstr>HHJ CAWSON KC</vt:lpwstr>
  </property>
</Properties>
</file>