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C313" w14:textId="15DAAAD7" w:rsidR="007F4467" w:rsidRDefault="009A02E2" w:rsidP="009A02E2">
      <w:pPr>
        <w:jc w:val="center"/>
      </w:pPr>
      <w:r w:rsidRPr="009A02E2">
        <w:rPr>
          <w:noProof/>
        </w:rPr>
        <w:drawing>
          <wp:inline distT="0" distB="0" distL="0" distR="0" wp14:anchorId="00D8C1F7" wp14:editId="2AE04F5B">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9010" cy="960120"/>
                    </a:xfrm>
                    <a:prstGeom prst="rect">
                      <a:avLst/>
                    </a:prstGeom>
                  </pic:spPr>
                </pic:pic>
              </a:graphicData>
            </a:graphic>
          </wp:inline>
        </w:drawing>
      </w:r>
    </w:p>
    <w:p w14:paraId="598BE57C" w14:textId="77777777" w:rsidR="009A02E2" w:rsidRDefault="009A02E2">
      <w:pPr>
        <w:jc w:val="center"/>
      </w:pPr>
    </w:p>
    <w:p w14:paraId="22CD8F96" w14:textId="1576469C" w:rsidR="007F4467" w:rsidRDefault="007F4467">
      <w:pPr>
        <w:pStyle w:val="CoverText"/>
        <w:jc w:val="left"/>
        <w:rPr>
          <w:bCs/>
          <w:sz w:val="20"/>
          <w:u w:val="none"/>
        </w:rPr>
      </w:pPr>
      <w:r>
        <w:rPr>
          <w:bCs/>
        </w:rPr>
        <w:t xml:space="preserve">Neutral Citation Number: </w:t>
      </w:r>
      <w:r w:rsidR="009A02E2">
        <w:rPr>
          <w:bCs/>
        </w:rPr>
        <w:t>[2024] EWHC 1094 (Admin)</w:t>
      </w:r>
      <w:r>
        <w:rPr>
          <w:bCs/>
        </w:rPr>
        <w:br/>
      </w:r>
    </w:p>
    <w:p w14:paraId="430A459C" w14:textId="21FA2F1E" w:rsidR="007F4467" w:rsidRDefault="007F4467">
      <w:pPr>
        <w:pStyle w:val="CoverText"/>
        <w:rPr>
          <w:b/>
          <w:spacing w:val="-3"/>
        </w:rPr>
      </w:pPr>
      <w:r>
        <w:t xml:space="preserve">Case No: </w:t>
      </w:r>
      <w:r w:rsidR="004A14BE">
        <w:t>AC-2023-LON-002</w:t>
      </w:r>
      <w:r w:rsidR="0045106C">
        <w:t>285</w:t>
      </w:r>
    </w:p>
    <w:p w14:paraId="7C1D3C86" w14:textId="77777777" w:rsidR="007F4467" w:rsidRDefault="007F44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08A7CC21" w14:textId="77777777" w:rsidR="007F4467" w:rsidRDefault="008C1639">
      <w:pPr>
        <w:suppressAutoHyphens/>
        <w:rPr>
          <w:b/>
          <w:spacing w:val="-3"/>
          <w:u w:val="single"/>
        </w:rPr>
      </w:pPr>
      <w:r>
        <w:rPr>
          <w:b/>
          <w:spacing w:val="-3"/>
          <w:u w:val="single"/>
        </w:rPr>
        <w:t>KING</w:t>
      </w:r>
      <w:r w:rsidR="007F4467">
        <w:rPr>
          <w:b/>
          <w:spacing w:val="-3"/>
          <w:u w:val="single"/>
        </w:rPr>
        <w:t>’S BENCH DIVISION</w:t>
      </w:r>
    </w:p>
    <w:p w14:paraId="284ED3C0" w14:textId="7F7ECB7A" w:rsidR="007F4467" w:rsidRDefault="00D71970">
      <w:pPr>
        <w:suppressAutoHyphens/>
        <w:rPr>
          <w:b/>
          <w:spacing w:val="-3"/>
          <w:u w:val="single"/>
        </w:rPr>
      </w:pPr>
      <w:r>
        <w:rPr>
          <w:b/>
          <w:spacing w:val="-3"/>
          <w:u w:val="single"/>
        </w:rPr>
        <w:t>ADMINISTRATIVE COURT</w:t>
      </w:r>
    </w:p>
    <w:p w14:paraId="731E2458" w14:textId="77777777" w:rsidR="007F4467" w:rsidRDefault="007F4467">
      <w:pPr>
        <w:suppressAutoHyphens/>
        <w:rPr>
          <w:b/>
          <w:spacing w:val="-3"/>
          <w:u w:val="single"/>
        </w:rPr>
      </w:pPr>
    </w:p>
    <w:p w14:paraId="66653BA1" w14:textId="77777777" w:rsidR="007F4467" w:rsidRDefault="007F4467">
      <w:pPr>
        <w:pStyle w:val="CoverText"/>
      </w:pPr>
      <w:r>
        <w:t>Royal Courts of Justice</w:t>
      </w:r>
    </w:p>
    <w:p w14:paraId="54AD6C79" w14:textId="77777777" w:rsidR="007F4467" w:rsidRDefault="007F4467">
      <w:pPr>
        <w:pStyle w:val="CoverText"/>
      </w:pPr>
      <w:r>
        <w:t>Strand, London, WC2A 2LL</w:t>
      </w:r>
    </w:p>
    <w:p w14:paraId="1C2747C2" w14:textId="77777777" w:rsidR="007F4467" w:rsidRDefault="007F4467">
      <w:pPr>
        <w:suppressAutoHyphens/>
        <w:jc w:val="right"/>
        <w:rPr>
          <w:spacing w:val="-3"/>
          <w:u w:val="single"/>
        </w:rPr>
      </w:pPr>
    </w:p>
    <w:p w14:paraId="29F8A33D" w14:textId="056D6D54" w:rsidR="007F4467" w:rsidRDefault="007F4467">
      <w:pPr>
        <w:pStyle w:val="CoverText"/>
        <w:rPr>
          <w:b/>
        </w:rPr>
      </w:pPr>
      <w:r>
        <w:t xml:space="preserve">Date: </w:t>
      </w:r>
      <w:r w:rsidR="009A02E2">
        <w:t>9</w:t>
      </w:r>
      <w:r w:rsidR="0045106C">
        <w:t xml:space="preserve"> May </w:t>
      </w:r>
      <w:r w:rsidR="00D72E3F">
        <w:t>202</w:t>
      </w:r>
      <w:r w:rsidR="004A14BE">
        <w:t>4</w:t>
      </w:r>
    </w:p>
    <w:p w14:paraId="429B12C2" w14:textId="77777777" w:rsidR="007F4467" w:rsidRDefault="007F4467">
      <w:pPr>
        <w:suppressAutoHyphens/>
        <w:rPr>
          <w:spacing w:val="-3"/>
        </w:rPr>
      </w:pPr>
    </w:p>
    <w:p w14:paraId="522B6DC6" w14:textId="77777777" w:rsidR="007F4467" w:rsidRDefault="007F4467">
      <w:pPr>
        <w:suppressAutoHyphens/>
        <w:jc w:val="center"/>
        <w:rPr>
          <w:spacing w:val="-3"/>
        </w:rPr>
      </w:pPr>
      <w:proofErr w:type="gramStart"/>
      <w:r>
        <w:rPr>
          <w:b/>
          <w:spacing w:val="-3"/>
        </w:rPr>
        <w:t>Before</w:t>
      </w:r>
      <w:r>
        <w:rPr>
          <w:spacing w:val="-3"/>
        </w:rPr>
        <w:t xml:space="preserve"> :</w:t>
      </w:r>
      <w:proofErr w:type="gramEnd"/>
    </w:p>
    <w:p w14:paraId="671F21D7" w14:textId="77777777" w:rsidR="007F4467" w:rsidRDefault="007F4467">
      <w:pPr>
        <w:suppressAutoHyphens/>
        <w:jc w:val="center"/>
        <w:rPr>
          <w:spacing w:val="-3"/>
        </w:rPr>
      </w:pPr>
    </w:p>
    <w:p w14:paraId="306217F0" w14:textId="62B956EC" w:rsidR="007F4467" w:rsidRDefault="008C163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w:t>
      </w:r>
      <w:r w:rsidR="00D72E3F">
        <w:t>r</w:t>
      </w:r>
      <w:r>
        <w:t xml:space="preserve"> J</w:t>
      </w:r>
      <w:r w:rsidR="00D72E3F">
        <w:t xml:space="preserve">ames Strachan </w:t>
      </w:r>
      <w:r>
        <w:t>KC sitting as a Deputy Judge of the High Court</w:t>
      </w:r>
    </w:p>
    <w:p w14:paraId="3E3D1C11" w14:textId="77777777" w:rsidR="007F4467" w:rsidRDefault="007F4467">
      <w:pPr>
        <w:suppressAutoHyphens/>
        <w:jc w:val="center"/>
        <w:rPr>
          <w:spacing w:val="-3"/>
        </w:rPr>
      </w:pPr>
      <w:r>
        <w:rPr>
          <w:spacing w:val="-3"/>
        </w:rPr>
        <w:t>- - - - - - - - - - - - - - - - - - - - -</w:t>
      </w:r>
    </w:p>
    <w:p w14:paraId="496A95C3" w14:textId="77777777" w:rsidR="007F4467" w:rsidRDefault="007F4467">
      <w:pPr>
        <w:suppressAutoHyphens/>
        <w:jc w:val="center"/>
        <w:rPr>
          <w:b/>
          <w:spacing w:val="-3"/>
        </w:rPr>
      </w:pPr>
      <w:proofErr w:type="gramStart"/>
      <w:r>
        <w:rPr>
          <w:b/>
          <w:spacing w:val="-3"/>
        </w:rPr>
        <w:t>Between :</w:t>
      </w:r>
      <w:proofErr w:type="gramEnd"/>
    </w:p>
    <w:p w14:paraId="19002EA9" w14:textId="77777777" w:rsidR="007F4467" w:rsidRDefault="007F4467">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7F4467" w14:paraId="7EF12407" w14:textId="77777777" w:rsidTr="0045106C">
        <w:trPr>
          <w:jc w:val="center"/>
        </w:trPr>
        <w:tc>
          <w:tcPr>
            <w:tcW w:w="1776" w:type="dxa"/>
          </w:tcPr>
          <w:p w14:paraId="370AD48C" w14:textId="77777777" w:rsidR="007F4467" w:rsidRDefault="007F4467">
            <w:pPr>
              <w:suppressAutoHyphens/>
              <w:rPr>
                <w:b/>
                <w:spacing w:val="-3"/>
              </w:rPr>
            </w:pPr>
          </w:p>
        </w:tc>
        <w:tc>
          <w:tcPr>
            <w:tcW w:w="5568" w:type="dxa"/>
          </w:tcPr>
          <w:p w14:paraId="1137AE92" w14:textId="77777777" w:rsidR="00E24FDB" w:rsidRDefault="00E24FDB">
            <w:pPr>
              <w:suppressAutoHyphens/>
              <w:jc w:val="center"/>
              <w:rPr>
                <w:b/>
                <w:spacing w:val="-3"/>
              </w:rPr>
            </w:pPr>
            <w:r>
              <w:rPr>
                <w:b/>
                <w:spacing w:val="-3"/>
              </w:rPr>
              <w:t>THE KING</w:t>
            </w:r>
          </w:p>
          <w:p w14:paraId="0EC790C8" w14:textId="77777777" w:rsidR="00E24FDB" w:rsidRDefault="00E24FDB">
            <w:pPr>
              <w:suppressAutoHyphens/>
              <w:jc w:val="center"/>
              <w:rPr>
                <w:b/>
                <w:spacing w:val="-3"/>
              </w:rPr>
            </w:pPr>
            <w:r>
              <w:rPr>
                <w:b/>
                <w:spacing w:val="-3"/>
              </w:rPr>
              <w:t>-on the application of-</w:t>
            </w:r>
          </w:p>
          <w:p w14:paraId="3588DFD1" w14:textId="3133FDD7" w:rsidR="007F4467" w:rsidRDefault="00E24FDB">
            <w:pPr>
              <w:suppressAutoHyphens/>
              <w:jc w:val="center"/>
              <w:rPr>
                <w:b/>
                <w:spacing w:val="-3"/>
              </w:rPr>
            </w:pPr>
            <w:r>
              <w:rPr>
                <w:b/>
                <w:spacing w:val="-3"/>
              </w:rPr>
              <w:t>L</w:t>
            </w:r>
            <w:r w:rsidR="008707BC">
              <w:rPr>
                <w:b/>
                <w:spacing w:val="-3"/>
              </w:rPr>
              <w:t xml:space="preserve"> </w:t>
            </w:r>
          </w:p>
        </w:tc>
        <w:tc>
          <w:tcPr>
            <w:tcW w:w="1782" w:type="dxa"/>
          </w:tcPr>
          <w:p w14:paraId="1C7DA980" w14:textId="77777777" w:rsidR="008707BC" w:rsidRDefault="008707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6F985417" w14:textId="77777777" w:rsidR="008707BC" w:rsidRDefault="008707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5EFF3069" w14:textId="1BDC5AE9" w:rsidR="007F4467" w:rsidRDefault="007F44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7F4467" w14:paraId="2447332A" w14:textId="77777777" w:rsidTr="0045106C">
        <w:trPr>
          <w:jc w:val="center"/>
        </w:trPr>
        <w:tc>
          <w:tcPr>
            <w:tcW w:w="1776" w:type="dxa"/>
          </w:tcPr>
          <w:p w14:paraId="0400125D" w14:textId="77777777" w:rsidR="007F4467" w:rsidRDefault="007F4467">
            <w:pPr>
              <w:suppressAutoHyphens/>
              <w:rPr>
                <w:b/>
                <w:spacing w:val="-3"/>
              </w:rPr>
            </w:pPr>
          </w:p>
        </w:tc>
        <w:tc>
          <w:tcPr>
            <w:tcW w:w="5568" w:type="dxa"/>
          </w:tcPr>
          <w:p w14:paraId="11CD29F8" w14:textId="77777777" w:rsidR="008C1639" w:rsidRDefault="008C1639">
            <w:pPr>
              <w:suppressAutoHyphens/>
              <w:jc w:val="center"/>
              <w:rPr>
                <w:b/>
                <w:spacing w:val="-3"/>
              </w:rPr>
            </w:pPr>
          </w:p>
          <w:p w14:paraId="06CFBAB5" w14:textId="68AE7C98" w:rsidR="007F4467" w:rsidRDefault="007F4467">
            <w:pPr>
              <w:suppressAutoHyphens/>
              <w:jc w:val="center"/>
              <w:rPr>
                <w:b/>
                <w:spacing w:val="-3"/>
              </w:rPr>
            </w:pPr>
            <w:r>
              <w:rPr>
                <w:b/>
                <w:spacing w:val="-3"/>
              </w:rPr>
              <w:t>- and</w:t>
            </w:r>
            <w:r w:rsidR="008707BC">
              <w:rPr>
                <w:b/>
                <w:spacing w:val="-3"/>
              </w:rPr>
              <w:t xml:space="preserve"> -</w:t>
            </w:r>
          </w:p>
          <w:p w14:paraId="4AB6647D" w14:textId="77777777" w:rsidR="008707BC" w:rsidRDefault="008707BC">
            <w:pPr>
              <w:suppressAutoHyphens/>
              <w:jc w:val="center"/>
              <w:rPr>
                <w:b/>
                <w:spacing w:val="-3"/>
              </w:rPr>
            </w:pPr>
          </w:p>
          <w:p w14:paraId="711C7447" w14:textId="77777777" w:rsidR="00E24FDB" w:rsidRDefault="00E24FDB">
            <w:pPr>
              <w:suppressAutoHyphens/>
              <w:jc w:val="center"/>
              <w:rPr>
                <w:b/>
                <w:spacing w:val="-3"/>
              </w:rPr>
            </w:pPr>
            <w:r>
              <w:rPr>
                <w:b/>
                <w:spacing w:val="-3"/>
              </w:rPr>
              <w:t>THE SERVICE COMPLAINTS OMBUDSMAN FOR THE ARMED FORCES</w:t>
            </w:r>
          </w:p>
          <w:p w14:paraId="4E671C74" w14:textId="77777777" w:rsidR="00E24FDB" w:rsidRDefault="00E24FDB">
            <w:pPr>
              <w:suppressAutoHyphens/>
              <w:jc w:val="center"/>
              <w:rPr>
                <w:b/>
                <w:spacing w:val="-3"/>
              </w:rPr>
            </w:pPr>
          </w:p>
          <w:p w14:paraId="50DF3FE2" w14:textId="77777777" w:rsidR="00E24FDB" w:rsidRDefault="00E24FDB">
            <w:pPr>
              <w:suppressAutoHyphens/>
              <w:jc w:val="center"/>
              <w:rPr>
                <w:b/>
                <w:spacing w:val="-3"/>
              </w:rPr>
            </w:pPr>
            <w:r>
              <w:rPr>
                <w:b/>
                <w:spacing w:val="-3"/>
              </w:rPr>
              <w:t>-and-</w:t>
            </w:r>
          </w:p>
          <w:p w14:paraId="1AFA7A07" w14:textId="0168EDAD" w:rsidR="008707BC" w:rsidRDefault="00E24FDB">
            <w:pPr>
              <w:suppressAutoHyphens/>
              <w:jc w:val="center"/>
              <w:rPr>
                <w:b/>
                <w:spacing w:val="-3"/>
              </w:rPr>
            </w:pPr>
            <w:r>
              <w:rPr>
                <w:b/>
                <w:spacing w:val="-3"/>
              </w:rPr>
              <w:t xml:space="preserve">MINISTRY OF DEFENCE </w:t>
            </w:r>
          </w:p>
          <w:p w14:paraId="4E3D2DBD" w14:textId="77777777" w:rsidR="008707BC" w:rsidRDefault="008707BC" w:rsidP="008707BC">
            <w:pPr>
              <w:suppressAutoHyphens/>
              <w:jc w:val="right"/>
              <w:rPr>
                <w:b/>
                <w:spacing w:val="-3"/>
              </w:rPr>
            </w:pPr>
          </w:p>
          <w:p w14:paraId="6A3A5A4A" w14:textId="77777777" w:rsidR="008C1639" w:rsidRDefault="008C1639">
            <w:pPr>
              <w:suppressAutoHyphens/>
              <w:jc w:val="center"/>
              <w:rPr>
                <w:b/>
                <w:spacing w:val="-3"/>
              </w:rPr>
            </w:pPr>
          </w:p>
        </w:tc>
        <w:tc>
          <w:tcPr>
            <w:tcW w:w="1782" w:type="dxa"/>
          </w:tcPr>
          <w:p w14:paraId="6D46E7C3" w14:textId="77777777" w:rsidR="007F4467" w:rsidRDefault="007F44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86875E7" w14:textId="77777777" w:rsidR="008707BC" w:rsidRDefault="008707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B8DCF9B" w14:textId="77777777" w:rsidR="008707BC" w:rsidRDefault="008707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4D50B0F" w14:textId="77777777" w:rsidR="008707BC" w:rsidRDefault="008707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3F0CC33" w14:textId="77777777" w:rsidR="008707BC" w:rsidRDefault="008707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p w14:paraId="08472663" w14:textId="77777777" w:rsidR="00E24FDB" w:rsidRDefault="00E24FD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68F83765" w14:textId="77777777" w:rsidR="00E24FDB" w:rsidRDefault="00E24FD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5BA6ACFC" w14:textId="0FE8B690" w:rsidR="00E24FDB" w:rsidRPr="00E24FDB" w:rsidRDefault="00E24FD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E24FDB">
              <w:t>Interested Party</w:t>
            </w:r>
          </w:p>
        </w:tc>
      </w:tr>
    </w:tbl>
    <w:p w14:paraId="77C4458E" w14:textId="77777777" w:rsidR="007F4467" w:rsidRDefault="007F4467">
      <w:pPr>
        <w:suppressAutoHyphens/>
        <w:jc w:val="center"/>
        <w:rPr>
          <w:spacing w:val="-3"/>
        </w:rPr>
      </w:pPr>
      <w:r>
        <w:rPr>
          <w:spacing w:val="-3"/>
        </w:rPr>
        <w:t>- - - - - - - - - - - - - - - - - - - - -</w:t>
      </w:r>
    </w:p>
    <w:p w14:paraId="3FAD478E" w14:textId="77777777" w:rsidR="007F4467" w:rsidRDefault="007F4467">
      <w:pPr>
        <w:suppressAutoHyphens/>
        <w:jc w:val="center"/>
        <w:rPr>
          <w:spacing w:val="-3"/>
        </w:rPr>
      </w:pPr>
      <w:r>
        <w:rPr>
          <w:spacing w:val="-3"/>
        </w:rPr>
        <w:t>- - - - - - - - - - - - - - - - - - - - -</w:t>
      </w:r>
    </w:p>
    <w:p w14:paraId="6CF2227E" w14:textId="4D3D2572" w:rsidR="007F4467" w:rsidRDefault="007F4467" w:rsidP="0045106C">
      <w:pPr>
        <w:suppressAutoHyphens/>
        <w:rPr>
          <w:b/>
          <w:spacing w:val="-3"/>
        </w:rPr>
      </w:pPr>
    </w:p>
    <w:p w14:paraId="1BFACE47" w14:textId="1744AE23" w:rsidR="004A14BE" w:rsidRDefault="008707BC" w:rsidP="008707BC">
      <w:pPr>
        <w:suppressAutoHyphens/>
        <w:jc w:val="center"/>
        <w:rPr>
          <w:b/>
          <w:spacing w:val="-3"/>
        </w:rPr>
      </w:pPr>
      <w:bookmarkStart w:id="0" w:name="bkCol2AddProp"/>
      <w:r>
        <w:rPr>
          <w:b/>
          <w:spacing w:val="-3"/>
        </w:rPr>
        <w:t xml:space="preserve">Ms </w:t>
      </w:r>
      <w:r w:rsidR="00E24FDB">
        <w:rPr>
          <w:b/>
          <w:spacing w:val="-3"/>
        </w:rPr>
        <w:t>Nicola Braganza KC</w:t>
      </w:r>
      <w:r>
        <w:rPr>
          <w:b/>
          <w:spacing w:val="-3"/>
        </w:rPr>
        <w:t xml:space="preserve"> </w:t>
      </w:r>
      <w:bookmarkEnd w:id="0"/>
      <w:r w:rsidR="007F4467">
        <w:rPr>
          <w:bCs/>
          <w:spacing w:val="-3"/>
        </w:rPr>
        <w:t>(instructed by</w:t>
      </w:r>
      <w:r w:rsidR="00D71970">
        <w:rPr>
          <w:bCs/>
          <w:spacing w:val="-3"/>
        </w:rPr>
        <w:t xml:space="preserve"> </w:t>
      </w:r>
      <w:r w:rsidR="00D71970">
        <w:rPr>
          <w:b/>
          <w:spacing w:val="-3"/>
        </w:rPr>
        <w:t>Deighton Pierce Glynn Solicitors</w:t>
      </w:r>
      <w:r>
        <w:rPr>
          <w:b/>
          <w:spacing w:val="-3"/>
        </w:rPr>
        <w:t xml:space="preserve">) </w:t>
      </w:r>
      <w:r>
        <w:rPr>
          <w:bCs/>
          <w:spacing w:val="-3"/>
        </w:rPr>
        <w:t xml:space="preserve">for the </w:t>
      </w:r>
      <w:r w:rsidR="0045106C">
        <w:rPr>
          <w:b/>
          <w:spacing w:val="-3"/>
        </w:rPr>
        <w:t>Claimant</w:t>
      </w:r>
    </w:p>
    <w:p w14:paraId="4B6FE786" w14:textId="6CEAAD1C" w:rsidR="0045106C" w:rsidRDefault="0045106C" w:rsidP="008707BC">
      <w:pPr>
        <w:suppressAutoHyphens/>
        <w:jc w:val="center"/>
        <w:rPr>
          <w:b/>
          <w:spacing w:val="-3"/>
        </w:rPr>
      </w:pPr>
      <w:r>
        <w:rPr>
          <w:b/>
          <w:spacing w:val="-3"/>
        </w:rPr>
        <w:t>Mr</w:t>
      </w:r>
      <w:r w:rsidR="00E24FDB">
        <w:rPr>
          <w:b/>
          <w:spacing w:val="-3"/>
        </w:rPr>
        <w:t xml:space="preserve"> Robert Cohen</w:t>
      </w:r>
      <w:r>
        <w:rPr>
          <w:b/>
          <w:spacing w:val="-3"/>
        </w:rPr>
        <w:t xml:space="preserve"> </w:t>
      </w:r>
      <w:r>
        <w:rPr>
          <w:bCs/>
          <w:spacing w:val="-3"/>
        </w:rPr>
        <w:t xml:space="preserve">(instructed by </w:t>
      </w:r>
      <w:r w:rsidR="00E24FDB">
        <w:rPr>
          <w:b/>
          <w:spacing w:val="-3"/>
        </w:rPr>
        <w:t>Government Legal Department</w:t>
      </w:r>
      <w:r>
        <w:rPr>
          <w:b/>
          <w:spacing w:val="-3"/>
        </w:rPr>
        <w:t>)</w:t>
      </w:r>
      <w:r>
        <w:rPr>
          <w:bCs/>
          <w:spacing w:val="-3"/>
        </w:rPr>
        <w:t xml:space="preserve"> for the </w:t>
      </w:r>
      <w:r>
        <w:rPr>
          <w:b/>
          <w:spacing w:val="-3"/>
        </w:rPr>
        <w:t>Defendant</w:t>
      </w:r>
    </w:p>
    <w:p w14:paraId="55D29E48" w14:textId="790AC5B6" w:rsidR="00E24FDB" w:rsidRPr="00E24FDB" w:rsidRDefault="00E24FDB" w:rsidP="008707BC">
      <w:pPr>
        <w:suppressAutoHyphens/>
        <w:jc w:val="center"/>
        <w:rPr>
          <w:b/>
          <w:spacing w:val="-3"/>
        </w:rPr>
      </w:pPr>
      <w:r>
        <w:rPr>
          <w:b/>
          <w:spacing w:val="-3"/>
        </w:rPr>
        <w:t>Mr Jack Castle (</w:t>
      </w:r>
      <w:r>
        <w:rPr>
          <w:bCs/>
          <w:spacing w:val="-3"/>
        </w:rPr>
        <w:t xml:space="preserve">instructed by </w:t>
      </w:r>
      <w:r>
        <w:rPr>
          <w:b/>
          <w:spacing w:val="-3"/>
        </w:rPr>
        <w:t>Government Legal Department</w:t>
      </w:r>
      <w:r>
        <w:rPr>
          <w:bCs/>
          <w:spacing w:val="-3"/>
        </w:rPr>
        <w:t xml:space="preserve">) for the </w:t>
      </w:r>
      <w:r>
        <w:rPr>
          <w:b/>
          <w:spacing w:val="-3"/>
        </w:rPr>
        <w:t>Interested Party</w:t>
      </w:r>
    </w:p>
    <w:p w14:paraId="589DE305" w14:textId="717B42A4" w:rsidR="008C1639" w:rsidRPr="008C1639" w:rsidRDefault="008C1639">
      <w:pPr>
        <w:suppressAutoHyphens/>
        <w:jc w:val="center"/>
        <w:rPr>
          <w:b/>
          <w:spacing w:val="-3"/>
        </w:rPr>
      </w:pPr>
    </w:p>
    <w:p w14:paraId="3C1B1AC5" w14:textId="77777777" w:rsidR="007F4467" w:rsidRDefault="007F4467">
      <w:pPr>
        <w:suppressAutoHyphens/>
        <w:jc w:val="center"/>
        <w:rPr>
          <w:b/>
          <w:spacing w:val="-3"/>
        </w:rPr>
      </w:pPr>
    </w:p>
    <w:p w14:paraId="76DEDD3E" w14:textId="2455E669" w:rsidR="007F4467" w:rsidRDefault="007F4467">
      <w:pPr>
        <w:suppressAutoHyphens/>
        <w:jc w:val="center"/>
        <w:rPr>
          <w:spacing w:val="-3"/>
        </w:rPr>
      </w:pPr>
      <w:r>
        <w:rPr>
          <w:spacing w:val="-3"/>
        </w:rPr>
        <w:t>Hearing date</w:t>
      </w:r>
      <w:r w:rsidR="00D72E3F">
        <w:rPr>
          <w:spacing w:val="-3"/>
        </w:rPr>
        <w:t xml:space="preserve">: </w:t>
      </w:r>
      <w:r w:rsidR="00E24FDB">
        <w:rPr>
          <w:spacing w:val="-3"/>
        </w:rPr>
        <w:t xml:space="preserve">6 </w:t>
      </w:r>
      <w:r w:rsidR="008707BC">
        <w:rPr>
          <w:spacing w:val="-3"/>
        </w:rPr>
        <w:t>February 2024</w:t>
      </w:r>
      <w:r>
        <w:rPr>
          <w:spacing w:val="-3"/>
        </w:rPr>
        <w:t xml:space="preserve"> </w:t>
      </w:r>
    </w:p>
    <w:p w14:paraId="5EDA8005" w14:textId="77777777" w:rsidR="007F4467" w:rsidRDefault="007F4467">
      <w:pPr>
        <w:suppressAutoHyphens/>
        <w:jc w:val="center"/>
        <w:rPr>
          <w:spacing w:val="-3"/>
        </w:rPr>
      </w:pPr>
      <w:r>
        <w:rPr>
          <w:spacing w:val="-3"/>
        </w:rPr>
        <w:t>- - - - - - - - - - - - - - - - - - - - -</w:t>
      </w:r>
    </w:p>
    <w:p w14:paraId="7F6E1A40" w14:textId="2AD53826" w:rsidR="007F4467" w:rsidRDefault="009A02E2" w:rsidP="009A02E2">
      <w:pPr>
        <w:pStyle w:val="CoverDesc"/>
      </w:pPr>
      <w:r>
        <w:t>Approved Judgment</w:t>
      </w:r>
    </w:p>
    <w:p w14:paraId="3C62FE99" w14:textId="77777777" w:rsidR="009A02E2" w:rsidRDefault="009A02E2" w:rsidP="009A02E2">
      <w:pPr>
        <w:jc w:val="center"/>
      </w:pPr>
      <w:r>
        <w:t xml:space="preserve"> </w:t>
      </w:r>
    </w:p>
    <w:p w14:paraId="4678B5CB" w14:textId="08796518" w:rsidR="009A02E2" w:rsidRDefault="009A02E2" w:rsidP="009A02E2">
      <w:pPr>
        <w:jc w:val="center"/>
      </w:pPr>
      <w:r>
        <w:t xml:space="preserve">This judgment was handed down remotely at 10.30am on </w:t>
      </w:r>
      <w:r w:rsidR="001D7218">
        <w:t>9</w:t>
      </w:r>
      <w:r w:rsidR="001D7218" w:rsidRPr="001D7218">
        <w:rPr>
          <w:vertAlign w:val="superscript"/>
        </w:rPr>
        <w:t>th</w:t>
      </w:r>
      <w:r w:rsidR="001D7218">
        <w:t xml:space="preserve"> May </w:t>
      </w:r>
      <w:proofErr w:type="gramStart"/>
      <w:r w:rsidR="001D7218">
        <w:t xml:space="preserve">2024 </w:t>
      </w:r>
      <w:r>
        <w:t xml:space="preserve"> by</w:t>
      </w:r>
      <w:proofErr w:type="gramEnd"/>
      <w:r>
        <w:t xml:space="preserve"> circulation to the parties or their representatives by e-mail and by release to the National Archives</w:t>
      </w:r>
    </w:p>
    <w:p w14:paraId="0BC8AE43" w14:textId="09EBA197" w:rsidR="009A02E2" w:rsidRDefault="009A02E2" w:rsidP="009A02E2">
      <w:pPr>
        <w:jc w:val="center"/>
      </w:pPr>
      <w:r>
        <w:t>(</w:t>
      </w:r>
      <w:proofErr w:type="gramStart"/>
      <w:r>
        <w:t>see</w:t>
      </w:r>
      <w:proofErr w:type="gramEnd"/>
      <w:r>
        <w:t xml:space="preserve"> </w:t>
      </w:r>
      <w:proofErr w:type="spellStart"/>
      <w:r>
        <w:t>eg</w:t>
      </w:r>
      <w:proofErr w:type="spellEnd"/>
      <w:r>
        <w:t xml:space="preserve"> https://www.bailii.org/ew/cases/EWCA/Civ/2022/1169.html).</w:t>
      </w:r>
    </w:p>
    <w:p w14:paraId="0BE85D18" w14:textId="77777777" w:rsidR="009A02E2" w:rsidRDefault="009A02E2" w:rsidP="009A02E2">
      <w:pPr>
        <w:jc w:val="center"/>
      </w:pPr>
    </w:p>
    <w:p w14:paraId="501D6796" w14:textId="77777777" w:rsidR="007F4467" w:rsidRDefault="007F4467">
      <w:pPr>
        <w:sectPr w:rsidR="007F4467">
          <w:headerReference w:type="even" r:id="rId11"/>
          <w:headerReference w:type="default" r:id="rId12"/>
          <w:footerReference w:type="even" r:id="rId13"/>
          <w:footerReference w:type="default" r:id="rId14"/>
          <w:headerReference w:type="first" r:id="rId15"/>
          <w:footerReference w:type="first" r:id="rId16"/>
          <w:pgSz w:w="11909" w:h="16834" w:code="9"/>
          <w:pgMar w:top="720" w:right="1440" w:bottom="720" w:left="1440" w:header="720" w:footer="720" w:gutter="0"/>
          <w:pgNumType w:start="1"/>
          <w:cols w:space="720"/>
          <w:rtlGutter/>
        </w:sectPr>
      </w:pPr>
    </w:p>
    <w:p w14:paraId="131BCD45" w14:textId="77777777" w:rsidR="007F4467" w:rsidRDefault="008C1639">
      <w:pPr>
        <w:spacing w:after="240"/>
      </w:pPr>
      <w:r>
        <w:rPr>
          <w:b/>
        </w:rPr>
        <w:lastRenderedPageBreak/>
        <w:t>Mr James Strachan KC (sitting as a Deputy Judge of the High Court)</w:t>
      </w:r>
      <w:r w:rsidR="007F4467">
        <w:rPr>
          <w:b/>
        </w:rPr>
        <w:t>:</w:t>
      </w:r>
      <w:r w:rsidR="007F4467">
        <w:t xml:space="preserve"> </w:t>
      </w:r>
    </w:p>
    <w:p w14:paraId="2C9E997F" w14:textId="77777777" w:rsidR="007F4467" w:rsidRDefault="007F4467">
      <w:pPr>
        <w:pStyle w:val="ParaHeading"/>
        <w:sectPr w:rsidR="007F4467">
          <w:headerReference w:type="default" r:id="rId17"/>
          <w:footerReference w:type="default" r:id="rId18"/>
          <w:pgSz w:w="11909" w:h="16834" w:code="9"/>
          <w:pgMar w:top="1440" w:right="1440" w:bottom="1440" w:left="1440" w:header="709" w:footer="709" w:gutter="0"/>
          <w:cols w:space="720"/>
          <w:formProt w:val="0"/>
        </w:sectPr>
      </w:pPr>
    </w:p>
    <w:p w14:paraId="2108CE73" w14:textId="7A93550B" w:rsidR="008707BC" w:rsidRPr="008707BC" w:rsidRDefault="00D72E3F" w:rsidP="009A02E2">
      <w:pPr>
        <w:pStyle w:val="ListParagraph"/>
        <w:ind w:left="720" w:firstLine="0"/>
        <w:rPr>
          <w:rFonts w:ascii="Times New Roman" w:hAnsi="Times New Roman" w:cs="Times New Roman"/>
          <w:sz w:val="24"/>
          <w:szCs w:val="24"/>
        </w:rPr>
      </w:pPr>
      <w:r w:rsidRPr="004A14BE">
        <w:rPr>
          <w:rFonts w:ascii="Times New Roman" w:hAnsi="Times New Roman" w:cs="Times New Roman"/>
          <w:b/>
          <w:bCs/>
          <w:sz w:val="24"/>
          <w:szCs w:val="24"/>
        </w:rPr>
        <w:t>Introduction</w:t>
      </w:r>
      <w:r w:rsidRPr="004A14BE">
        <w:rPr>
          <w:rFonts w:ascii="Times New Roman" w:hAnsi="Times New Roman" w:cs="Times New Roman"/>
          <w:sz w:val="24"/>
          <w:szCs w:val="24"/>
        </w:rPr>
        <w:t xml:space="preserve"> </w:t>
      </w:r>
      <w:r w:rsidR="008707BC" w:rsidRPr="008707BC">
        <w:rPr>
          <w:rFonts w:ascii="Times New Roman" w:hAnsi="Times New Roman" w:cs="Times New Roman"/>
          <w:sz w:val="24"/>
          <w:szCs w:val="24"/>
        </w:rPr>
        <w:t xml:space="preserve"> </w:t>
      </w:r>
    </w:p>
    <w:p w14:paraId="58850BF7" w14:textId="20C1F256" w:rsidR="00E24FDB" w:rsidRPr="00C830AB" w:rsidRDefault="00E24FDB" w:rsidP="009A02E2">
      <w:pPr>
        <w:pStyle w:val="ListParagraph"/>
        <w:numPr>
          <w:ilvl w:val="0"/>
          <w:numId w:val="5"/>
        </w:numPr>
        <w:ind w:right="117"/>
        <w:rPr>
          <w:rFonts w:ascii="Times New Roman" w:hAnsi="Times New Roman" w:cs="Times New Roman"/>
          <w:sz w:val="24"/>
          <w:szCs w:val="24"/>
        </w:rPr>
      </w:pPr>
      <w:r w:rsidRPr="00C830AB">
        <w:rPr>
          <w:rFonts w:ascii="Times New Roman" w:hAnsi="Times New Roman" w:cs="Times New Roman"/>
          <w:sz w:val="24"/>
          <w:szCs w:val="24"/>
          <w:lang w:val="en-US"/>
        </w:rPr>
        <w:t xml:space="preserve">This is a claim for judicial review </w:t>
      </w:r>
      <w:r w:rsidRPr="00C830AB">
        <w:rPr>
          <w:rFonts w:ascii="Times New Roman" w:hAnsi="Times New Roman" w:cs="Times New Roman"/>
          <w:sz w:val="24"/>
          <w:szCs w:val="24"/>
        </w:rPr>
        <w:t>of</w:t>
      </w:r>
      <w:r w:rsidRPr="00C830AB">
        <w:rPr>
          <w:rFonts w:ascii="Times New Roman" w:hAnsi="Times New Roman" w:cs="Times New Roman"/>
          <w:sz w:val="24"/>
          <w:szCs w:val="24"/>
          <w:lang w:val="en-US"/>
        </w:rPr>
        <w:t xml:space="preserve"> two d</w:t>
      </w:r>
      <w:r w:rsidR="009A02E2">
        <w:rPr>
          <w:rFonts w:ascii="Times New Roman" w:hAnsi="Times New Roman" w:cs="Times New Roman"/>
          <w:sz w:val="24"/>
          <w:szCs w:val="24"/>
        </w:rPr>
        <w:t>e</w:t>
      </w:r>
      <w:r w:rsidRPr="00C830AB">
        <w:rPr>
          <w:rFonts w:ascii="Times New Roman" w:hAnsi="Times New Roman" w:cs="Times New Roman"/>
          <w:sz w:val="24"/>
          <w:szCs w:val="24"/>
          <w:lang w:val="en-US"/>
        </w:rPr>
        <w:t>cision</w:t>
      </w:r>
      <w:r w:rsidR="009A02E2">
        <w:rPr>
          <w:rFonts w:ascii="Times New Roman" w:hAnsi="Times New Roman" w:cs="Times New Roman"/>
          <w:sz w:val="24"/>
          <w:szCs w:val="24"/>
          <w:lang w:val="en-US"/>
        </w:rPr>
        <w:t>s</w:t>
      </w:r>
      <w:r w:rsidRPr="00C830AB">
        <w:rPr>
          <w:rFonts w:ascii="Times New Roman" w:hAnsi="Times New Roman" w:cs="Times New Roman"/>
          <w:sz w:val="24"/>
          <w:szCs w:val="24"/>
          <w:lang w:val="en-US"/>
        </w:rPr>
        <w:t xml:space="preserve"> of the Service Complaints Ombudsman for the Armed Forces (“the SCOAF</w:t>
      </w:r>
      <w:r w:rsidRPr="00C830AB">
        <w:rPr>
          <w:rFonts w:ascii="Times New Roman" w:hAnsi="Times New Roman" w:cs="Times New Roman"/>
          <w:sz w:val="24"/>
          <w:szCs w:val="24"/>
        </w:rPr>
        <w:t xml:space="preserve"> or “the Ombudsman”</w:t>
      </w:r>
      <w:r w:rsidRPr="00C830AB">
        <w:rPr>
          <w:rFonts w:ascii="Times New Roman" w:hAnsi="Times New Roman" w:cs="Times New Roman"/>
          <w:sz w:val="24"/>
          <w:szCs w:val="24"/>
          <w:lang w:val="en-US"/>
        </w:rPr>
        <w:t>)</w:t>
      </w:r>
      <w:r w:rsidRPr="00C830AB">
        <w:rPr>
          <w:rFonts w:ascii="Times New Roman" w:hAnsi="Times New Roman" w:cs="Times New Roman"/>
          <w:sz w:val="24"/>
          <w:szCs w:val="24"/>
        </w:rPr>
        <w:t xml:space="preserve"> under Part 14A of the </w:t>
      </w:r>
      <w:r w:rsidRPr="00C830AB">
        <w:rPr>
          <w:rFonts w:ascii="Times New Roman" w:hAnsi="Times New Roman" w:cs="Times New Roman"/>
          <w:sz w:val="24"/>
          <w:szCs w:val="24"/>
          <w:u w:val="single"/>
        </w:rPr>
        <w:t>Armed Forces Act 2006</w:t>
      </w:r>
      <w:r w:rsidRPr="00C830AB">
        <w:rPr>
          <w:rFonts w:ascii="Times New Roman" w:hAnsi="Times New Roman" w:cs="Times New Roman"/>
          <w:sz w:val="24"/>
          <w:szCs w:val="24"/>
        </w:rPr>
        <w:t xml:space="preserve"> (“the AFA 2006”) and Regulation 7(2) of the </w:t>
      </w:r>
      <w:r w:rsidRPr="00C830AB">
        <w:rPr>
          <w:rFonts w:ascii="Times New Roman" w:hAnsi="Times New Roman" w:cs="Times New Roman"/>
          <w:sz w:val="24"/>
          <w:szCs w:val="24"/>
          <w:u w:val="single"/>
        </w:rPr>
        <w:t>Armed Forces (Services Complaints) Regulations 2015</w:t>
      </w:r>
      <w:r w:rsidRPr="00C830AB">
        <w:rPr>
          <w:rFonts w:ascii="Times New Roman" w:hAnsi="Times New Roman" w:cs="Times New Roman"/>
          <w:sz w:val="24"/>
          <w:szCs w:val="24"/>
        </w:rPr>
        <w:t xml:space="preserve"> (“the 2015 Regulations”), </w:t>
      </w:r>
      <w:r w:rsidRPr="00C830AB">
        <w:rPr>
          <w:rFonts w:ascii="Times New Roman" w:hAnsi="Times New Roman" w:cs="Times New Roman"/>
          <w:sz w:val="24"/>
          <w:szCs w:val="24"/>
          <w:lang w:val="en-US"/>
        </w:rPr>
        <w:t>namely</w:t>
      </w:r>
      <w:r w:rsidRPr="00C830AB">
        <w:rPr>
          <w:rFonts w:ascii="Times New Roman" w:hAnsi="Times New Roman" w:cs="Times New Roman"/>
          <w:sz w:val="24"/>
          <w:szCs w:val="24"/>
        </w:rPr>
        <w:t>:</w:t>
      </w:r>
    </w:p>
    <w:p w14:paraId="0328E44B" w14:textId="77777777" w:rsidR="00E24FDB" w:rsidRPr="00C830AB" w:rsidRDefault="00E24FDB" w:rsidP="009A02E2">
      <w:pPr>
        <w:pStyle w:val="ListParagraph"/>
        <w:ind w:left="144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52CAB164" w14:textId="40D920A0" w:rsidR="00E24FDB" w:rsidRPr="00C830AB" w:rsidRDefault="00E24FDB" w:rsidP="009A02E2">
      <w:pPr>
        <w:pStyle w:val="ListParagraph"/>
        <w:numPr>
          <w:ilvl w:val="2"/>
          <w:numId w:val="4"/>
        </w:numPr>
        <w:tabs>
          <w:tab w:val="left" w:pos="1233"/>
        </w:tabs>
        <w:ind w:left="1233" w:right="355"/>
        <w:rPr>
          <w:rFonts w:ascii="Times New Roman" w:hAnsi="Times New Roman" w:cs="Times New Roman"/>
          <w:sz w:val="24"/>
          <w:szCs w:val="24"/>
        </w:rPr>
      </w:pPr>
      <w:r w:rsidRPr="00C830AB">
        <w:rPr>
          <w:rFonts w:ascii="Times New Roman" w:hAnsi="Times New Roman" w:cs="Times New Roman"/>
          <w:sz w:val="24"/>
          <w:szCs w:val="24"/>
        </w:rPr>
        <w:t>the Ombudsman’s decision dated 26 June 2023 not to review a decision by the army to treat the Claimant’s service complaint about his medical discharge as inadmissible. The Ombudsman concluded that the Claimant’s application for such a review had been made out of time, and she was not persuaded that the explanation given for the lateness of the application could be considered just and equitable in order to exercise her discretion to consider the application.</w:t>
      </w:r>
    </w:p>
    <w:p w14:paraId="4504203F" w14:textId="77777777" w:rsidR="00E24FDB" w:rsidRPr="00C830AB" w:rsidRDefault="00E24FDB" w:rsidP="009A02E2">
      <w:pPr>
        <w:pStyle w:val="ListParagraph"/>
        <w:tabs>
          <w:tab w:val="left" w:pos="1233"/>
        </w:tabs>
        <w:ind w:left="1233" w:right="355"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A55F657" w14:textId="6118A813" w:rsidR="00E24FDB" w:rsidRPr="00C830AB" w:rsidRDefault="00E24FDB" w:rsidP="009A02E2">
      <w:pPr>
        <w:pStyle w:val="ListParagraph"/>
        <w:numPr>
          <w:ilvl w:val="2"/>
          <w:numId w:val="4"/>
        </w:numPr>
        <w:tabs>
          <w:tab w:val="left" w:pos="1233"/>
        </w:tabs>
        <w:ind w:left="1233" w:right="355"/>
        <w:rPr>
          <w:rFonts w:ascii="Times New Roman" w:hAnsi="Times New Roman" w:cs="Times New Roman"/>
          <w:sz w:val="24"/>
          <w:szCs w:val="24"/>
        </w:rPr>
      </w:pPr>
      <w:r w:rsidRPr="00C830AB">
        <w:rPr>
          <w:rFonts w:ascii="Times New Roman" w:hAnsi="Times New Roman" w:cs="Times New Roman"/>
          <w:sz w:val="24"/>
          <w:szCs w:val="24"/>
        </w:rPr>
        <w:t xml:space="preserve">A refusal communicated by email dated 12 September 2023 to reconsider the decision </w:t>
      </w:r>
      <w:r w:rsidR="00D71970">
        <w:rPr>
          <w:rFonts w:ascii="Times New Roman" w:hAnsi="Times New Roman" w:cs="Times New Roman"/>
          <w:sz w:val="24"/>
          <w:szCs w:val="24"/>
        </w:rPr>
        <w:t xml:space="preserve">of </w:t>
      </w:r>
      <w:r w:rsidRPr="00C830AB">
        <w:rPr>
          <w:rFonts w:ascii="Times New Roman" w:hAnsi="Times New Roman" w:cs="Times New Roman"/>
          <w:sz w:val="24"/>
          <w:szCs w:val="24"/>
        </w:rPr>
        <w:t xml:space="preserve">26 June 2023.  A Senior Investigator at SCOAF acknowledged the seriousness of the Claimant’s allegations in the service </w:t>
      </w:r>
      <w:proofErr w:type="gramStart"/>
      <w:r w:rsidRPr="00C830AB">
        <w:rPr>
          <w:rFonts w:ascii="Times New Roman" w:hAnsi="Times New Roman" w:cs="Times New Roman"/>
          <w:sz w:val="24"/>
          <w:szCs w:val="24"/>
        </w:rPr>
        <w:t>complaint, but</w:t>
      </w:r>
      <w:proofErr w:type="gramEnd"/>
      <w:r w:rsidRPr="00C830AB">
        <w:rPr>
          <w:rFonts w:ascii="Times New Roman" w:hAnsi="Times New Roman" w:cs="Times New Roman"/>
          <w:sz w:val="24"/>
          <w:szCs w:val="24"/>
        </w:rPr>
        <w:t xml:space="preserve"> stated that the Ombudsman’s decision was not based on the potential merits of the service complaint.</w:t>
      </w:r>
    </w:p>
    <w:p w14:paraId="5ED83F32" w14:textId="77777777" w:rsidR="00E24FDB" w:rsidRPr="00C830AB" w:rsidRDefault="00E24FDB" w:rsidP="009A02E2">
      <w:pPr>
        <w:pStyle w:val="ListParagraph"/>
        <w:rPr>
          <w:rFonts w:ascii="Times New Roman" w:hAnsi="Times New Roman" w:cs="Times New Roman"/>
          <w:sz w:val="24"/>
          <w:szCs w:val="24"/>
        </w:rPr>
      </w:pPr>
    </w:p>
    <w:p w14:paraId="28FD47F8" w14:textId="53676DBA"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The principal issue which arises is whether the Ombudsman acted lawfully in rejecting the Claimant’s application for review. Regulation 7(2) identifies that the Ombudsman must not consider an application made outside the </w:t>
      </w:r>
      <w:proofErr w:type="gramStart"/>
      <w:r w:rsidRPr="00C830AB">
        <w:rPr>
          <w:rFonts w:ascii="Times New Roman" w:hAnsi="Times New Roman" w:cs="Times New Roman"/>
          <w:sz w:val="24"/>
          <w:szCs w:val="24"/>
        </w:rPr>
        <w:t>four week</w:t>
      </w:r>
      <w:proofErr w:type="gramEnd"/>
      <w:r w:rsidRPr="00C830AB">
        <w:rPr>
          <w:rFonts w:ascii="Times New Roman" w:hAnsi="Times New Roman" w:cs="Times New Roman"/>
          <w:sz w:val="24"/>
          <w:szCs w:val="24"/>
        </w:rPr>
        <w:t xml:space="preserve"> time period “unless the Ombudsman considers it just and equitable to allow the complainant to apply after that period.” The Claimant argues that in considering whether to exercise that discretion, the Ombudsman act</w:t>
      </w:r>
      <w:r w:rsidR="00D71970">
        <w:rPr>
          <w:rFonts w:ascii="Times New Roman" w:hAnsi="Times New Roman" w:cs="Times New Roman"/>
          <w:sz w:val="24"/>
          <w:szCs w:val="24"/>
        </w:rPr>
        <w:t>ed</w:t>
      </w:r>
      <w:r w:rsidRPr="00C830AB">
        <w:rPr>
          <w:rFonts w:ascii="Times New Roman" w:hAnsi="Times New Roman" w:cs="Times New Roman"/>
          <w:sz w:val="24"/>
          <w:szCs w:val="24"/>
        </w:rPr>
        <w:t xml:space="preserve"> irrationally in not </w:t>
      </w:r>
      <w:proofErr w:type="gramStart"/>
      <w:r w:rsidRPr="00C830AB">
        <w:rPr>
          <w:rFonts w:ascii="Times New Roman" w:hAnsi="Times New Roman" w:cs="Times New Roman"/>
          <w:sz w:val="24"/>
          <w:szCs w:val="24"/>
        </w:rPr>
        <w:t>taking into account</w:t>
      </w:r>
      <w:proofErr w:type="gramEnd"/>
      <w:r w:rsidRPr="00C830AB">
        <w:rPr>
          <w:rFonts w:ascii="Times New Roman" w:hAnsi="Times New Roman" w:cs="Times New Roman"/>
          <w:sz w:val="24"/>
          <w:szCs w:val="24"/>
        </w:rPr>
        <w:t xml:space="preserve"> the merits of the Claimant’s underlying service complaint.  By contrast, the SCOAF and the Ministry of Defence submit that the terms of Regulation 7(2) mean that the Ombudsman was not entitled to </w:t>
      </w:r>
      <w:proofErr w:type="gramStart"/>
      <w:r w:rsidRPr="00C830AB">
        <w:rPr>
          <w:rFonts w:ascii="Times New Roman" w:hAnsi="Times New Roman" w:cs="Times New Roman"/>
          <w:sz w:val="24"/>
          <w:szCs w:val="24"/>
        </w:rPr>
        <w:t>take into account</w:t>
      </w:r>
      <w:proofErr w:type="gramEnd"/>
      <w:r w:rsidRPr="00C830AB">
        <w:rPr>
          <w:rFonts w:ascii="Times New Roman" w:hAnsi="Times New Roman" w:cs="Times New Roman"/>
          <w:sz w:val="24"/>
          <w:szCs w:val="24"/>
        </w:rPr>
        <w:t xml:space="preserve"> any consideration of the merits of the service complaint. </w:t>
      </w:r>
    </w:p>
    <w:p w14:paraId="17BEB0AA" w14:textId="77777777" w:rsidR="00E24FDB" w:rsidRPr="00C830AB" w:rsidRDefault="00E24FDB" w:rsidP="009A02E2">
      <w:pPr>
        <w:pStyle w:val="ListParagraph"/>
        <w:tabs>
          <w:tab w:val="left" w:pos="1233"/>
        </w:tabs>
        <w:spacing w:before="62"/>
        <w:ind w:left="820" w:right="354" w:firstLine="0"/>
        <w:rPr>
          <w:rFonts w:ascii="Times New Roman" w:hAnsi="Times New Roman" w:cs="Times New Roman"/>
          <w:sz w:val="24"/>
          <w:szCs w:val="24"/>
        </w:rPr>
      </w:pPr>
    </w:p>
    <w:p w14:paraId="098C2CBF"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By Claim Form of 26 September 2023 the Claimant originally advanced three grounds of challenge to the Ombudsman’s decisions:</w:t>
      </w:r>
    </w:p>
    <w:p w14:paraId="619D5DB2" w14:textId="77777777" w:rsidR="00E24FDB" w:rsidRPr="00C830AB" w:rsidRDefault="00E24FDB" w:rsidP="009A02E2">
      <w:pPr>
        <w:pStyle w:val="ListParagraph"/>
        <w:rPr>
          <w:rFonts w:ascii="Times New Roman" w:hAnsi="Times New Roman" w:cs="Times New Roman"/>
          <w:sz w:val="24"/>
          <w:szCs w:val="24"/>
        </w:rPr>
      </w:pPr>
    </w:p>
    <w:p w14:paraId="6D206C59" w14:textId="306CE7E9"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Ground 1 is the contention that the Ombudsman acted irrationally or failed to consider all relevant considerations in not </w:t>
      </w:r>
      <w:proofErr w:type="gramStart"/>
      <w:r w:rsidRPr="00C830AB">
        <w:rPr>
          <w:rFonts w:ascii="Times New Roman" w:hAnsi="Times New Roman" w:cs="Times New Roman"/>
          <w:sz w:val="24"/>
          <w:szCs w:val="24"/>
        </w:rPr>
        <w:t>taking in</w:t>
      </w:r>
      <w:r w:rsidR="00D71970">
        <w:rPr>
          <w:rFonts w:ascii="Times New Roman" w:hAnsi="Times New Roman" w:cs="Times New Roman"/>
          <w:sz w:val="24"/>
          <w:szCs w:val="24"/>
        </w:rPr>
        <w:t>to</w:t>
      </w:r>
      <w:r w:rsidRPr="00C830AB">
        <w:rPr>
          <w:rFonts w:ascii="Times New Roman" w:hAnsi="Times New Roman" w:cs="Times New Roman"/>
          <w:sz w:val="24"/>
          <w:szCs w:val="24"/>
        </w:rPr>
        <w:t xml:space="preserve"> account</w:t>
      </w:r>
      <w:proofErr w:type="gramEnd"/>
      <w:r w:rsidRPr="00C830AB">
        <w:rPr>
          <w:rFonts w:ascii="Times New Roman" w:hAnsi="Times New Roman" w:cs="Times New Roman"/>
          <w:sz w:val="24"/>
          <w:szCs w:val="24"/>
        </w:rPr>
        <w:t xml:space="preserve"> the merits of the Claimant’s service complaint.</w:t>
      </w:r>
    </w:p>
    <w:p w14:paraId="0FE987BF"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Ground 2 is a contention that the Ombudsman misapplied the just and equitable test under Regulation 7(2) in any event and failed to consider all relevant factors.</w:t>
      </w:r>
    </w:p>
    <w:p w14:paraId="0D097625"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Ground 3 was an allegation that the Ombudsman’s refusal to review the admissibility decision amounted to a breach of Articles 6 and 8 and/or those Articles taken with Article 14 of the European Convention on Human Rights under the Human Rights Act 1998. </w:t>
      </w:r>
    </w:p>
    <w:p w14:paraId="3F060F0E" w14:textId="77777777" w:rsidR="00E24FDB" w:rsidRPr="00C830AB" w:rsidRDefault="00E24FDB" w:rsidP="009A02E2">
      <w:pPr>
        <w:pStyle w:val="ListParagraph"/>
        <w:tabs>
          <w:tab w:val="left" w:pos="1233"/>
        </w:tabs>
        <w:spacing w:before="62"/>
        <w:ind w:left="820" w:right="354"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667C6CF7" w14:textId="306281B5"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The Defendant resist</w:t>
      </w:r>
      <w:r w:rsidR="00D71970">
        <w:rPr>
          <w:rFonts w:ascii="Times New Roman" w:hAnsi="Times New Roman" w:cs="Times New Roman"/>
          <w:sz w:val="24"/>
          <w:szCs w:val="24"/>
        </w:rPr>
        <w:t>ed</w:t>
      </w:r>
      <w:r w:rsidRPr="00C830AB">
        <w:rPr>
          <w:rFonts w:ascii="Times New Roman" w:hAnsi="Times New Roman" w:cs="Times New Roman"/>
          <w:sz w:val="24"/>
          <w:szCs w:val="24"/>
        </w:rPr>
        <w:t xml:space="preserve"> the claim for reasons set out in her Summary Grounds of </w:t>
      </w:r>
      <w:r w:rsidRPr="00C830AB">
        <w:rPr>
          <w:rFonts w:ascii="Times New Roman" w:hAnsi="Times New Roman" w:cs="Times New Roman"/>
          <w:sz w:val="24"/>
          <w:szCs w:val="24"/>
        </w:rPr>
        <w:lastRenderedPageBreak/>
        <w:t xml:space="preserve">Defence. </w:t>
      </w:r>
    </w:p>
    <w:p w14:paraId="4E6D3A9D" w14:textId="77777777" w:rsidR="00E24FDB" w:rsidRPr="00C830AB" w:rsidRDefault="00E24FDB" w:rsidP="009A02E2">
      <w:pPr>
        <w:pStyle w:val="ListParagraph"/>
        <w:tabs>
          <w:tab w:val="left" w:pos="1233"/>
        </w:tabs>
        <w:spacing w:before="62"/>
        <w:ind w:left="820" w:right="354"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F6E6EAD"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Permission to bring the claim was granted by the Hon. Mr Justice Calver by Order dated 31 October 2023.  The Judge also granted the Claimant anonymity. The terms of that anonymity order prohibiting the publication of the Claimant’s name, or any information liable to lead to his identification in connection with these proceedings, and making other provision for preservation of that anonymity, remain in force.</w:t>
      </w:r>
    </w:p>
    <w:p w14:paraId="5A98D44A" w14:textId="77777777" w:rsidR="00E24FDB" w:rsidRPr="00C830AB" w:rsidRDefault="00E24FDB" w:rsidP="009A02E2">
      <w:pPr>
        <w:pStyle w:val="ListParagraph"/>
        <w:tabs>
          <w:tab w:val="left" w:pos="1233"/>
        </w:tabs>
        <w:spacing w:before="62"/>
        <w:ind w:left="820" w:right="354"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3414F4DF" w14:textId="4E16B77F"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The Defendant provided notification that her Summary Grounds of Defence should stand as her Detailed Grounds of Defence (as permitted by paragraph 1 of the Order of Calver J).  The Ministry of Defence, the Interested Party, submitted its own Detailed Grounds of Defence supporting the Defendant’s interpretation of Regulation 7(2) of the 2015 Regulations.</w:t>
      </w:r>
    </w:p>
    <w:p w14:paraId="2302EE9F" w14:textId="77777777" w:rsidR="00E24FDB" w:rsidRPr="00C830AB" w:rsidRDefault="00E24FDB" w:rsidP="009A02E2">
      <w:pPr>
        <w:pStyle w:val="ListParagraph"/>
        <w:rPr>
          <w:rFonts w:ascii="Times New Roman" w:hAnsi="Times New Roman" w:cs="Times New Roman"/>
          <w:sz w:val="24"/>
          <w:szCs w:val="24"/>
        </w:rPr>
      </w:pPr>
    </w:p>
    <w:p w14:paraId="42891AE9" w14:textId="5173999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By Application Notice dated 12 January 2024, the Claimant applied to rely on a witness statement.  This was unopposed by the other parties. Permission to admit the statement was granted by Order of Sir Duncan Ouseley (sitting as a High Court Judge) dated 23 January 2024.  </w:t>
      </w:r>
    </w:p>
    <w:p w14:paraId="20DA2B9F" w14:textId="77777777" w:rsidR="00E24FDB" w:rsidRPr="00C830AB" w:rsidRDefault="00E24FDB" w:rsidP="009A02E2">
      <w:pPr>
        <w:pStyle w:val="ListParagraph"/>
        <w:tabs>
          <w:tab w:val="left" w:pos="1233"/>
        </w:tabs>
        <w:spacing w:before="62"/>
        <w:ind w:left="820" w:right="354" w:firstLine="0"/>
        <w:rPr>
          <w:rFonts w:ascii="Times New Roman" w:hAnsi="Times New Roman" w:cs="Times New Roman"/>
          <w:sz w:val="24"/>
          <w:szCs w:val="24"/>
        </w:rPr>
      </w:pPr>
    </w:p>
    <w:p w14:paraId="6CC83778"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The Claimant had made various requests for disclosure from the SCOAF of material relating to the decisions in light of the Defendant’s duty of candour. These requests began with in the Claimant’s pre-action protocol letter before claim dated 19 September 2023, and continued into January 2024.  They included a request for disclosure of any records relating to a telephone call between someone from SCOAF and the Claimant shortly after he had submitted his request for a review. No disclosure was provided by the Defendant until 19 January 2024 and then later on 26 January 2024.  The first disclosure was provided on the date the Claimant’s skeleton argument for the substantive hearing was due. He submitted a Note to deal with its content on 20 February 2024.</w:t>
      </w:r>
    </w:p>
    <w:p w14:paraId="5804E616" w14:textId="77777777" w:rsidR="00E24FDB" w:rsidRPr="00C830AB" w:rsidRDefault="00E24FDB" w:rsidP="009A02E2">
      <w:pPr>
        <w:pStyle w:val="ListParagraph"/>
        <w:rPr>
          <w:rFonts w:ascii="Times New Roman" w:hAnsi="Times New Roman" w:cs="Times New Roman"/>
          <w:sz w:val="24"/>
          <w:szCs w:val="24"/>
        </w:rPr>
      </w:pPr>
    </w:p>
    <w:p w14:paraId="4EFBBE9F"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There was then a flurry of activity shortly before the hearing of the substantive claim including:</w:t>
      </w:r>
    </w:p>
    <w:p w14:paraId="2ACCB16E" w14:textId="77777777" w:rsidR="00E24FDB" w:rsidRPr="00C830AB" w:rsidRDefault="00E24FDB" w:rsidP="009A02E2">
      <w:pPr>
        <w:pStyle w:val="ListParagraph"/>
        <w:rPr>
          <w:rFonts w:ascii="Times New Roman" w:hAnsi="Times New Roman" w:cs="Times New Roman"/>
          <w:sz w:val="24"/>
          <w:szCs w:val="24"/>
        </w:rPr>
      </w:pPr>
    </w:p>
    <w:p w14:paraId="09BF905F"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The filing of a Supplementary Trial Bundle dated 25 January 2024 containing documents disclosed on 19 January 2024, including those with redactions.</w:t>
      </w:r>
    </w:p>
    <w:p w14:paraId="151243F6" w14:textId="77777777" w:rsidR="00E24FDB" w:rsidRPr="00C830AB" w:rsidRDefault="00E24FDB" w:rsidP="009A02E2">
      <w:pPr>
        <w:pStyle w:val="ListParagraph"/>
        <w:tabs>
          <w:tab w:val="left" w:pos="1233"/>
        </w:tabs>
        <w:spacing w:before="62"/>
        <w:ind w:left="1234" w:right="354" w:firstLine="0"/>
        <w:rPr>
          <w:rFonts w:ascii="Times New Roman" w:hAnsi="Times New Roman" w:cs="Times New Roman"/>
          <w:sz w:val="24"/>
          <w:szCs w:val="24"/>
        </w:rPr>
      </w:pPr>
    </w:p>
    <w:p w14:paraId="78C5F7B9" w14:textId="4B195CDB"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An application notice dated 26 January 2024 from the Defendant seeking permission to rely upon a witness statement from the Ombudsman, Mariette Hughes, dated 26 January 2024.  This seeks to respond to matters raised by the Claimant in his Skeleton Argument and witness statement about the telephone contact between someone at SCOAF’s office </w:t>
      </w:r>
      <w:r w:rsidR="00D71970">
        <w:rPr>
          <w:rFonts w:ascii="Times New Roman" w:hAnsi="Times New Roman" w:cs="Times New Roman"/>
          <w:sz w:val="24"/>
          <w:szCs w:val="24"/>
        </w:rPr>
        <w:t>an</w:t>
      </w:r>
      <w:r w:rsidRPr="00C830AB">
        <w:rPr>
          <w:rFonts w:ascii="Times New Roman" w:hAnsi="Times New Roman" w:cs="Times New Roman"/>
          <w:sz w:val="24"/>
          <w:szCs w:val="24"/>
        </w:rPr>
        <w:t>d the Claimant in June 2023.  The Claimant’s solicitors confirmed by email on 30 January 2024 that there was no objection to</w:t>
      </w:r>
      <w:r w:rsidR="00D71970">
        <w:rPr>
          <w:rFonts w:ascii="Times New Roman" w:hAnsi="Times New Roman" w:cs="Times New Roman"/>
          <w:sz w:val="24"/>
          <w:szCs w:val="24"/>
        </w:rPr>
        <w:t xml:space="preserve"> the</w:t>
      </w:r>
      <w:r w:rsidRPr="00C830AB">
        <w:rPr>
          <w:rFonts w:ascii="Times New Roman" w:hAnsi="Times New Roman" w:cs="Times New Roman"/>
          <w:sz w:val="24"/>
          <w:szCs w:val="24"/>
        </w:rPr>
        <w:t xml:space="preserve"> application.  At the start of the hearing, I granted the Defendant’s application to rely upon that witness statement.  It is elucidatory and its admission was not opposed.</w:t>
      </w:r>
    </w:p>
    <w:p w14:paraId="5DBD7FB9"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A letter from the Interested Party to the Claimant’s solicitors dated 30 January </w:t>
      </w:r>
      <w:r w:rsidRPr="00C830AB">
        <w:rPr>
          <w:rFonts w:ascii="Times New Roman" w:hAnsi="Times New Roman" w:cs="Times New Roman"/>
          <w:sz w:val="24"/>
          <w:szCs w:val="24"/>
        </w:rPr>
        <w:lastRenderedPageBreak/>
        <w:t>2024 asking the Claimant to confirm whether or not he was pursuing Ground 3 in light of recent events in Employment Tribunal (“ET”) proceedings between the Claimant and the Interested Party where the issue was going to be addressed.</w:t>
      </w:r>
    </w:p>
    <w:p w14:paraId="49D9BE70" w14:textId="77777777" w:rsidR="00E24FDB" w:rsidRPr="00C830AB" w:rsidRDefault="00E24FDB" w:rsidP="009A02E2">
      <w:pPr>
        <w:pStyle w:val="ListParagraph"/>
        <w:tabs>
          <w:tab w:val="left" w:pos="1233"/>
        </w:tabs>
        <w:spacing w:before="62"/>
        <w:ind w:left="1234" w:right="354" w:firstLine="0"/>
        <w:rPr>
          <w:rFonts w:ascii="Times New Roman" w:hAnsi="Times New Roman" w:cs="Times New Roman"/>
          <w:sz w:val="24"/>
          <w:szCs w:val="24"/>
        </w:rPr>
      </w:pPr>
    </w:p>
    <w:p w14:paraId="416BAD8C"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A letter from the Claimant’s solicitors dated 31 January 2024 confirming withdrawal of Ground 3 in these proceedings.  This withdrawal was confirmed at the hearing.  It is therefore unnecessary for me to deal with Ground 3 as originally pleaded.</w:t>
      </w:r>
    </w:p>
    <w:p w14:paraId="5AEDAC0C" w14:textId="77777777" w:rsidR="00E24FDB" w:rsidRPr="00C830AB" w:rsidRDefault="00E24FDB" w:rsidP="009A02E2">
      <w:pPr>
        <w:pStyle w:val="ListParagraph"/>
        <w:tabs>
          <w:tab w:val="left" w:pos="1233"/>
        </w:tabs>
        <w:spacing w:before="62"/>
        <w:ind w:left="1234" w:right="354" w:firstLine="0"/>
        <w:rPr>
          <w:rFonts w:ascii="Times New Roman" w:hAnsi="Times New Roman" w:cs="Times New Roman"/>
          <w:sz w:val="24"/>
          <w:szCs w:val="24"/>
        </w:rPr>
      </w:pPr>
    </w:p>
    <w:p w14:paraId="6AEE408B"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The filing of an Amended Supplementary Trial Bundle dated 31 January 2024. This includes the versions of disclosed documents provided by the Defendant on 26 January 2024.</w:t>
      </w:r>
    </w:p>
    <w:p w14:paraId="512EFBD2" w14:textId="77777777" w:rsidR="00E24FDB" w:rsidRPr="00C830AB" w:rsidRDefault="00E24FDB" w:rsidP="009A02E2">
      <w:pPr>
        <w:pStyle w:val="ListParagraph"/>
        <w:tabs>
          <w:tab w:val="left" w:pos="1233"/>
        </w:tabs>
        <w:spacing w:before="62"/>
        <w:ind w:left="1234" w:right="354" w:firstLine="0"/>
        <w:rPr>
          <w:rFonts w:ascii="Times New Roman" w:hAnsi="Times New Roman" w:cs="Times New Roman"/>
          <w:sz w:val="24"/>
          <w:szCs w:val="24"/>
        </w:rPr>
      </w:pPr>
    </w:p>
    <w:p w14:paraId="127F93B7" w14:textId="3479C9EC"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An Application Notice by the Claimant dated 5 February 2024 to amend his grounds.  The attached Amended Statement of Facts and Grounds removes reliance on the original Ground 3.  But it also seeks to introduce a new Ground 3 alleging procedural unfairness by the Ombudsman and a breach of paragraph 5.3.1 of the Defendant’s disclosed Operations Manual.  That application is resisted by the Defendant.  It came before me at the start of the hearing of the substantive claim.  With the agreement of the parties, I heard argument on the application and the substance of the proposed new Ground 3 together, with my ruling to form part of my decision on the substantive claim.  I therefore deal with this application and </w:t>
      </w:r>
      <w:r w:rsidR="00D71970">
        <w:rPr>
          <w:rFonts w:ascii="Times New Roman" w:hAnsi="Times New Roman" w:cs="Times New Roman"/>
          <w:sz w:val="24"/>
          <w:szCs w:val="24"/>
        </w:rPr>
        <w:t xml:space="preserve">the </w:t>
      </w:r>
      <w:r w:rsidRPr="00C830AB">
        <w:rPr>
          <w:rFonts w:ascii="Times New Roman" w:hAnsi="Times New Roman" w:cs="Times New Roman"/>
          <w:sz w:val="24"/>
          <w:szCs w:val="24"/>
        </w:rPr>
        <w:t>proposed ground later in my judgment.</w:t>
      </w:r>
    </w:p>
    <w:p w14:paraId="43528096" w14:textId="77777777" w:rsidR="00E24FDB" w:rsidRPr="00C830AB" w:rsidRDefault="00E24FDB" w:rsidP="009A02E2">
      <w:pPr>
        <w:pStyle w:val="ListParagraph"/>
        <w:tabs>
          <w:tab w:val="left" w:pos="1233"/>
        </w:tabs>
        <w:spacing w:before="62"/>
        <w:ind w:left="1234" w:right="354" w:firstLine="0"/>
        <w:rPr>
          <w:rFonts w:ascii="Times New Roman" w:hAnsi="Times New Roman" w:cs="Times New Roman"/>
          <w:sz w:val="24"/>
          <w:szCs w:val="24"/>
        </w:rPr>
      </w:pPr>
    </w:p>
    <w:p w14:paraId="4F1BE1AB" w14:textId="77777777" w:rsidR="00E24FDB" w:rsidRPr="00C830AB" w:rsidRDefault="00E24FDB" w:rsidP="009A02E2">
      <w:pPr>
        <w:pStyle w:val="ListParagraph"/>
        <w:numPr>
          <w:ilvl w:val="2"/>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A very late application made by the Defendant at the beginning of the substantive hearing for retention of redactions in the disclosed material of the identities of less senior officials of the SCOAF, notwithstanding the decision of the High Court in </w:t>
      </w:r>
      <w:r w:rsidRPr="00C830AB">
        <w:rPr>
          <w:rFonts w:ascii="Times New Roman" w:hAnsi="Times New Roman" w:cs="Times New Roman"/>
          <w:i/>
          <w:iCs/>
          <w:sz w:val="24"/>
          <w:szCs w:val="24"/>
        </w:rPr>
        <w:t>R(IAB) v Secretary of State for the Home Department</w:t>
      </w:r>
      <w:r w:rsidRPr="00C830AB">
        <w:rPr>
          <w:rFonts w:ascii="Times New Roman" w:hAnsi="Times New Roman" w:cs="Times New Roman"/>
          <w:sz w:val="24"/>
          <w:szCs w:val="24"/>
        </w:rPr>
        <w:t xml:space="preserve"> [2023] EWHC 2930, and the subsequent decision of the Court of Appeal upholding the High Court ([2024] EWCA Civ 66) as handed down on 2 February 2024.  In the absence of any specific reasons to justify those redactions, I refused that application at the start of the hearing applying the principles identified by the Court of Appeal in </w:t>
      </w:r>
      <w:r w:rsidRPr="00C830AB">
        <w:rPr>
          <w:rFonts w:ascii="Times New Roman" w:hAnsi="Times New Roman" w:cs="Times New Roman"/>
          <w:i/>
          <w:iCs/>
          <w:sz w:val="24"/>
          <w:szCs w:val="24"/>
        </w:rPr>
        <w:t>IAB</w:t>
      </w:r>
      <w:r w:rsidRPr="00C830AB">
        <w:rPr>
          <w:rFonts w:ascii="Times New Roman" w:hAnsi="Times New Roman" w:cs="Times New Roman"/>
          <w:sz w:val="24"/>
          <w:szCs w:val="24"/>
        </w:rPr>
        <w:t xml:space="preserve">.  </w:t>
      </w:r>
    </w:p>
    <w:p w14:paraId="7BAD3B87" w14:textId="77777777" w:rsidR="00E24FDB" w:rsidRPr="00C830AB" w:rsidRDefault="00E24FDB" w:rsidP="009A02E2">
      <w:pPr>
        <w:pStyle w:val="ListParagraph"/>
        <w:rPr>
          <w:rFonts w:ascii="Times New Roman" w:hAnsi="Times New Roman" w:cs="Times New Roman"/>
          <w:sz w:val="24"/>
          <w:szCs w:val="24"/>
        </w:rPr>
      </w:pPr>
    </w:p>
    <w:p w14:paraId="3FD1A527"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Needless to say, this flurry of activity before and at the start of the substantive hearing of the claim was very unfortunate. Such activity at a late stage is contrary to the basic objectives of the directions in place which provide for an effective and efficient hearing of the substantive claim.  Such directions are intended to ensure the provision of structured and considered arguments on identified issues in advance of the hearing, so that the hearing itself can then focus on the grounds for which permission was granted.   It is regrettable the Defendant did not provide disclosure of documents until 19 January 2024 as part of its duty of candour.  This lateness has, in no small part, been a significant contributor to the recent activity.</w:t>
      </w:r>
    </w:p>
    <w:p w14:paraId="68B98D6D" w14:textId="77777777" w:rsidR="00E24FDB" w:rsidRPr="00C830AB" w:rsidRDefault="00E24FDB" w:rsidP="009A02E2">
      <w:pPr>
        <w:pStyle w:val="ListParagraph"/>
        <w:tabs>
          <w:tab w:val="left" w:pos="1233"/>
        </w:tabs>
        <w:spacing w:before="62"/>
        <w:ind w:left="820" w:right="354"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31737AA5" w14:textId="5CBCB84F"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Despite these difficulties, I have considered all material and arguments advanced in an effort to address the issues raised </w:t>
      </w:r>
      <w:r w:rsidR="00D71970">
        <w:rPr>
          <w:rFonts w:ascii="Times New Roman" w:hAnsi="Times New Roman" w:cs="Times New Roman"/>
          <w:sz w:val="24"/>
          <w:szCs w:val="24"/>
        </w:rPr>
        <w:t>i</w:t>
      </w:r>
      <w:r w:rsidRPr="00C830AB">
        <w:rPr>
          <w:rFonts w:ascii="Times New Roman" w:hAnsi="Times New Roman" w:cs="Times New Roman"/>
          <w:sz w:val="24"/>
          <w:szCs w:val="24"/>
        </w:rPr>
        <w:t xml:space="preserve">n the claim.  At the substantive hearing, the Claimant was represented by Nicola Braganza KC, the Defendant by Robert </w:t>
      </w:r>
      <w:proofErr w:type="gramStart"/>
      <w:r w:rsidRPr="00C830AB">
        <w:rPr>
          <w:rFonts w:ascii="Times New Roman" w:hAnsi="Times New Roman" w:cs="Times New Roman"/>
          <w:sz w:val="24"/>
          <w:szCs w:val="24"/>
        </w:rPr>
        <w:lastRenderedPageBreak/>
        <w:t>Cohen</w:t>
      </w:r>
      <w:proofErr w:type="gramEnd"/>
      <w:r w:rsidRPr="00C830AB">
        <w:rPr>
          <w:rFonts w:ascii="Times New Roman" w:hAnsi="Times New Roman" w:cs="Times New Roman"/>
          <w:sz w:val="24"/>
          <w:szCs w:val="24"/>
        </w:rPr>
        <w:t xml:space="preserve"> and the Interested Party by Jack Castle both of Counsel.  I am very grateful to all of them for the clarity and helpfulness of both their written and oral submissions. </w:t>
      </w:r>
    </w:p>
    <w:p w14:paraId="3634E2EF" w14:textId="77777777" w:rsidR="00E24FDB" w:rsidRPr="00C830AB" w:rsidRDefault="00E24FDB" w:rsidP="009A02E2">
      <w:pPr>
        <w:tabs>
          <w:tab w:val="left" w:pos="1233"/>
        </w:tabs>
        <w:spacing w:before="62"/>
        <w:ind w:left="460" w:right="354"/>
      </w:pPr>
    </w:p>
    <w:p w14:paraId="25F2C03F"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In advance of that hearing, the Claimant</w:t>
      </w:r>
      <w:r w:rsidRPr="00C830AB">
        <w:rPr>
          <w:rFonts w:ascii="Times New Roman" w:hAnsi="Times New Roman" w:cs="Times New Roman"/>
          <w:spacing w:val="-8"/>
          <w:sz w:val="24"/>
          <w:szCs w:val="24"/>
        </w:rPr>
        <w:t xml:space="preserve"> had invited </w:t>
      </w:r>
      <w:r w:rsidRPr="00C830AB">
        <w:rPr>
          <w:rFonts w:ascii="Times New Roman" w:hAnsi="Times New Roman" w:cs="Times New Roman"/>
          <w:sz w:val="24"/>
          <w:szCs w:val="24"/>
        </w:rPr>
        <w:t>the</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Defendant to</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adopt</w:t>
      </w:r>
      <w:r w:rsidRPr="00C830AB">
        <w:rPr>
          <w:rFonts w:ascii="Times New Roman" w:hAnsi="Times New Roman" w:cs="Times New Roman"/>
          <w:spacing w:val="-8"/>
          <w:sz w:val="24"/>
          <w:szCs w:val="24"/>
        </w:rPr>
        <w:t xml:space="preserve"> what the Claimant considered would be “</w:t>
      </w:r>
      <w:r w:rsidRPr="00C830AB">
        <w:rPr>
          <w:rFonts w:ascii="Times New Roman" w:hAnsi="Times New Roman" w:cs="Times New Roman"/>
          <w:sz w:val="24"/>
          <w:szCs w:val="24"/>
        </w:rPr>
        <w:t>a</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proportionate</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reasonable</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 xml:space="preserve">response” to the claim in order to save time and costs: the Claimant made a request dated 5 January 2024 for the Defendant </w:t>
      </w:r>
      <w:r w:rsidRPr="00C830AB">
        <w:rPr>
          <w:rFonts w:ascii="Times New Roman" w:hAnsi="Times New Roman" w:cs="Times New Roman"/>
          <w:spacing w:val="-3"/>
          <w:sz w:val="24"/>
          <w:szCs w:val="24"/>
        </w:rPr>
        <w:t>to a</w:t>
      </w:r>
      <w:r w:rsidRPr="00C830AB">
        <w:rPr>
          <w:rFonts w:ascii="Times New Roman" w:hAnsi="Times New Roman" w:cs="Times New Roman"/>
          <w:sz w:val="24"/>
          <w:szCs w:val="24"/>
        </w:rPr>
        <w:t>gree</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reconsider</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decision</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refuse</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his</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 xml:space="preserve">request for a review of the admissibility decision in light of all the circumstances. The Defendant refused this request. </w:t>
      </w:r>
    </w:p>
    <w:p w14:paraId="6CC5E70F" w14:textId="77777777" w:rsidR="00E24FDB" w:rsidRPr="00C830AB" w:rsidRDefault="00E24FDB" w:rsidP="009A02E2">
      <w:pPr>
        <w:pStyle w:val="ListParagraph"/>
        <w:rPr>
          <w:rFonts w:ascii="Times New Roman" w:hAnsi="Times New Roman" w:cs="Times New Roman"/>
          <w:sz w:val="24"/>
          <w:szCs w:val="24"/>
        </w:rPr>
      </w:pPr>
    </w:p>
    <w:p w14:paraId="7F3E10CC"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I endorse the general principle of a party seeking to achieve a proportionate and reasonable and pragmatic resolution of a claim that might save time and costs.  That said, it is fair to recognise that the solution the Claimant proposed would necessarily involve the Defendant having to accept the correctness of the Claimant’s interpretation of Regulation 7(2) of the 2015 Regulations, as compared with the interpretation that the Defendant and Interested Party submit is correct.  Their argument is that the Ombudsman is simply not entitled, as a matter of law, to consider the underlying merits of the Claimant’s service complaint when deciding whether it is just and reasonable to exercise a discretion to consider the Claimant’s application for review out of time. This is the principal issue which falls for determination by this claim.</w:t>
      </w:r>
    </w:p>
    <w:p w14:paraId="0B17671C" w14:textId="77777777" w:rsidR="00E24FDB" w:rsidRPr="00C830AB" w:rsidRDefault="00E24FDB" w:rsidP="009A02E2"/>
    <w:p w14:paraId="1BDB6089" w14:textId="77777777" w:rsidR="00E24FDB" w:rsidRPr="00C830AB" w:rsidRDefault="00E24FDB" w:rsidP="009A02E2">
      <w:pPr>
        <w:pStyle w:val="ListParagraph"/>
        <w:numPr>
          <w:ilvl w:val="1"/>
          <w:numId w:val="4"/>
        </w:numPr>
        <w:tabs>
          <w:tab w:val="left" w:pos="1233"/>
        </w:tabs>
        <w:spacing w:before="62"/>
        <w:ind w:right="354"/>
        <w:rPr>
          <w:rFonts w:ascii="Times New Roman" w:hAnsi="Times New Roman" w:cs="Times New Roman"/>
          <w:sz w:val="24"/>
          <w:szCs w:val="24"/>
        </w:rPr>
      </w:pPr>
      <w:r w:rsidRPr="00C830AB">
        <w:rPr>
          <w:rFonts w:ascii="Times New Roman" w:hAnsi="Times New Roman" w:cs="Times New Roman"/>
          <w:sz w:val="24"/>
          <w:szCs w:val="24"/>
        </w:rPr>
        <w:t xml:space="preserve">After the conclusion of the hearing, the Interested Party’s solicitors sent a letter to the Court dated 21 March 2024 drawing attention to delivery of a judgment of the EAT: </w:t>
      </w:r>
      <w:r w:rsidRPr="00C830AB">
        <w:rPr>
          <w:rFonts w:ascii="Times New Roman" w:hAnsi="Times New Roman" w:cs="Times New Roman"/>
          <w:i/>
          <w:iCs/>
          <w:sz w:val="24"/>
          <w:szCs w:val="24"/>
        </w:rPr>
        <w:t xml:space="preserve">Edwards v Ministry of Defence </w:t>
      </w:r>
      <w:r w:rsidRPr="00C830AB">
        <w:rPr>
          <w:rFonts w:ascii="Times New Roman" w:hAnsi="Times New Roman" w:cs="Times New Roman"/>
          <w:sz w:val="24"/>
          <w:szCs w:val="24"/>
        </w:rPr>
        <w:t xml:space="preserve">[2024] EAT 18, a case to which Mr Castle had referred at the hearing.  That decision relates to the question of whether a statement of a person’s service complaint provides enough information to indicate whether the subject-matter of the complaint is one that could be pursued in an Employment Tribunal, for the purpose of creating the necessary jurisdiction for the Employment Tribunal over a matter potentially raised in the complaint for the purposes of section 121 of the </w:t>
      </w:r>
      <w:r w:rsidRPr="00C830AB">
        <w:rPr>
          <w:rFonts w:ascii="Times New Roman" w:hAnsi="Times New Roman" w:cs="Times New Roman"/>
          <w:sz w:val="24"/>
          <w:szCs w:val="24"/>
          <w:u w:val="single"/>
        </w:rPr>
        <w:t>Equality Act 2010</w:t>
      </w:r>
      <w:r w:rsidRPr="00C830AB">
        <w:rPr>
          <w:rFonts w:ascii="Times New Roman" w:hAnsi="Times New Roman" w:cs="Times New Roman"/>
          <w:sz w:val="24"/>
          <w:szCs w:val="24"/>
        </w:rPr>
        <w:t xml:space="preserve"> (a provision considered later in this judgment).  The decision generally establishes that a statement of complaint should be construed in a purposive way, taking into consideration Parliament’s intention that the armed forces should have the ability to consider and determine complaints internally prior to any ultimate resort to litigation. I am grateful to the Interested Party for bringing the outcome of that case to my attention.  I also note and agree with the </w:t>
      </w:r>
      <w:proofErr w:type="gramStart"/>
      <w:r w:rsidRPr="00C830AB">
        <w:rPr>
          <w:rFonts w:ascii="Times New Roman" w:hAnsi="Times New Roman" w:cs="Times New Roman"/>
          <w:sz w:val="24"/>
          <w:szCs w:val="24"/>
        </w:rPr>
        <w:t>shared  intention</w:t>
      </w:r>
      <w:proofErr w:type="gramEnd"/>
      <w:r w:rsidRPr="00C830AB">
        <w:rPr>
          <w:rFonts w:ascii="Times New Roman" w:hAnsi="Times New Roman" w:cs="Times New Roman"/>
          <w:sz w:val="24"/>
          <w:szCs w:val="24"/>
        </w:rPr>
        <w:t xml:space="preserve"> of the Claimant and Interested Party that any employment matters that arise in respect of this claim remain a matter for determination by the Employment Tribunal in the proceedings between those two parties.  I have sought not to trespass into any matter that is more properly a matter for determination by the Employment Tribunal.</w:t>
      </w:r>
    </w:p>
    <w:p w14:paraId="4A13268F" w14:textId="77777777" w:rsidR="00E24FDB" w:rsidRPr="00C830AB" w:rsidRDefault="00E24FDB" w:rsidP="009A02E2">
      <w:pPr>
        <w:pStyle w:val="ListParagraph"/>
        <w:rPr>
          <w:rFonts w:ascii="Times New Roman" w:hAnsi="Times New Roman" w:cs="Times New Roman"/>
          <w:sz w:val="24"/>
          <w:szCs w:val="24"/>
        </w:rPr>
      </w:pPr>
    </w:p>
    <w:p w14:paraId="5BBB1E07" w14:textId="77777777" w:rsidR="00E24FDB" w:rsidRPr="00C830AB" w:rsidRDefault="00E24FDB" w:rsidP="009A02E2">
      <w:pPr>
        <w:pStyle w:val="Heading1"/>
        <w:tabs>
          <w:tab w:val="left" w:pos="819"/>
        </w:tabs>
        <w:spacing w:before="62"/>
        <w:rPr>
          <w:rFonts w:ascii="Times New Roman" w:hAnsi="Times New Roman" w:cs="Times New Roman"/>
          <w:spacing w:val="-2"/>
          <w:sz w:val="24"/>
          <w:szCs w:val="24"/>
        </w:rPr>
      </w:pPr>
      <w:r w:rsidRPr="00C830AB">
        <w:rPr>
          <w:rFonts w:ascii="Times New Roman" w:hAnsi="Times New Roman" w:cs="Times New Roman"/>
          <w:sz w:val="24"/>
          <w:szCs w:val="24"/>
        </w:rPr>
        <w:tab/>
        <w:t>LEGAL</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POLICY</w:t>
      </w:r>
      <w:r w:rsidRPr="00C830AB">
        <w:rPr>
          <w:rFonts w:ascii="Times New Roman" w:hAnsi="Times New Roman" w:cs="Times New Roman"/>
          <w:spacing w:val="-2"/>
          <w:sz w:val="24"/>
          <w:szCs w:val="24"/>
        </w:rPr>
        <w:t xml:space="preserve"> FRAMEWORK</w:t>
      </w:r>
    </w:p>
    <w:p w14:paraId="347BE9D4" w14:textId="2C071775" w:rsidR="00E24FDB" w:rsidRPr="00C830AB" w:rsidRDefault="00E24FDB" w:rsidP="009A02E2">
      <w:pPr>
        <w:pStyle w:val="Heading1"/>
        <w:tabs>
          <w:tab w:val="left" w:pos="819"/>
        </w:tabs>
        <w:spacing w:before="62"/>
        <w:rPr>
          <w:rFonts w:ascii="Times New Roman" w:hAnsi="Times New Roman" w:cs="Times New Roman"/>
          <w:spacing w:val="-2"/>
          <w:sz w:val="24"/>
          <w:szCs w:val="24"/>
        </w:rPr>
      </w:pPr>
      <w:r w:rsidRPr="00C830AB">
        <w:rPr>
          <w:rFonts w:ascii="Times New Roman" w:hAnsi="Times New Roman" w:cs="Times New Roman"/>
          <w:spacing w:val="-2"/>
          <w:sz w:val="24"/>
          <w:szCs w:val="24"/>
        </w:rPr>
        <w:tab/>
      </w:r>
      <w:r w:rsidRPr="00C830AB">
        <w:rPr>
          <w:rFonts w:ascii="Times New Roman" w:hAnsi="Times New Roman" w:cs="Times New Roman"/>
          <w:sz w:val="24"/>
          <w:szCs w:val="24"/>
          <w:u w:val="single"/>
        </w:rPr>
        <w:t>The Armed Forces Act 2006</w:t>
      </w:r>
    </w:p>
    <w:p w14:paraId="10C64A74" w14:textId="4EF7A53C"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Part 14A of the </w:t>
      </w:r>
      <w:r w:rsidRPr="00C830AB">
        <w:rPr>
          <w:rFonts w:ascii="Times New Roman" w:hAnsi="Times New Roman" w:cs="Times New Roman"/>
          <w:sz w:val="24"/>
          <w:szCs w:val="24"/>
          <w:u w:val="single"/>
        </w:rPr>
        <w:t>Armed Forces Act 2006</w:t>
      </w:r>
      <w:r w:rsidRPr="00C830AB">
        <w:rPr>
          <w:rFonts w:ascii="Times New Roman" w:hAnsi="Times New Roman" w:cs="Times New Roman"/>
          <w:sz w:val="24"/>
          <w:szCs w:val="24"/>
        </w:rPr>
        <w:t xml:space="preserve"> (“the AFA 2006”) provides for the making and determination of “service complaints” by those, like the </w:t>
      </w:r>
      <w:proofErr w:type="gramStart"/>
      <w:r w:rsidRPr="00C830AB">
        <w:rPr>
          <w:rFonts w:ascii="Times New Roman" w:hAnsi="Times New Roman" w:cs="Times New Roman"/>
          <w:sz w:val="24"/>
          <w:szCs w:val="24"/>
        </w:rPr>
        <w:t>Claimant,  who</w:t>
      </w:r>
      <w:proofErr w:type="gramEnd"/>
      <w:r w:rsidRPr="00C830AB">
        <w:rPr>
          <w:rFonts w:ascii="Times New Roman" w:hAnsi="Times New Roman" w:cs="Times New Roman"/>
          <w:sz w:val="24"/>
          <w:szCs w:val="24"/>
        </w:rPr>
        <w:t xml:space="preserve"> are or were subject to service law.</w:t>
      </w:r>
    </w:p>
    <w:p w14:paraId="2222EEDA"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3131E934"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340A of the AFA 2006 sets out the basic entitlement to make such a “service complaint” as follows:</w:t>
      </w:r>
    </w:p>
    <w:p w14:paraId="62CC38B8" w14:textId="77777777" w:rsidR="00E24FDB" w:rsidRPr="00C830AB" w:rsidRDefault="00E24FDB" w:rsidP="009A02E2">
      <w:pPr>
        <w:pStyle w:val="ListParagraph"/>
        <w:rPr>
          <w:rFonts w:ascii="Times New Roman" w:hAnsi="Times New Roman" w:cs="Times New Roman"/>
          <w:sz w:val="24"/>
          <w:szCs w:val="24"/>
        </w:rPr>
      </w:pPr>
    </w:p>
    <w:p w14:paraId="4FA8D9F6" w14:textId="613C83AF"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 xml:space="preserve">If a person subject to service law thinks himself or herself wronged in any matter relating to his or </w:t>
      </w:r>
      <w:r w:rsidR="00D71970">
        <w:rPr>
          <w:rFonts w:ascii="Times New Roman" w:hAnsi="Times New Roman" w:cs="Times New Roman"/>
          <w:sz w:val="24"/>
          <w:szCs w:val="24"/>
        </w:rPr>
        <w:t xml:space="preserve">her </w:t>
      </w:r>
      <w:r w:rsidRPr="00C830AB">
        <w:rPr>
          <w:rFonts w:ascii="Times New Roman" w:hAnsi="Times New Roman" w:cs="Times New Roman"/>
          <w:sz w:val="24"/>
          <w:szCs w:val="24"/>
        </w:rPr>
        <w:t>service, the person may make a complaint about the matter.</w:t>
      </w:r>
    </w:p>
    <w:p w14:paraId="1BBE9A85"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7A3AA639"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(2)</w:t>
      </w:r>
      <w:r w:rsidRPr="00C830AB">
        <w:rPr>
          <w:rFonts w:ascii="Times New Roman" w:hAnsi="Times New Roman" w:cs="Times New Roman"/>
          <w:sz w:val="24"/>
          <w:szCs w:val="24"/>
        </w:rPr>
        <w:tab/>
        <w:t>If a person who has ceased to be subject to service law thinks himself or herself wronged in any matter relating to his or her service which occurred while he or she was so subject, the person may make a complaint about the matter.</w:t>
      </w:r>
    </w:p>
    <w:p w14:paraId="3707C49B"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400E375D"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(3)</w:t>
      </w:r>
      <w:r w:rsidRPr="00C830AB">
        <w:rPr>
          <w:rFonts w:ascii="Times New Roman" w:hAnsi="Times New Roman" w:cs="Times New Roman"/>
          <w:sz w:val="24"/>
          <w:szCs w:val="24"/>
        </w:rPr>
        <w:tab/>
        <w:t>In this Part, “service complaint” means a complaint made under subsection (1) or (2</w:t>
      </w:r>
      <w:proofErr w:type="gramStart"/>
      <w:r w:rsidRPr="00C830AB">
        <w:rPr>
          <w:rFonts w:ascii="Times New Roman" w:hAnsi="Times New Roman" w:cs="Times New Roman"/>
          <w:sz w:val="24"/>
          <w:szCs w:val="24"/>
        </w:rPr>
        <w:t>);</w:t>
      </w:r>
      <w:proofErr w:type="gramEnd"/>
    </w:p>
    <w:p w14:paraId="7C6EC871"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410C9934"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(4)</w:t>
      </w:r>
      <w:r w:rsidRPr="00C830AB">
        <w:rPr>
          <w:rFonts w:ascii="Times New Roman" w:hAnsi="Times New Roman" w:cs="Times New Roman"/>
          <w:sz w:val="24"/>
          <w:szCs w:val="24"/>
        </w:rPr>
        <w:tab/>
        <w:t>A person may not make a service complaint about a matter of a description specified in Regulations made by the Secretary of State.”</w:t>
      </w:r>
    </w:p>
    <w:p w14:paraId="1B5E2700"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060AECF1"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 xml:space="preserve">1) empowers the Defence Council to make service complaints regulations about the procedure for making and dealing with a service complaint.  </w:t>
      </w:r>
    </w:p>
    <w:p w14:paraId="6C308708"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1CB92190"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2) stipulates that the service complaints regulations must make provision:</w:t>
      </w:r>
    </w:p>
    <w:p w14:paraId="05495B45" w14:textId="77777777" w:rsidR="00E24FDB" w:rsidRPr="00C830AB" w:rsidRDefault="00E24FDB" w:rsidP="009A02E2">
      <w:pPr>
        <w:tabs>
          <w:tab w:val="left" w:pos="820"/>
        </w:tabs>
        <w:spacing w:before="1"/>
        <w:ind w:left="820"/>
      </w:pPr>
    </w:p>
    <w:p w14:paraId="6A3F2441" w14:textId="77777777" w:rsidR="00E24FDB" w:rsidRPr="00C830AB" w:rsidRDefault="00E24FDB" w:rsidP="009A02E2">
      <w:pPr>
        <w:tabs>
          <w:tab w:val="left" w:pos="820"/>
        </w:tabs>
        <w:spacing w:before="1"/>
        <w:ind w:left="820"/>
      </w:pPr>
      <w:r w:rsidRPr="00C830AB">
        <w:t>“(a)</w:t>
      </w:r>
      <w:r w:rsidRPr="00C830AB">
        <w:tab/>
        <w:t xml:space="preserve">for a service complaint to be made to an officer of a specified </w:t>
      </w:r>
      <w:proofErr w:type="gramStart"/>
      <w:r w:rsidRPr="00C830AB">
        <w:t>description;</w:t>
      </w:r>
      <w:proofErr w:type="gramEnd"/>
    </w:p>
    <w:p w14:paraId="135EC8AD" w14:textId="77777777" w:rsidR="00E24FDB" w:rsidRPr="00C830AB" w:rsidRDefault="00E24FDB" w:rsidP="009A02E2">
      <w:pPr>
        <w:tabs>
          <w:tab w:val="left" w:pos="820"/>
        </w:tabs>
        <w:spacing w:before="1"/>
        <w:ind w:left="1440" w:hanging="620"/>
      </w:pPr>
    </w:p>
    <w:p w14:paraId="36456060" w14:textId="77777777" w:rsidR="00E24FDB" w:rsidRPr="00C830AB" w:rsidRDefault="00E24FDB" w:rsidP="009A02E2">
      <w:pPr>
        <w:tabs>
          <w:tab w:val="left" w:pos="820"/>
        </w:tabs>
        <w:spacing w:before="1"/>
        <w:ind w:left="1440" w:hanging="620"/>
      </w:pPr>
      <w:r w:rsidRPr="00C830AB">
        <w:t>(b)</w:t>
      </w:r>
      <w:r w:rsidRPr="00C830AB">
        <w:tab/>
        <w:t>about the way in which a service complaint is to be made (including about the information to be provided to the complaint</w:t>
      </w:r>
      <w:proofErr w:type="gramStart"/>
      <w:r w:rsidRPr="00C830AB">
        <w:t>);</w:t>
      </w:r>
      <w:proofErr w:type="gramEnd"/>
      <w:r w:rsidRPr="00C830AB">
        <w:t xml:space="preserve"> </w:t>
      </w:r>
    </w:p>
    <w:p w14:paraId="1E8F2050" w14:textId="77777777" w:rsidR="00E24FDB" w:rsidRPr="00C830AB" w:rsidRDefault="00E24FDB" w:rsidP="009A02E2">
      <w:pPr>
        <w:tabs>
          <w:tab w:val="left" w:pos="820"/>
        </w:tabs>
        <w:spacing w:before="1"/>
        <w:ind w:left="1440" w:hanging="620"/>
      </w:pPr>
    </w:p>
    <w:p w14:paraId="73D763F1" w14:textId="77777777" w:rsidR="00E24FDB" w:rsidRPr="00C830AB" w:rsidRDefault="00E24FDB" w:rsidP="009A02E2">
      <w:pPr>
        <w:tabs>
          <w:tab w:val="left" w:pos="820"/>
        </w:tabs>
        <w:spacing w:before="1"/>
        <w:ind w:left="1440" w:hanging="620"/>
      </w:pPr>
      <w:r w:rsidRPr="00C830AB">
        <w:t>(c)</w:t>
      </w:r>
      <w:r w:rsidRPr="00C830AB">
        <w:tab/>
        <w:t>that a service complaint may not be made, except in specified circumstances, after the end of the specified period</w:t>
      </w:r>
    </w:p>
    <w:p w14:paraId="29220E50" w14:textId="77777777" w:rsidR="00E24FDB" w:rsidRPr="00C830AB" w:rsidRDefault="00E24FDB" w:rsidP="009A02E2">
      <w:pPr>
        <w:tabs>
          <w:tab w:val="left" w:pos="820"/>
        </w:tabs>
        <w:spacing w:before="1"/>
        <w:ind w:left="820"/>
      </w:pPr>
    </w:p>
    <w:p w14:paraId="1A8BCCFC" w14:textId="77777777" w:rsidR="00E24FDB" w:rsidRPr="00C830AB" w:rsidRDefault="00E24FDB" w:rsidP="009A02E2">
      <w:pPr>
        <w:tabs>
          <w:tab w:val="left" w:pos="820"/>
        </w:tabs>
        <w:spacing w:before="1"/>
        <w:ind w:left="820"/>
      </w:pPr>
      <w:r w:rsidRPr="00C830AB">
        <w:t>“Specified” means specified in the Regulations.”</w:t>
      </w:r>
    </w:p>
    <w:p w14:paraId="0043A2B0"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p>
    <w:p w14:paraId="3DC4E3D3" w14:textId="62D4AC46"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3) of the AFA 2006 identifies that the specified period referred to in section 340B(2)(c) must be at least three months beginning from the day on which the matter complain</w:t>
      </w:r>
      <w:r w:rsidR="00D71970">
        <w:rPr>
          <w:rFonts w:ascii="Times New Roman" w:hAnsi="Times New Roman" w:cs="Times New Roman"/>
          <w:sz w:val="24"/>
          <w:szCs w:val="24"/>
        </w:rPr>
        <w:t>ed</w:t>
      </w:r>
      <w:r w:rsidRPr="00C830AB">
        <w:rPr>
          <w:rFonts w:ascii="Times New Roman" w:hAnsi="Times New Roman" w:cs="Times New Roman"/>
          <w:sz w:val="24"/>
          <w:szCs w:val="24"/>
        </w:rPr>
        <w:t xml:space="preserve"> of occurred.</w:t>
      </w:r>
    </w:p>
    <w:p w14:paraId="4564DDBC"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99B537B"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4) of the AFA 2006 further stipulates that the service complaints regulations must make provision:</w:t>
      </w:r>
    </w:p>
    <w:p w14:paraId="66DE7BE2" w14:textId="77777777" w:rsidR="00E24FDB" w:rsidRPr="00C830AB" w:rsidRDefault="00E24FDB" w:rsidP="009A02E2">
      <w:pPr>
        <w:pStyle w:val="ListParagraph"/>
        <w:rPr>
          <w:rFonts w:ascii="Times New Roman" w:hAnsi="Times New Roman" w:cs="Times New Roman"/>
          <w:sz w:val="24"/>
          <w:szCs w:val="24"/>
        </w:rPr>
      </w:pPr>
    </w:p>
    <w:p w14:paraId="00438404"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“(a)</w:t>
      </w:r>
      <w:r w:rsidRPr="00C830AB">
        <w:rPr>
          <w:rFonts w:ascii="Times New Roman" w:hAnsi="Times New Roman" w:cs="Times New Roman"/>
          <w:sz w:val="24"/>
          <w:szCs w:val="24"/>
        </w:rPr>
        <w:tab/>
        <w:t xml:space="preserve">for the officer to whom a service complaint is made to decide whether the complaint is admissible and to notify the complainant of that </w:t>
      </w:r>
      <w:proofErr w:type="gramStart"/>
      <w:r w:rsidRPr="00C830AB">
        <w:rPr>
          <w:rFonts w:ascii="Times New Roman" w:hAnsi="Times New Roman" w:cs="Times New Roman"/>
          <w:sz w:val="24"/>
          <w:szCs w:val="24"/>
        </w:rPr>
        <w:t>decision;</w:t>
      </w:r>
      <w:proofErr w:type="gramEnd"/>
    </w:p>
    <w:p w14:paraId="392C4B0C"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7347CAAC"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(b)</w:t>
      </w:r>
      <w:r w:rsidRPr="00C830AB">
        <w:rPr>
          <w:rFonts w:ascii="Times New Roman" w:hAnsi="Times New Roman" w:cs="Times New Roman"/>
          <w:sz w:val="24"/>
          <w:szCs w:val="24"/>
        </w:rPr>
        <w:tab/>
        <w:t xml:space="preserve">for the Service Complaints Ombudsman, on an application by the complainant, to review a decision by the officer to whom a service complaint is made that the complaint is not </w:t>
      </w:r>
      <w:proofErr w:type="gramStart"/>
      <w:r w:rsidRPr="00C830AB">
        <w:rPr>
          <w:rFonts w:ascii="Times New Roman" w:hAnsi="Times New Roman" w:cs="Times New Roman"/>
          <w:sz w:val="24"/>
          <w:szCs w:val="24"/>
        </w:rPr>
        <w:t>admissible;</w:t>
      </w:r>
      <w:proofErr w:type="gramEnd"/>
    </w:p>
    <w:p w14:paraId="2437235E"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7254A2CA"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(c)</w:t>
      </w:r>
      <w:r w:rsidRPr="00C830AB">
        <w:rPr>
          <w:rFonts w:ascii="Times New Roman" w:hAnsi="Times New Roman" w:cs="Times New Roman"/>
          <w:sz w:val="24"/>
          <w:szCs w:val="24"/>
        </w:rPr>
        <w:tab/>
        <w:t xml:space="preserve">for securing that the Ombudsman’s decision in relation to admissibility, on such a review, is binding on the complainant and the officer to whom the </w:t>
      </w:r>
      <w:r w:rsidRPr="00C830AB">
        <w:rPr>
          <w:rFonts w:ascii="Times New Roman" w:hAnsi="Times New Roman" w:cs="Times New Roman"/>
          <w:sz w:val="24"/>
          <w:szCs w:val="24"/>
        </w:rPr>
        <w:lastRenderedPageBreak/>
        <w:t>complaint was made.”</w:t>
      </w:r>
    </w:p>
    <w:p w14:paraId="33F610D3"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p>
    <w:p w14:paraId="01F048CC"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5) of the AFA 2006 identifies that for the purposes of section 340B(4) a service complaint is not admissible if:</w:t>
      </w:r>
    </w:p>
    <w:p w14:paraId="7A255AED"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061E255F"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“(a)</w:t>
      </w:r>
      <w:r w:rsidRPr="00C830AB">
        <w:rPr>
          <w:rFonts w:ascii="Times New Roman" w:hAnsi="Times New Roman" w:cs="Times New Roman"/>
          <w:sz w:val="24"/>
          <w:szCs w:val="24"/>
        </w:rPr>
        <w:tab/>
        <w:t>the complaint is about a matter of a description specified in regulations made under section 340</w:t>
      </w:r>
      <w:proofErr w:type="gramStart"/>
      <w:r w:rsidRPr="00C830AB">
        <w:rPr>
          <w:rFonts w:ascii="Times New Roman" w:hAnsi="Times New Roman" w:cs="Times New Roman"/>
          <w:sz w:val="24"/>
          <w:szCs w:val="24"/>
        </w:rPr>
        <w:t>A(</w:t>
      </w:r>
      <w:proofErr w:type="gramEnd"/>
      <w:r w:rsidRPr="00C830AB">
        <w:rPr>
          <w:rFonts w:ascii="Times New Roman" w:hAnsi="Times New Roman" w:cs="Times New Roman"/>
          <w:sz w:val="24"/>
          <w:szCs w:val="24"/>
        </w:rPr>
        <w:t>4),</w:t>
      </w:r>
    </w:p>
    <w:p w14:paraId="4D8C6DE0"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1F600557"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(b)</w:t>
      </w:r>
      <w:r w:rsidRPr="00C830AB">
        <w:rPr>
          <w:rFonts w:ascii="Times New Roman" w:hAnsi="Times New Roman" w:cs="Times New Roman"/>
          <w:sz w:val="24"/>
          <w:szCs w:val="24"/>
        </w:rPr>
        <w:tab/>
        <w:t>the complaint is made after the end of the period referred to in subsection (2)(c) and the case is not one in which the circumstances referred to in that provision apply, or</w:t>
      </w:r>
    </w:p>
    <w:p w14:paraId="41B9A1B6"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097DAB6C"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(c)</w:t>
      </w:r>
      <w:r w:rsidRPr="00C830AB">
        <w:rPr>
          <w:rFonts w:ascii="Times New Roman" w:hAnsi="Times New Roman" w:cs="Times New Roman"/>
          <w:sz w:val="24"/>
          <w:szCs w:val="24"/>
        </w:rPr>
        <w:tab/>
        <w:t>the complaint is not admissible on any other ground specified in service complaints regulations.”</w:t>
      </w:r>
    </w:p>
    <w:p w14:paraId="3525FBB8"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0D367F23"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6) of the AFA 2006 identifies:</w:t>
      </w:r>
    </w:p>
    <w:p w14:paraId="7EB82B84"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7A6A63EE"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“(6)</w:t>
      </w:r>
      <w:r w:rsidRPr="00C830AB">
        <w:rPr>
          <w:rFonts w:ascii="Times New Roman" w:hAnsi="Times New Roman" w:cs="Times New Roman"/>
          <w:sz w:val="24"/>
          <w:szCs w:val="24"/>
        </w:rPr>
        <w:tab/>
        <w:t>Nothing in this Part with respect to the provision that must or may be made by service complaints regulations is to be taken as limiting the generality of subsection (1).”</w:t>
      </w:r>
    </w:p>
    <w:p w14:paraId="5E88A0C3"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p>
    <w:p w14:paraId="3A8C4A0F" w14:textId="2B4B95D0"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It can be seen from these statutory provisions in the primary legislation that they envisage that service complaint regulations will make provision for what may be the subject of a service complaint, and for </w:t>
      </w:r>
      <w:r w:rsidR="00D71970">
        <w:rPr>
          <w:rFonts w:ascii="Times New Roman" w:hAnsi="Times New Roman" w:cs="Times New Roman"/>
          <w:sz w:val="24"/>
          <w:szCs w:val="24"/>
        </w:rPr>
        <w:t xml:space="preserve">the </w:t>
      </w:r>
      <w:r w:rsidRPr="00C830AB">
        <w:rPr>
          <w:rFonts w:ascii="Times New Roman" w:hAnsi="Times New Roman" w:cs="Times New Roman"/>
          <w:sz w:val="24"/>
          <w:szCs w:val="24"/>
        </w:rPr>
        <w:t>time limits governing the making of such a service complaint.  The relevant specified officer will then have the function of determining the admissibility of the complaint against those regulations, but subject to review by the SCOAF on an application by the complainant.</w:t>
      </w:r>
    </w:p>
    <w:p w14:paraId="3301E689"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6AF5DB60"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role of the SCOAF in this respect is distinct from other statutory functions it is given in the AFA 2006, including in particular those set out in section 340H of the AFA 2006.  Section 340H and the subsequent provisions set out the SCOAF’s role in specific circumstances, and accompanying powers, to investigate: (1) a service complaint after it has been finally determined; (2) allegations of maladministration in the handling of a service complaint after it has been finally determined; (3) allegations of undue delay in the handling of a service complaint which has not been finally determined; and (4) an allegation of undue delay in the handling of a relevant service matter.  The Defendant, and the Interested Party in particular, rely upon the different nature of those functions, and specified powers, as compared with the more limited review role of the SCOAF of admissibility decisions under section 340B of the AFA 2006.</w:t>
      </w:r>
    </w:p>
    <w:p w14:paraId="74EDE842" w14:textId="77777777" w:rsidR="00E24FDB" w:rsidRPr="00C830AB" w:rsidRDefault="00E24FDB" w:rsidP="009A02E2">
      <w:pPr>
        <w:pStyle w:val="ListParagraph"/>
        <w:rPr>
          <w:rFonts w:ascii="Times New Roman" w:hAnsi="Times New Roman" w:cs="Times New Roman"/>
          <w:sz w:val="24"/>
          <w:szCs w:val="24"/>
        </w:rPr>
      </w:pPr>
    </w:p>
    <w:p w14:paraId="65F42BE1" w14:textId="77777777" w:rsidR="00E24FDB" w:rsidRPr="00C830AB" w:rsidRDefault="00E24FDB" w:rsidP="009A02E2">
      <w:pPr>
        <w:pStyle w:val="ListParagraph"/>
        <w:ind w:left="1080" w:hanging="260"/>
        <w:rPr>
          <w:rFonts w:ascii="Times New Roman" w:hAnsi="Times New Roman" w:cs="Times New Roman"/>
          <w:sz w:val="24"/>
          <w:szCs w:val="24"/>
        </w:rPr>
      </w:pPr>
      <w:r w:rsidRPr="00C830AB">
        <w:rPr>
          <w:rFonts w:ascii="Times New Roman" w:hAnsi="Times New Roman" w:cs="Times New Roman"/>
          <w:sz w:val="24"/>
          <w:szCs w:val="24"/>
          <w:u w:val="single"/>
        </w:rPr>
        <w:t>The Armed Forces (Service Complaints) Regulations 2015</w:t>
      </w:r>
      <w:r w:rsidRPr="00C830AB">
        <w:rPr>
          <w:rFonts w:ascii="Times New Roman" w:hAnsi="Times New Roman" w:cs="Times New Roman"/>
          <w:sz w:val="24"/>
          <w:szCs w:val="24"/>
        </w:rPr>
        <w:t xml:space="preserve"> (SI 2015/1955)</w:t>
      </w:r>
    </w:p>
    <w:p w14:paraId="634432F9"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u w:val="single"/>
        </w:rPr>
        <w:t xml:space="preserve"> </w:t>
      </w:r>
    </w:p>
    <w:p w14:paraId="4A646B4C"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2015 Regulations are the relevant service complaints regulations for the purposes of section 340A and 340B of the AFA 2006. They variously set out matters that the relevant provisions of the AFA 2006 either permit or require to be specified in regulations.  Thus, for example:</w:t>
      </w:r>
    </w:p>
    <w:p w14:paraId="09753195" w14:textId="77777777" w:rsidR="00E24FDB" w:rsidRPr="00C830AB" w:rsidRDefault="00E24FDB" w:rsidP="009A02E2">
      <w:pPr>
        <w:pStyle w:val="ListParagraph"/>
        <w:tabs>
          <w:tab w:val="left" w:pos="820"/>
        </w:tabs>
        <w:spacing w:before="1"/>
        <w:ind w:left="1539" w:firstLine="0"/>
        <w:rPr>
          <w:rFonts w:ascii="Times New Roman" w:hAnsi="Times New Roman" w:cs="Times New Roman"/>
          <w:sz w:val="24"/>
          <w:szCs w:val="24"/>
        </w:rPr>
      </w:pPr>
    </w:p>
    <w:p w14:paraId="6FFBD4FA" w14:textId="77777777" w:rsidR="00E24FDB" w:rsidRPr="00C830AB" w:rsidRDefault="00E24FDB" w:rsidP="009A02E2">
      <w:pPr>
        <w:pStyle w:val="ListParagraph"/>
        <w:numPr>
          <w:ilvl w:val="1"/>
          <w:numId w:val="3"/>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3 identifies who will be the “specified officer”.</w:t>
      </w:r>
    </w:p>
    <w:p w14:paraId="2B266F56" w14:textId="77777777" w:rsidR="00E24FDB" w:rsidRPr="00C830AB" w:rsidRDefault="00E24FDB" w:rsidP="009A02E2">
      <w:pPr>
        <w:pStyle w:val="ListParagraph"/>
        <w:tabs>
          <w:tab w:val="left" w:pos="820"/>
        </w:tabs>
        <w:spacing w:before="1"/>
        <w:ind w:left="1539" w:firstLine="0"/>
        <w:rPr>
          <w:rFonts w:ascii="Times New Roman" w:hAnsi="Times New Roman" w:cs="Times New Roman"/>
          <w:sz w:val="24"/>
          <w:szCs w:val="24"/>
        </w:rPr>
      </w:pPr>
    </w:p>
    <w:p w14:paraId="7C89FB19" w14:textId="77777777" w:rsidR="00E24FDB" w:rsidRPr="00C830AB" w:rsidRDefault="00E24FDB" w:rsidP="009A02E2">
      <w:pPr>
        <w:pStyle w:val="ListParagraph"/>
        <w:numPr>
          <w:ilvl w:val="1"/>
          <w:numId w:val="3"/>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lastRenderedPageBreak/>
        <w:t>Regulation 4 sets out the procedure for making a service complaint.</w:t>
      </w:r>
    </w:p>
    <w:p w14:paraId="5472EB83" w14:textId="77777777" w:rsidR="00E24FDB" w:rsidRPr="00C830AB" w:rsidRDefault="00E24FDB" w:rsidP="009A02E2">
      <w:pPr>
        <w:pStyle w:val="ListParagraph"/>
        <w:tabs>
          <w:tab w:val="left" w:pos="820"/>
        </w:tabs>
        <w:spacing w:before="1"/>
        <w:ind w:left="1539" w:firstLine="0"/>
        <w:rPr>
          <w:rFonts w:ascii="Times New Roman" w:hAnsi="Times New Roman" w:cs="Times New Roman"/>
          <w:sz w:val="24"/>
          <w:szCs w:val="24"/>
        </w:rPr>
      </w:pPr>
    </w:p>
    <w:p w14:paraId="57C1DD20" w14:textId="77777777" w:rsidR="00E24FDB" w:rsidRPr="00C830AB" w:rsidRDefault="00E24FDB" w:rsidP="009A02E2">
      <w:pPr>
        <w:pStyle w:val="ListParagraph"/>
        <w:numPr>
          <w:ilvl w:val="1"/>
          <w:numId w:val="3"/>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5 sets out the action required on receipt of a service complaint and a requirement on the specified officer to decide whether it is admissible (for the purposes of s.340B(5) of the AFA 2006).</w:t>
      </w:r>
    </w:p>
    <w:p w14:paraId="434CFAFA" w14:textId="77777777" w:rsidR="00E24FDB" w:rsidRPr="00C830AB" w:rsidRDefault="00E24FDB" w:rsidP="009A02E2">
      <w:pPr>
        <w:pStyle w:val="ListParagraph"/>
        <w:tabs>
          <w:tab w:val="left" w:pos="820"/>
        </w:tabs>
        <w:spacing w:before="1"/>
        <w:ind w:left="1539" w:firstLine="0"/>
        <w:rPr>
          <w:rFonts w:ascii="Times New Roman" w:hAnsi="Times New Roman" w:cs="Times New Roman"/>
          <w:sz w:val="24"/>
          <w:szCs w:val="24"/>
        </w:rPr>
      </w:pPr>
    </w:p>
    <w:p w14:paraId="7B45274D" w14:textId="77777777" w:rsidR="00E24FDB" w:rsidRPr="00C830AB" w:rsidRDefault="00E24FDB" w:rsidP="009A02E2">
      <w:pPr>
        <w:pStyle w:val="ListParagraph"/>
        <w:numPr>
          <w:ilvl w:val="1"/>
          <w:numId w:val="3"/>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6 deals with the specified period for making a service complaint.</w:t>
      </w:r>
    </w:p>
    <w:p w14:paraId="2701B70D" w14:textId="77777777" w:rsidR="00E24FDB" w:rsidRPr="00C830AB" w:rsidRDefault="00E24FDB" w:rsidP="009A02E2">
      <w:pPr>
        <w:pStyle w:val="ListParagraph"/>
        <w:tabs>
          <w:tab w:val="left" w:pos="820"/>
        </w:tabs>
        <w:spacing w:before="1"/>
        <w:ind w:left="1539" w:firstLine="0"/>
        <w:rPr>
          <w:rFonts w:ascii="Times New Roman" w:hAnsi="Times New Roman" w:cs="Times New Roman"/>
          <w:sz w:val="24"/>
          <w:szCs w:val="24"/>
        </w:rPr>
      </w:pPr>
    </w:p>
    <w:p w14:paraId="07D82DCA" w14:textId="77777777" w:rsidR="00E24FDB" w:rsidRPr="00C830AB" w:rsidRDefault="00E24FDB" w:rsidP="009A02E2">
      <w:pPr>
        <w:pStyle w:val="ListParagraph"/>
        <w:numPr>
          <w:ilvl w:val="1"/>
          <w:numId w:val="3"/>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7 deals with the Ombudsman’s review of admissibility.</w:t>
      </w:r>
    </w:p>
    <w:p w14:paraId="0B615D7A"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u w:val="single"/>
        </w:rPr>
        <w:t xml:space="preserve"> </w:t>
      </w:r>
    </w:p>
    <w:p w14:paraId="314BC28D"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 As to Regulation 4 and the procedure for making a service complaint, Regulation 4(1) identifies that a service complaint is made by a complainant making a “statement of complaint” in writing to the specified officer.</w:t>
      </w:r>
    </w:p>
    <w:p w14:paraId="42735BA9"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5E904453"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4(2) sets out the required contents of such a statement of complaint. It includes the following requirements:</w:t>
      </w:r>
    </w:p>
    <w:p w14:paraId="5F9A0D80" w14:textId="77777777" w:rsidR="00E24FDB" w:rsidRPr="00C830AB" w:rsidRDefault="00E24FDB" w:rsidP="009A02E2">
      <w:pPr>
        <w:pStyle w:val="ListParagraph"/>
        <w:rPr>
          <w:rFonts w:ascii="Times New Roman" w:hAnsi="Times New Roman" w:cs="Times New Roman"/>
          <w:sz w:val="24"/>
          <w:szCs w:val="24"/>
        </w:rPr>
      </w:pPr>
    </w:p>
    <w:p w14:paraId="3404D02D"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r w:rsidRPr="00C830AB">
        <w:rPr>
          <w:rFonts w:ascii="Times New Roman" w:hAnsi="Times New Roman" w:cs="Times New Roman"/>
          <w:sz w:val="24"/>
          <w:szCs w:val="24"/>
        </w:rPr>
        <w:t>“(2)</w:t>
      </w:r>
      <w:r w:rsidRPr="00C830AB">
        <w:rPr>
          <w:rFonts w:ascii="Times New Roman" w:hAnsi="Times New Roman" w:cs="Times New Roman"/>
          <w:sz w:val="24"/>
          <w:szCs w:val="24"/>
        </w:rPr>
        <w:tab/>
        <w:t>The statement of complaint must state-</w:t>
      </w:r>
    </w:p>
    <w:p w14:paraId="37B31EAC"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p>
    <w:p w14:paraId="6DAC7B88" w14:textId="77777777" w:rsidR="00E24FDB" w:rsidRPr="00C830AB" w:rsidRDefault="00E24FDB" w:rsidP="009A02E2">
      <w:pPr>
        <w:pStyle w:val="ListParagraph"/>
        <w:numPr>
          <w:ilvl w:val="0"/>
          <w:numId w:val="6"/>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how the complainant thinks himself or herself </w:t>
      </w:r>
      <w:proofErr w:type="gramStart"/>
      <w:r w:rsidRPr="00C830AB">
        <w:rPr>
          <w:rFonts w:ascii="Times New Roman" w:hAnsi="Times New Roman" w:cs="Times New Roman"/>
          <w:sz w:val="24"/>
          <w:szCs w:val="24"/>
        </w:rPr>
        <w:t>wronged;</w:t>
      </w:r>
      <w:proofErr w:type="gramEnd"/>
    </w:p>
    <w:p w14:paraId="0D0C0273" w14:textId="77777777" w:rsidR="00E24FDB" w:rsidRPr="00C830AB" w:rsidRDefault="00E24FDB" w:rsidP="009A02E2">
      <w:pPr>
        <w:tabs>
          <w:tab w:val="left" w:pos="820"/>
        </w:tabs>
        <w:spacing w:before="1"/>
        <w:ind w:left="1440"/>
        <w:jc w:val="both"/>
      </w:pPr>
      <w:r w:rsidRPr="00C830AB">
        <w:t>…</w:t>
      </w:r>
    </w:p>
    <w:p w14:paraId="20C6BAF0" w14:textId="77777777" w:rsidR="00E24FDB" w:rsidRPr="00C830AB" w:rsidRDefault="00E24FDB" w:rsidP="009A02E2">
      <w:pPr>
        <w:tabs>
          <w:tab w:val="left" w:pos="820"/>
        </w:tabs>
        <w:spacing w:before="1"/>
        <w:ind w:left="2160" w:hanging="720"/>
        <w:jc w:val="both"/>
      </w:pPr>
    </w:p>
    <w:p w14:paraId="02FE55C5" w14:textId="77777777" w:rsidR="00E24FDB" w:rsidRPr="00C830AB" w:rsidRDefault="00E24FDB" w:rsidP="009A02E2">
      <w:pPr>
        <w:tabs>
          <w:tab w:val="left" w:pos="820"/>
        </w:tabs>
        <w:spacing w:before="1"/>
        <w:ind w:left="2160" w:hanging="720"/>
        <w:jc w:val="both"/>
      </w:pPr>
      <w:r w:rsidRPr="00C830AB">
        <w:t>(c)</w:t>
      </w:r>
      <w:r w:rsidRPr="00C830AB">
        <w:tab/>
        <w:t>whether any matter stated in accordance with sub-paragraph (a) involved discrimination, harassment, bullying, dishonest or biased behaviour …</w:t>
      </w:r>
    </w:p>
    <w:p w14:paraId="722D0C1A" w14:textId="77777777" w:rsidR="00E24FDB" w:rsidRPr="00C830AB" w:rsidRDefault="00E24FDB" w:rsidP="009A02E2">
      <w:pPr>
        <w:tabs>
          <w:tab w:val="left" w:pos="820"/>
        </w:tabs>
        <w:spacing w:before="1"/>
        <w:ind w:left="2160" w:hanging="720"/>
        <w:jc w:val="both"/>
      </w:pPr>
    </w:p>
    <w:p w14:paraId="453641BA" w14:textId="77777777" w:rsidR="00E24FDB" w:rsidRPr="00C830AB" w:rsidRDefault="00E24FDB" w:rsidP="009A02E2">
      <w:pPr>
        <w:tabs>
          <w:tab w:val="left" w:pos="820"/>
        </w:tabs>
        <w:spacing w:before="1"/>
        <w:ind w:left="2160" w:hanging="720"/>
        <w:jc w:val="both"/>
      </w:pPr>
      <w:r w:rsidRPr="00C830AB">
        <w:t>(d)</w:t>
      </w:r>
      <w:r w:rsidRPr="00C830AB">
        <w:tab/>
        <w:t xml:space="preserve">if the complaint is not made within the period which applies under regulation 6(1), (4) or (5), the reason why the complaint was not made within that </w:t>
      </w:r>
      <w:proofErr w:type="gramStart"/>
      <w:r w:rsidRPr="00C830AB">
        <w:t>period;</w:t>
      </w:r>
      <w:proofErr w:type="gramEnd"/>
      <w:r w:rsidRPr="00C830AB">
        <w:t xml:space="preserve"> </w:t>
      </w:r>
    </w:p>
    <w:p w14:paraId="4D8445ED" w14:textId="77777777" w:rsidR="00E24FDB" w:rsidRPr="00C830AB" w:rsidRDefault="00E24FDB" w:rsidP="009A02E2">
      <w:pPr>
        <w:tabs>
          <w:tab w:val="left" w:pos="820"/>
        </w:tabs>
        <w:spacing w:before="1"/>
        <w:ind w:left="2160" w:hanging="720"/>
        <w:jc w:val="both"/>
      </w:pPr>
    </w:p>
    <w:p w14:paraId="667B6844" w14:textId="77777777" w:rsidR="00E24FDB" w:rsidRPr="00C830AB" w:rsidRDefault="00E24FDB" w:rsidP="009A02E2">
      <w:pPr>
        <w:tabs>
          <w:tab w:val="left" w:pos="820"/>
        </w:tabs>
        <w:spacing w:before="1"/>
        <w:ind w:left="2160" w:hanging="720"/>
        <w:jc w:val="both"/>
      </w:pPr>
      <w:r w:rsidRPr="00C830AB">
        <w:t>(e)</w:t>
      </w:r>
      <w:r w:rsidRPr="00C830AB">
        <w:tab/>
        <w:t>the redress sought; and</w:t>
      </w:r>
    </w:p>
    <w:p w14:paraId="275BEA5F" w14:textId="77777777" w:rsidR="00E24FDB" w:rsidRPr="00C830AB" w:rsidRDefault="00E24FDB" w:rsidP="009A02E2">
      <w:pPr>
        <w:tabs>
          <w:tab w:val="left" w:pos="820"/>
        </w:tabs>
        <w:spacing w:before="1"/>
        <w:ind w:left="2160" w:hanging="720"/>
        <w:jc w:val="both"/>
      </w:pPr>
    </w:p>
    <w:p w14:paraId="0C3B070C" w14:textId="77777777" w:rsidR="00E24FDB" w:rsidRPr="00C830AB" w:rsidRDefault="00E24FDB" w:rsidP="009A02E2">
      <w:pPr>
        <w:tabs>
          <w:tab w:val="left" w:pos="820"/>
        </w:tabs>
        <w:spacing w:before="1"/>
        <w:ind w:left="2160" w:hanging="720"/>
        <w:jc w:val="both"/>
      </w:pPr>
      <w:r w:rsidRPr="00C830AB">
        <w:t>(f)</w:t>
      </w:r>
      <w:r w:rsidRPr="00C830AB">
        <w:tab/>
        <w:t>the date on which the statement of complaint is made.</w:t>
      </w:r>
    </w:p>
    <w:p w14:paraId="4F8A043E" w14:textId="77777777" w:rsidR="00E24FDB" w:rsidRPr="00C830AB" w:rsidRDefault="00E24FDB" w:rsidP="009A02E2">
      <w:pPr>
        <w:tabs>
          <w:tab w:val="left" w:pos="820"/>
        </w:tabs>
        <w:spacing w:before="1"/>
        <w:ind w:left="2160" w:hanging="720"/>
        <w:jc w:val="both"/>
      </w:pPr>
    </w:p>
    <w:p w14:paraId="7CD190CB" w14:textId="77777777" w:rsidR="00E24FDB" w:rsidRPr="00C830AB" w:rsidRDefault="00E24FDB" w:rsidP="009A02E2">
      <w:pPr>
        <w:tabs>
          <w:tab w:val="left" w:pos="820"/>
        </w:tabs>
        <w:spacing w:before="1"/>
        <w:jc w:val="both"/>
      </w:pPr>
      <w:r w:rsidRPr="00C830AB">
        <w:tab/>
        <w:t>…</w:t>
      </w:r>
    </w:p>
    <w:p w14:paraId="0EACA686" w14:textId="77777777" w:rsidR="00E24FDB" w:rsidRPr="00C830AB" w:rsidRDefault="00E24FDB" w:rsidP="009A02E2">
      <w:pPr>
        <w:tabs>
          <w:tab w:val="left" w:pos="820"/>
        </w:tabs>
        <w:spacing w:before="1"/>
        <w:ind w:left="1440" w:hanging="1440"/>
        <w:jc w:val="both"/>
      </w:pPr>
      <w:r w:rsidRPr="00C830AB">
        <w:tab/>
      </w:r>
    </w:p>
    <w:p w14:paraId="107D1004" w14:textId="77777777" w:rsidR="00E24FDB" w:rsidRPr="00C830AB" w:rsidRDefault="00E24FDB" w:rsidP="009A02E2">
      <w:pPr>
        <w:tabs>
          <w:tab w:val="left" w:pos="820"/>
        </w:tabs>
        <w:spacing w:before="1"/>
        <w:ind w:left="1440" w:hanging="1440"/>
        <w:jc w:val="both"/>
      </w:pPr>
      <w:r w:rsidRPr="00C830AB">
        <w:tab/>
        <w:t>(5)</w:t>
      </w:r>
      <w:r w:rsidRPr="00C830AB">
        <w:tab/>
        <w:t>In this regulation, “discrimination” means discrimination or victimisation on the grounds of colour, race, ethnic or national origin, nationality, sex, gender reassignment, status as a married person or civil partner, religion, belief or sexual orientation, and less favourable treatment of the complainant as a part-time employee.”</w:t>
      </w:r>
    </w:p>
    <w:p w14:paraId="28DC18CF"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1EB08F40"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As already noted, the EAT’s decision in </w:t>
      </w:r>
      <w:r w:rsidRPr="00C830AB">
        <w:rPr>
          <w:rFonts w:ascii="Times New Roman" w:hAnsi="Times New Roman" w:cs="Times New Roman"/>
          <w:i/>
          <w:iCs/>
          <w:sz w:val="24"/>
          <w:szCs w:val="24"/>
        </w:rPr>
        <w:t>Edwards</w:t>
      </w:r>
      <w:r w:rsidRPr="00C830AB">
        <w:rPr>
          <w:rFonts w:ascii="Times New Roman" w:hAnsi="Times New Roman" w:cs="Times New Roman"/>
          <w:sz w:val="24"/>
          <w:szCs w:val="24"/>
        </w:rPr>
        <w:t xml:space="preserve"> averts to the purposive approach to be adopted to the contents of a statement of complaint under this statutory regime.</w:t>
      </w:r>
    </w:p>
    <w:p w14:paraId="767439C0"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63D88118"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As to Regulation 5, and action to be taken on receipt of a service complaint in relation to admissibility, Regulation 5(1) of the 2015 Regulations identifies the duty of the specified officer to </w:t>
      </w:r>
      <w:proofErr w:type="gramStart"/>
      <w:r w:rsidRPr="00C830AB">
        <w:rPr>
          <w:rFonts w:ascii="Times New Roman" w:hAnsi="Times New Roman" w:cs="Times New Roman"/>
          <w:sz w:val="24"/>
          <w:szCs w:val="24"/>
        </w:rPr>
        <w:t>make a decision</w:t>
      </w:r>
      <w:proofErr w:type="gramEnd"/>
      <w:r w:rsidRPr="00C830AB">
        <w:rPr>
          <w:rFonts w:ascii="Times New Roman" w:hAnsi="Times New Roman" w:cs="Times New Roman"/>
          <w:sz w:val="24"/>
          <w:szCs w:val="24"/>
        </w:rPr>
        <w:t xml:space="preserve"> on admissibility:</w:t>
      </w:r>
    </w:p>
    <w:p w14:paraId="03DD69C9"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6030055B"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After receipt of a statement of complaint, the specified officer must decide whether the complaint is admissible in accordance with section 340</w:t>
      </w:r>
      <w:proofErr w:type="gramStart"/>
      <w:r w:rsidRPr="00C830AB">
        <w:rPr>
          <w:rFonts w:ascii="Times New Roman" w:hAnsi="Times New Roman" w:cs="Times New Roman"/>
          <w:sz w:val="24"/>
          <w:szCs w:val="24"/>
        </w:rPr>
        <w:t>B(</w:t>
      </w:r>
      <w:proofErr w:type="gramEnd"/>
      <w:r w:rsidRPr="00C830AB">
        <w:rPr>
          <w:rFonts w:ascii="Times New Roman" w:hAnsi="Times New Roman" w:cs="Times New Roman"/>
          <w:sz w:val="24"/>
          <w:szCs w:val="24"/>
        </w:rPr>
        <w:t>5).”</w:t>
      </w:r>
    </w:p>
    <w:p w14:paraId="2D4A5CE2"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lastRenderedPageBreak/>
        <w:t xml:space="preserve"> </w:t>
      </w:r>
    </w:p>
    <w:p w14:paraId="18DA285D"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5(2) of the 2015 Regulations makes further provision as to admissibility as follows:</w:t>
      </w:r>
    </w:p>
    <w:p w14:paraId="044B3E99"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p>
    <w:p w14:paraId="55AD19A5"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“(2)</w:t>
      </w:r>
      <w:r w:rsidRPr="00C830AB">
        <w:rPr>
          <w:rFonts w:ascii="Times New Roman" w:hAnsi="Times New Roman" w:cs="Times New Roman"/>
          <w:sz w:val="24"/>
          <w:szCs w:val="24"/>
        </w:rPr>
        <w:tab/>
        <w:t>For the purposes of section 340B(5)(c), a service complaint is not admissible if-</w:t>
      </w:r>
    </w:p>
    <w:p w14:paraId="6CBDB345" w14:textId="77777777" w:rsidR="00E24FDB" w:rsidRPr="00C830AB" w:rsidRDefault="00E24FDB" w:rsidP="009A02E2">
      <w:pPr>
        <w:pStyle w:val="ListParagraph"/>
        <w:tabs>
          <w:tab w:val="left" w:pos="820"/>
        </w:tabs>
        <w:spacing w:before="1"/>
        <w:ind w:left="288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4934039" w14:textId="77777777" w:rsidR="00E24FDB" w:rsidRPr="00C830AB" w:rsidRDefault="00E24FDB" w:rsidP="009A02E2">
      <w:pPr>
        <w:pStyle w:val="ListParagraph"/>
        <w:numPr>
          <w:ilvl w:val="0"/>
          <w:numId w:val="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complaint does not meet the requirements of whichever of section 24(1) and (2) applies to the complainant; or</w:t>
      </w:r>
    </w:p>
    <w:p w14:paraId="6013A2BF" w14:textId="77777777" w:rsidR="00E24FDB" w:rsidRPr="00C830AB" w:rsidRDefault="00E24FDB" w:rsidP="009A02E2">
      <w:pPr>
        <w:pStyle w:val="ListParagraph"/>
        <w:tabs>
          <w:tab w:val="left" w:pos="820"/>
        </w:tabs>
        <w:spacing w:before="1"/>
        <w:ind w:left="288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6C5763A2" w14:textId="77777777" w:rsidR="00E24FDB" w:rsidRPr="00C830AB" w:rsidRDefault="00E24FDB" w:rsidP="009A02E2">
      <w:pPr>
        <w:pStyle w:val="ListParagraph"/>
        <w:numPr>
          <w:ilvl w:val="0"/>
          <w:numId w:val="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complaint is substantially the same as a complaint brought by the same person which has either been decided previously under the service complaints process or is currently being considered under the service complaints process.</w:t>
      </w:r>
    </w:p>
    <w:p w14:paraId="6F962D6B"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6F594D8A"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Regulations 5(3) and (4) of the 2015 Regulations set out a requirement to notify a complainant as to the specified officer’s decision on admissibility.  They provide:</w:t>
      </w:r>
    </w:p>
    <w:p w14:paraId="5000A815"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443D1EB2"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“(3)</w:t>
      </w:r>
      <w:r w:rsidRPr="00C830AB">
        <w:rPr>
          <w:rFonts w:ascii="Times New Roman" w:hAnsi="Times New Roman" w:cs="Times New Roman"/>
          <w:sz w:val="24"/>
          <w:szCs w:val="24"/>
        </w:rPr>
        <w:tab/>
        <w:t>If the specified officer decides that any part or all of the service complaint is admissible, he must notify the complainant in writing of the decision and refer that part or all of the service complaint to the Defence Council.</w:t>
      </w:r>
    </w:p>
    <w:p w14:paraId="77CF702C"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p>
    <w:p w14:paraId="6C0F3C32"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(4)</w:t>
      </w:r>
      <w:r w:rsidRPr="00C830AB">
        <w:rPr>
          <w:rFonts w:ascii="Times New Roman" w:hAnsi="Times New Roman" w:cs="Times New Roman"/>
          <w:sz w:val="24"/>
          <w:szCs w:val="24"/>
        </w:rPr>
        <w:tab/>
        <w:t xml:space="preserve">If the specified officer decides that any part or all of the service complaint is not </w:t>
      </w:r>
      <w:proofErr w:type="gramStart"/>
      <w:r w:rsidRPr="00C830AB">
        <w:rPr>
          <w:rFonts w:ascii="Times New Roman" w:hAnsi="Times New Roman" w:cs="Times New Roman"/>
          <w:sz w:val="24"/>
          <w:szCs w:val="24"/>
        </w:rPr>
        <w:t>admissible</w:t>
      </w:r>
      <w:proofErr w:type="gramEnd"/>
      <w:r w:rsidRPr="00C830AB">
        <w:rPr>
          <w:rFonts w:ascii="Times New Roman" w:hAnsi="Times New Roman" w:cs="Times New Roman"/>
          <w:sz w:val="24"/>
          <w:szCs w:val="24"/>
        </w:rPr>
        <w:t xml:space="preserve"> he must notify the complainant in writing of the decision, giving the reasons for the decision and informing the complainant of his or her right to apply for a review of the decision by the Ombudsman.”</w:t>
      </w:r>
    </w:p>
    <w:p w14:paraId="1F853FE1" w14:textId="77777777" w:rsidR="00E24FDB" w:rsidRPr="00C830AB" w:rsidRDefault="00E24FDB" w:rsidP="009A02E2">
      <w:pPr>
        <w:tabs>
          <w:tab w:val="left" w:pos="820"/>
        </w:tabs>
        <w:spacing w:before="1"/>
      </w:pPr>
    </w:p>
    <w:p w14:paraId="55F05C00" w14:textId="0DBF0BA8"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Regulation 6 of the 2015 Regulations deals with the relevant time limits for making a service complaint.  These vary depending upon what is being alleged (a variation of potential relevance to the Claimant’s case here). There is a general </w:t>
      </w:r>
      <w:proofErr w:type="gramStart"/>
      <w:r w:rsidRPr="00C830AB">
        <w:rPr>
          <w:rFonts w:ascii="Times New Roman" w:hAnsi="Times New Roman" w:cs="Times New Roman"/>
          <w:sz w:val="24"/>
          <w:szCs w:val="24"/>
        </w:rPr>
        <w:t>three month</w:t>
      </w:r>
      <w:proofErr w:type="gramEnd"/>
      <w:r w:rsidRPr="00C830AB">
        <w:rPr>
          <w:rFonts w:ascii="Times New Roman" w:hAnsi="Times New Roman" w:cs="Times New Roman"/>
          <w:sz w:val="24"/>
          <w:szCs w:val="24"/>
        </w:rPr>
        <w:t xml:space="preserve"> time limit, but for a matter alleging discrimination that could be pursued as a claim under Chapter 3 of Part 9 of the Equality Act 2010, a longer period of six months is identified.  The specified officer also has a discretion to consider service complaints made out of time if, in all the circumstances, the specified officer considers it “just and equitable” to do so.</w:t>
      </w:r>
    </w:p>
    <w:p w14:paraId="01064DDC"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p>
    <w:p w14:paraId="69E5ACF0"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Thus Regulation 6 provides (so far as material):</w:t>
      </w:r>
    </w:p>
    <w:p w14:paraId="2B285FFC"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46F721F6"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Subject to paragraphs (4) and (5), a person may not make a service complaint after three months beginning with the relevant day.</w:t>
      </w:r>
    </w:p>
    <w:p w14:paraId="11DEA4ED"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r w:rsidRPr="00C830AB">
        <w:rPr>
          <w:rFonts w:ascii="Times New Roman" w:hAnsi="Times New Roman" w:cs="Times New Roman"/>
          <w:sz w:val="24"/>
          <w:szCs w:val="24"/>
        </w:rPr>
        <w:t>…</w:t>
      </w:r>
    </w:p>
    <w:p w14:paraId="2569C14F"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6529C9CA" w14:textId="41ECD8C3"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(4)</w:t>
      </w:r>
      <w:r w:rsidRPr="00C830AB">
        <w:rPr>
          <w:rFonts w:ascii="Times New Roman" w:hAnsi="Times New Roman" w:cs="Times New Roman"/>
          <w:sz w:val="24"/>
          <w:szCs w:val="24"/>
        </w:rPr>
        <w:tab/>
        <w:t>If a matter is or has been capable of being pursued as a claim under Chapter 3 of Part 9 of the Equality Act 2010, a service complaint may not be made about the matter after six months beginning with the day on which the matter complain</w:t>
      </w:r>
      <w:r w:rsidR="00D71970">
        <w:rPr>
          <w:rFonts w:ascii="Times New Roman" w:hAnsi="Times New Roman" w:cs="Times New Roman"/>
          <w:sz w:val="24"/>
          <w:szCs w:val="24"/>
        </w:rPr>
        <w:t xml:space="preserve">ed </w:t>
      </w:r>
      <w:r w:rsidRPr="00C830AB">
        <w:rPr>
          <w:rFonts w:ascii="Times New Roman" w:hAnsi="Times New Roman" w:cs="Times New Roman"/>
          <w:sz w:val="24"/>
          <w:szCs w:val="24"/>
        </w:rPr>
        <w:t>about occurred or, where the matter occurred over a period of time, the final day of that period.</w:t>
      </w:r>
    </w:p>
    <w:p w14:paraId="0F2F3F46"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r w:rsidRPr="00C830AB">
        <w:rPr>
          <w:rFonts w:ascii="Times New Roman" w:hAnsi="Times New Roman" w:cs="Times New Roman"/>
          <w:sz w:val="24"/>
          <w:szCs w:val="24"/>
        </w:rPr>
        <w:t>…</w:t>
      </w:r>
    </w:p>
    <w:p w14:paraId="229B21B2"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34686528"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(6)</w:t>
      </w:r>
      <w:r w:rsidRPr="00C830AB">
        <w:rPr>
          <w:rFonts w:ascii="Times New Roman" w:hAnsi="Times New Roman" w:cs="Times New Roman"/>
          <w:sz w:val="24"/>
          <w:szCs w:val="24"/>
        </w:rPr>
        <w:tab/>
        <w:t xml:space="preserve">A person may make a service complaint after the end of the period in </w:t>
      </w:r>
      <w:r w:rsidRPr="00C830AB">
        <w:rPr>
          <w:rFonts w:ascii="Times New Roman" w:hAnsi="Times New Roman" w:cs="Times New Roman"/>
          <w:sz w:val="24"/>
          <w:szCs w:val="24"/>
        </w:rPr>
        <w:lastRenderedPageBreak/>
        <w:t>whichever of paragraphs (1) and (4) applies to the complaint if, in all the circumstances, the specified officer considers it just and equitable to allow this.”</w:t>
      </w:r>
    </w:p>
    <w:p w14:paraId="23FD91EA" w14:textId="77777777" w:rsidR="00E24FDB" w:rsidRPr="00C830AB" w:rsidRDefault="00E24FDB" w:rsidP="009A02E2">
      <w:pPr>
        <w:tabs>
          <w:tab w:val="left" w:pos="820"/>
        </w:tabs>
        <w:spacing w:before="1"/>
      </w:pPr>
    </w:p>
    <w:p w14:paraId="51D38471"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Regulation 7 of the 2015 Regulations deals with the role of the Ombudsman in reviewing decisions on inadmissibility and the time limits for requesting such a review. It is the meaning of this Regulation, and words used in Regulation 7(2) relating to the time limits in particular, which is at the core of the principal point of dispute in this judicial review claim.  </w:t>
      </w:r>
    </w:p>
    <w:p w14:paraId="3A8CB300"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2BBD992"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Regulation 7 provides as follows:</w:t>
      </w:r>
    </w:p>
    <w:p w14:paraId="3B969653" w14:textId="77777777" w:rsidR="00E24FDB" w:rsidRPr="00C830AB" w:rsidRDefault="00E24FDB" w:rsidP="009A02E2">
      <w:pPr>
        <w:pStyle w:val="ListParagraph"/>
        <w:rPr>
          <w:rFonts w:ascii="Times New Roman" w:hAnsi="Times New Roman" w:cs="Times New Roman"/>
          <w:sz w:val="24"/>
          <w:szCs w:val="24"/>
        </w:rPr>
      </w:pPr>
    </w:p>
    <w:p w14:paraId="1B11B14A"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After receiving an application by the complainant for review of the specified officer’s decision that a service complaint is not admissible, the Ombudsman must decide whether the service complaint is admissible and notify both the specified officer and the complainant in writing of his or her decision and the reasons for it.</w:t>
      </w:r>
    </w:p>
    <w:p w14:paraId="10CB3422"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5E9BC46E" w14:textId="7D1BF74E"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(2)</w:t>
      </w:r>
      <w:r w:rsidRPr="00C830AB">
        <w:rPr>
          <w:rFonts w:ascii="Times New Roman" w:hAnsi="Times New Roman" w:cs="Times New Roman"/>
          <w:sz w:val="24"/>
          <w:szCs w:val="24"/>
        </w:rPr>
        <w:tab/>
        <w:t>The Ombudsman must not consider an application under paragraph (</w:t>
      </w:r>
      <w:r w:rsidR="00D71970">
        <w:rPr>
          <w:rFonts w:ascii="Times New Roman" w:hAnsi="Times New Roman" w:cs="Times New Roman"/>
          <w:sz w:val="24"/>
          <w:szCs w:val="24"/>
        </w:rPr>
        <w:t>1</w:t>
      </w:r>
      <w:r w:rsidRPr="00C830AB">
        <w:rPr>
          <w:rFonts w:ascii="Times New Roman" w:hAnsi="Times New Roman" w:cs="Times New Roman"/>
          <w:sz w:val="24"/>
          <w:szCs w:val="24"/>
        </w:rPr>
        <w:t>) made after four weeks beginning with the day the complainant received notification of the specified officer’s decision, unless the Ombudsman considers it is just and equitable to allow the complainant to apply after that period.</w:t>
      </w:r>
    </w:p>
    <w:p w14:paraId="18CBA620"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57B0DE42"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(3)</w:t>
      </w:r>
      <w:r w:rsidRPr="00C830AB">
        <w:rPr>
          <w:rFonts w:ascii="Times New Roman" w:hAnsi="Times New Roman" w:cs="Times New Roman"/>
          <w:sz w:val="24"/>
          <w:szCs w:val="24"/>
        </w:rPr>
        <w:tab/>
        <w:t>A decision by the Ombudsman in relation to admissibility is binding on the complainant and the specified officer.</w:t>
      </w:r>
    </w:p>
    <w:p w14:paraId="374B7281"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6474813F"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(4)</w:t>
      </w:r>
      <w:r w:rsidRPr="00C830AB">
        <w:rPr>
          <w:rFonts w:ascii="Times New Roman" w:hAnsi="Times New Roman" w:cs="Times New Roman"/>
          <w:sz w:val="24"/>
          <w:szCs w:val="24"/>
        </w:rPr>
        <w:tab/>
        <w:t>Where under paragraph (1) the Ombudsman decides that the service complaint is admissible, the specified officer must refer the complaint to the Defence Council as soon as reasonably practicable.”</w:t>
      </w:r>
    </w:p>
    <w:p w14:paraId="648F4B8A"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p>
    <w:p w14:paraId="6851DE6C"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Although not an issue before me, it is worth noting that Regulation 12(2) of the 2015 Regulations relating to a different function of an Ombudsman (namely reviewing of the Defence Council’s decision under regulation 11(2) on whether an appeal can be proceeded with) contains similar wording to that in relation to Regulation 7(2).  Regulation 12(2) provides:</w:t>
      </w:r>
    </w:p>
    <w:p w14:paraId="27CEC7A7"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p>
    <w:p w14:paraId="42CE1328" w14:textId="77777777" w:rsidR="00E24FDB" w:rsidRPr="00C830AB" w:rsidRDefault="00E24FDB" w:rsidP="009A02E2">
      <w:pPr>
        <w:pStyle w:val="ListParagraph"/>
        <w:tabs>
          <w:tab w:val="left" w:pos="820"/>
        </w:tabs>
        <w:spacing w:before="1"/>
        <w:ind w:left="1440" w:hanging="620"/>
        <w:rPr>
          <w:rFonts w:ascii="Times New Roman" w:hAnsi="Times New Roman" w:cs="Times New Roman"/>
          <w:sz w:val="24"/>
          <w:szCs w:val="24"/>
        </w:rPr>
      </w:pPr>
      <w:r w:rsidRPr="00C830AB">
        <w:rPr>
          <w:rFonts w:ascii="Times New Roman" w:hAnsi="Times New Roman" w:cs="Times New Roman"/>
          <w:sz w:val="24"/>
          <w:szCs w:val="24"/>
        </w:rPr>
        <w:t>“(2)</w:t>
      </w:r>
      <w:r w:rsidRPr="00C830AB">
        <w:rPr>
          <w:rFonts w:ascii="Times New Roman" w:hAnsi="Times New Roman" w:cs="Times New Roman"/>
          <w:sz w:val="24"/>
          <w:szCs w:val="24"/>
        </w:rPr>
        <w:tab/>
        <w:t>The Ombudsman must not consider an application under paragraph (1) made after four weeks beginning with the day the complainant received notification of the decision under regulation 11(2), unless the Ombudsman considers it is just and equitable to allow the complainant to apply after that period.</w:t>
      </w:r>
    </w:p>
    <w:p w14:paraId="76C1B5ED"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ab/>
        <w:t xml:space="preserve"> </w:t>
      </w:r>
    </w:p>
    <w:p w14:paraId="006D417C"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Explanatory Note to the 2015 Regulations states:</w:t>
      </w:r>
    </w:p>
    <w:p w14:paraId="7A75D33D"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p>
    <w:p w14:paraId="1535B6E9" w14:textId="52BDC2C1"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r w:rsidRPr="00C830AB">
        <w:rPr>
          <w:rFonts w:ascii="Times New Roman" w:hAnsi="Times New Roman" w:cs="Times New Roman"/>
          <w:sz w:val="24"/>
          <w:szCs w:val="24"/>
        </w:rPr>
        <w:t>“Regulations 7 and 12 provide respectively for the Service Complaints Ombudsman to review a specified officer’s decision that a complaint is not admissible and a Defence Council decision that an appeal may not be proceed</w:t>
      </w:r>
      <w:r w:rsidR="00D71970">
        <w:rPr>
          <w:rFonts w:ascii="Times New Roman" w:hAnsi="Times New Roman" w:cs="Times New Roman"/>
          <w:sz w:val="24"/>
          <w:szCs w:val="24"/>
        </w:rPr>
        <w:t>ed</w:t>
      </w:r>
      <w:r w:rsidRPr="00C830AB">
        <w:rPr>
          <w:rFonts w:ascii="Times New Roman" w:hAnsi="Times New Roman" w:cs="Times New Roman"/>
          <w:sz w:val="24"/>
          <w:szCs w:val="24"/>
        </w:rPr>
        <w:t xml:space="preserve"> with.  Regulation 7(2) and 1</w:t>
      </w:r>
      <w:r w:rsidR="00D71970">
        <w:rPr>
          <w:rFonts w:ascii="Times New Roman" w:hAnsi="Times New Roman" w:cs="Times New Roman"/>
          <w:sz w:val="24"/>
          <w:szCs w:val="24"/>
        </w:rPr>
        <w:t>2</w:t>
      </w:r>
      <w:r w:rsidRPr="00C830AB">
        <w:rPr>
          <w:rFonts w:ascii="Times New Roman" w:hAnsi="Times New Roman" w:cs="Times New Roman"/>
          <w:sz w:val="24"/>
          <w:szCs w:val="24"/>
        </w:rPr>
        <w:t>(2) specify the periods for applying for such a review and the circumstances in which an application may be considered after such a period.”</w:t>
      </w:r>
    </w:p>
    <w:p w14:paraId="48B6CF4D" w14:textId="77777777" w:rsidR="00E24FDB" w:rsidRPr="00C830AB" w:rsidRDefault="00E24FDB" w:rsidP="009A02E2">
      <w:pPr>
        <w:pStyle w:val="ListParagraph"/>
        <w:tabs>
          <w:tab w:val="left" w:pos="820"/>
        </w:tabs>
        <w:spacing w:before="1"/>
        <w:ind w:left="2160" w:hanging="1340"/>
        <w:rPr>
          <w:rFonts w:ascii="Times New Roman" w:hAnsi="Times New Roman" w:cs="Times New Roman"/>
          <w:sz w:val="24"/>
          <w:szCs w:val="24"/>
        </w:rPr>
      </w:pPr>
    </w:p>
    <w:p w14:paraId="283BA1D4"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Interested Party’s policy</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guidance</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on</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service complaints is</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set</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out</w:t>
      </w:r>
      <w:r w:rsidRPr="00C830AB">
        <w:rPr>
          <w:rFonts w:ascii="Times New Roman" w:hAnsi="Times New Roman" w:cs="Times New Roman"/>
          <w:spacing w:val="34"/>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JSP</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lastRenderedPageBreak/>
        <w:t>831:</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 xml:space="preserve">Redress of Individual Grievances: Service Complaints. </w:t>
      </w:r>
    </w:p>
    <w:p w14:paraId="12BC083A"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5294541D"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u w:val="single"/>
        </w:rPr>
      </w:pPr>
      <w:r w:rsidRPr="00C830AB">
        <w:rPr>
          <w:rFonts w:ascii="Times New Roman" w:hAnsi="Times New Roman" w:cs="Times New Roman"/>
          <w:sz w:val="24"/>
          <w:szCs w:val="24"/>
          <w:u w:val="single"/>
        </w:rPr>
        <w:t>The Equality Act 2010</w:t>
      </w:r>
    </w:p>
    <w:p w14:paraId="1F6BBB79"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 xml:space="preserve">There is an important interaction between the service complaints regime and the jurisdiction of the Employment Tribunal (“the ET”) under the </w:t>
      </w:r>
      <w:r w:rsidRPr="00C830AB">
        <w:rPr>
          <w:rFonts w:ascii="Times New Roman" w:hAnsi="Times New Roman" w:cs="Times New Roman"/>
          <w:sz w:val="24"/>
          <w:szCs w:val="24"/>
          <w:u w:val="single"/>
        </w:rPr>
        <w:t>Equality Act 2010</w:t>
      </w:r>
      <w:r w:rsidRPr="00C830AB">
        <w:rPr>
          <w:rFonts w:ascii="Times New Roman" w:hAnsi="Times New Roman" w:cs="Times New Roman"/>
          <w:sz w:val="24"/>
          <w:szCs w:val="24"/>
        </w:rPr>
        <w:t xml:space="preserve"> (“the EA 2010”).</w:t>
      </w:r>
    </w:p>
    <w:p w14:paraId="0303C9C2" w14:textId="79D6252E"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Section 120(1) of the EA 2010 provides that the ET has jurisdiction to determine a complaint</w:t>
      </w:r>
      <w:r w:rsidRPr="00C830AB">
        <w:rPr>
          <w:rFonts w:ascii="Times New Roman" w:hAnsi="Times New Roman" w:cs="Times New Roman"/>
          <w:spacing w:val="80"/>
          <w:sz w:val="24"/>
          <w:szCs w:val="24"/>
        </w:rPr>
        <w:t xml:space="preserve"> </w:t>
      </w:r>
      <w:r w:rsidRPr="00C830AB">
        <w:rPr>
          <w:rFonts w:ascii="Times New Roman" w:hAnsi="Times New Roman" w:cs="Times New Roman"/>
          <w:sz w:val="24"/>
          <w:szCs w:val="24"/>
        </w:rPr>
        <w:t xml:space="preserve">relating to a contravention of Part 5 of the EA 2010 (work).  However, in the case of members of the armed forces, this jurisdiction is subject to an important qualification set out in section 121 of the EA 2010 concerning the requirement on the person to have made, and not withdrawn, a service complaint. </w:t>
      </w:r>
    </w:p>
    <w:p w14:paraId="435FBED0"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Section 121 of the EA 2010 provides (so far as material):</w:t>
      </w:r>
    </w:p>
    <w:p w14:paraId="4B281944" w14:textId="77777777" w:rsidR="00E24FDB" w:rsidRPr="00C830AB" w:rsidRDefault="00E24FDB" w:rsidP="009A02E2">
      <w:pPr>
        <w:pStyle w:val="ListParagraph"/>
        <w:tabs>
          <w:tab w:val="left" w:pos="820"/>
        </w:tabs>
        <w:spacing w:before="138"/>
        <w:ind w:left="1440"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Section</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120(1)</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does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not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apply</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complaint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relating</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an</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act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done</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when the complainant was serving as a member of the armed forces unless—</w:t>
      </w:r>
    </w:p>
    <w:p w14:paraId="5C5E1F2B" w14:textId="77777777" w:rsidR="00E24FDB" w:rsidRPr="00C830AB" w:rsidRDefault="00E24FDB" w:rsidP="009A02E2">
      <w:pPr>
        <w:pStyle w:val="ListParagraph"/>
        <w:numPr>
          <w:ilvl w:val="0"/>
          <w:numId w:val="8"/>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complainant</w:t>
      </w:r>
      <w:r w:rsidRPr="00C830AB">
        <w:rPr>
          <w:rFonts w:ascii="Times New Roman" w:hAnsi="Times New Roman" w:cs="Times New Roman"/>
          <w:spacing w:val="-2"/>
          <w:sz w:val="24"/>
          <w:szCs w:val="24"/>
        </w:rPr>
        <w:t xml:space="preserve"> </w:t>
      </w:r>
      <w:r w:rsidRPr="00C830AB">
        <w:rPr>
          <w:rFonts w:ascii="Times New Roman" w:hAnsi="Times New Roman" w:cs="Times New Roman"/>
          <w:bCs/>
          <w:sz w:val="24"/>
          <w:szCs w:val="24"/>
        </w:rPr>
        <w:t>has made</w:t>
      </w:r>
      <w:r w:rsidRPr="00C830AB">
        <w:rPr>
          <w:rFonts w:ascii="Times New Roman" w:hAnsi="Times New Roman" w:cs="Times New Roman"/>
          <w:bCs/>
          <w:spacing w:val="-1"/>
          <w:sz w:val="24"/>
          <w:szCs w:val="24"/>
        </w:rPr>
        <w:t xml:space="preserve"> </w:t>
      </w:r>
      <w:r w:rsidRPr="00C830AB">
        <w:rPr>
          <w:rFonts w:ascii="Times New Roman" w:hAnsi="Times New Roman" w:cs="Times New Roman"/>
          <w:bCs/>
          <w:sz w:val="24"/>
          <w:szCs w:val="24"/>
        </w:rPr>
        <w:t>a service</w:t>
      </w:r>
      <w:r w:rsidRPr="00C830AB">
        <w:rPr>
          <w:rFonts w:ascii="Times New Roman" w:hAnsi="Times New Roman" w:cs="Times New Roman"/>
          <w:bCs/>
          <w:spacing w:val="-1"/>
          <w:sz w:val="24"/>
          <w:szCs w:val="24"/>
        </w:rPr>
        <w:t xml:space="preserve"> </w:t>
      </w:r>
      <w:r w:rsidRPr="00C830AB">
        <w:rPr>
          <w:rFonts w:ascii="Times New Roman" w:hAnsi="Times New Roman" w:cs="Times New Roman"/>
          <w:bCs/>
          <w:sz w:val="24"/>
          <w:szCs w:val="24"/>
        </w:rPr>
        <w:t>complaint</w:t>
      </w:r>
      <w:r w:rsidRPr="00C830AB">
        <w:rPr>
          <w:rFonts w:ascii="Times New Roman" w:hAnsi="Times New Roman" w:cs="Times New Roman"/>
          <w:bCs/>
          <w:spacing w:val="-1"/>
          <w:sz w:val="24"/>
          <w:szCs w:val="24"/>
        </w:rPr>
        <w:t xml:space="preserve"> </w:t>
      </w:r>
      <w:r w:rsidRPr="00C830AB">
        <w:rPr>
          <w:rFonts w:ascii="Times New Roman" w:hAnsi="Times New Roman" w:cs="Times New Roman"/>
          <w:sz w:val="24"/>
          <w:szCs w:val="24"/>
        </w:rPr>
        <w:t>about 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 xml:space="preserve">matter, </w:t>
      </w:r>
      <w:r w:rsidRPr="00C830AB">
        <w:rPr>
          <w:rFonts w:ascii="Times New Roman" w:hAnsi="Times New Roman" w:cs="Times New Roman"/>
          <w:spacing w:val="-5"/>
          <w:sz w:val="24"/>
          <w:szCs w:val="24"/>
        </w:rPr>
        <w:t>and</w:t>
      </w:r>
    </w:p>
    <w:p w14:paraId="21DE89D1" w14:textId="77777777" w:rsidR="00E24FDB" w:rsidRPr="00C830AB" w:rsidRDefault="00E24FDB" w:rsidP="009A02E2">
      <w:pPr>
        <w:pStyle w:val="ListParagraph"/>
        <w:numPr>
          <w:ilvl w:val="0"/>
          <w:numId w:val="8"/>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complaint</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has</w:t>
      </w:r>
      <w:r w:rsidRPr="00C830AB">
        <w:rPr>
          <w:rFonts w:ascii="Times New Roman" w:hAnsi="Times New Roman" w:cs="Times New Roman"/>
          <w:spacing w:val="-2"/>
          <w:sz w:val="24"/>
          <w:szCs w:val="24"/>
        </w:rPr>
        <w:t xml:space="preserve"> </w:t>
      </w:r>
      <w:r w:rsidRPr="00C830AB">
        <w:rPr>
          <w:rFonts w:ascii="Times New Roman" w:hAnsi="Times New Roman" w:cs="Times New Roman"/>
          <w:bCs/>
          <w:sz w:val="24"/>
          <w:szCs w:val="24"/>
        </w:rPr>
        <w:t>not</w:t>
      </w:r>
      <w:r w:rsidRPr="00C830AB">
        <w:rPr>
          <w:rFonts w:ascii="Times New Roman" w:hAnsi="Times New Roman" w:cs="Times New Roman"/>
          <w:bCs/>
          <w:spacing w:val="-1"/>
          <w:sz w:val="24"/>
          <w:szCs w:val="24"/>
        </w:rPr>
        <w:t xml:space="preserve"> </w:t>
      </w:r>
      <w:r w:rsidRPr="00C830AB">
        <w:rPr>
          <w:rFonts w:ascii="Times New Roman" w:hAnsi="Times New Roman" w:cs="Times New Roman"/>
          <w:bCs/>
          <w:sz w:val="24"/>
          <w:szCs w:val="24"/>
        </w:rPr>
        <w:t>been</w:t>
      </w:r>
      <w:r w:rsidRPr="00C830AB">
        <w:rPr>
          <w:rFonts w:ascii="Times New Roman" w:hAnsi="Times New Roman" w:cs="Times New Roman"/>
          <w:bCs/>
          <w:spacing w:val="-2"/>
          <w:sz w:val="24"/>
          <w:szCs w:val="24"/>
        </w:rPr>
        <w:t xml:space="preserve"> withdrawn</w:t>
      </w:r>
      <w:r w:rsidRPr="00C830AB">
        <w:rPr>
          <w:rFonts w:ascii="Times New Roman" w:hAnsi="Times New Roman" w:cs="Times New Roman"/>
          <w:spacing w:val="-2"/>
          <w:sz w:val="24"/>
          <w:szCs w:val="24"/>
        </w:rPr>
        <w:t>.</w:t>
      </w:r>
    </w:p>
    <w:p w14:paraId="7159DE8E" w14:textId="77777777" w:rsidR="00E24FDB" w:rsidRPr="00C830AB" w:rsidRDefault="00E24FDB" w:rsidP="009A02E2">
      <w:pPr>
        <w:tabs>
          <w:tab w:val="left" w:pos="820"/>
        </w:tabs>
        <w:spacing w:before="138"/>
        <w:ind w:left="1440" w:hanging="1440"/>
      </w:pPr>
      <w:r w:rsidRPr="00C830AB">
        <w:tab/>
        <w:t>(2)</w:t>
      </w:r>
      <w:r w:rsidRPr="00C830AB">
        <w:tab/>
        <w:t>Where</w:t>
      </w:r>
      <w:r w:rsidRPr="00C830AB">
        <w:rPr>
          <w:spacing w:val="-13"/>
        </w:rPr>
        <w:t xml:space="preserve"> </w:t>
      </w:r>
      <w:r w:rsidRPr="00C830AB">
        <w:t>the</w:t>
      </w:r>
      <w:r w:rsidRPr="00C830AB">
        <w:rPr>
          <w:spacing w:val="-13"/>
        </w:rPr>
        <w:t xml:space="preserve"> </w:t>
      </w:r>
      <w:r w:rsidRPr="00C830AB">
        <w:t>complaint</w:t>
      </w:r>
      <w:r w:rsidRPr="00C830AB">
        <w:rPr>
          <w:spacing w:val="-13"/>
        </w:rPr>
        <w:t xml:space="preserve"> </w:t>
      </w:r>
      <w:r w:rsidRPr="00C830AB">
        <w:t>is</w:t>
      </w:r>
      <w:r w:rsidRPr="00C830AB">
        <w:rPr>
          <w:spacing w:val="-13"/>
        </w:rPr>
        <w:t xml:space="preserve"> </w:t>
      </w:r>
      <w:r w:rsidRPr="00C830AB">
        <w:t>dealt</w:t>
      </w:r>
      <w:r w:rsidRPr="00C830AB">
        <w:rPr>
          <w:spacing w:val="-13"/>
        </w:rPr>
        <w:t xml:space="preserve"> </w:t>
      </w:r>
      <w:r w:rsidRPr="00C830AB">
        <w:t>with</w:t>
      </w:r>
      <w:r w:rsidRPr="00C830AB">
        <w:rPr>
          <w:spacing w:val="-13"/>
        </w:rPr>
        <w:t xml:space="preserve"> </w:t>
      </w:r>
      <w:r w:rsidRPr="00C830AB">
        <w:t>by</w:t>
      </w:r>
      <w:r w:rsidRPr="00C830AB">
        <w:rPr>
          <w:spacing w:val="-13"/>
        </w:rPr>
        <w:t xml:space="preserve"> </w:t>
      </w:r>
      <w:r w:rsidRPr="00C830AB">
        <w:t>a</w:t>
      </w:r>
      <w:r w:rsidRPr="00C830AB">
        <w:rPr>
          <w:spacing w:val="-13"/>
        </w:rPr>
        <w:t xml:space="preserve"> </w:t>
      </w:r>
      <w:r w:rsidRPr="00C830AB">
        <w:t>person</w:t>
      </w:r>
      <w:r w:rsidRPr="00C830AB">
        <w:rPr>
          <w:spacing w:val="-13"/>
        </w:rPr>
        <w:t xml:space="preserve"> </w:t>
      </w:r>
      <w:r w:rsidRPr="00C830AB">
        <w:t>or</w:t>
      </w:r>
      <w:r w:rsidRPr="00C830AB">
        <w:rPr>
          <w:spacing w:val="-13"/>
        </w:rPr>
        <w:t xml:space="preserve"> </w:t>
      </w:r>
      <w:r w:rsidRPr="00C830AB">
        <w:t>panel</w:t>
      </w:r>
      <w:r w:rsidRPr="00C830AB">
        <w:rPr>
          <w:spacing w:val="-13"/>
        </w:rPr>
        <w:t xml:space="preserve"> </w:t>
      </w:r>
      <w:r w:rsidRPr="00C830AB">
        <w:t>appointed</w:t>
      </w:r>
      <w:r w:rsidRPr="00C830AB">
        <w:rPr>
          <w:spacing w:val="-13"/>
        </w:rPr>
        <w:t xml:space="preserve"> </w:t>
      </w:r>
      <w:r w:rsidRPr="00C830AB">
        <w:t>by</w:t>
      </w:r>
      <w:r w:rsidRPr="00C830AB">
        <w:rPr>
          <w:spacing w:val="-13"/>
        </w:rPr>
        <w:t xml:space="preserve"> </w:t>
      </w:r>
      <w:r w:rsidRPr="00C830AB">
        <w:t>the</w:t>
      </w:r>
      <w:r w:rsidRPr="00C830AB">
        <w:rPr>
          <w:spacing w:val="-13"/>
        </w:rPr>
        <w:t xml:space="preserve"> </w:t>
      </w:r>
      <w:r w:rsidRPr="00C830AB">
        <w:t>Defence Council by virtue of section 340C(1)(a) of the 2006 Act, it is to be treated for the purposes of subsection (1)(b) as withdrawn if –</w:t>
      </w:r>
    </w:p>
    <w:p w14:paraId="1FBBE04E" w14:textId="77777777" w:rsidR="00E24FDB" w:rsidRPr="00C830AB" w:rsidRDefault="00E24FDB" w:rsidP="009A02E2">
      <w:pPr>
        <w:pStyle w:val="ListParagraph"/>
        <w:numPr>
          <w:ilvl w:val="0"/>
          <w:numId w:val="9"/>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 period allowed in accordance with service complaints regulations for bringing an appeal against the person's or panel's decision expires, and</w:t>
      </w:r>
    </w:p>
    <w:p w14:paraId="0598C76A" w14:textId="77777777" w:rsidR="00E24FDB" w:rsidRPr="00C830AB" w:rsidRDefault="00E24FDB" w:rsidP="009A02E2">
      <w:pPr>
        <w:tabs>
          <w:tab w:val="left" w:pos="820"/>
        </w:tabs>
        <w:spacing w:before="138"/>
        <w:ind w:left="1440"/>
      </w:pPr>
      <w:r w:rsidRPr="00C830AB">
        <w:t>…</w:t>
      </w:r>
    </w:p>
    <w:p w14:paraId="5126CE07" w14:textId="77777777" w:rsidR="00E24FDB" w:rsidRPr="00C830AB" w:rsidRDefault="00E24FDB" w:rsidP="009A02E2">
      <w:pPr>
        <w:pStyle w:val="ListParagraph"/>
        <w:numPr>
          <w:ilvl w:val="0"/>
          <w:numId w:val="9"/>
        </w:numPr>
        <w:tabs>
          <w:tab w:val="left" w:pos="820"/>
        </w:tabs>
        <w:spacing w:before="138"/>
        <w:ind w:right="117"/>
        <w:rPr>
          <w:rFonts w:ascii="Times New Roman" w:hAnsi="Times New Roman" w:cs="Times New Roman"/>
          <w:spacing w:val="-2"/>
          <w:sz w:val="24"/>
          <w:szCs w:val="24"/>
        </w:rPr>
      </w:pPr>
      <w:r w:rsidRPr="00C830AB">
        <w:rPr>
          <w:rFonts w:ascii="Times New Roman" w:hAnsi="Times New Roman" w:cs="Times New Roman"/>
          <w:spacing w:val="-2"/>
          <w:sz w:val="24"/>
          <w:szCs w:val="24"/>
        </w:rPr>
        <w:t>either—</w:t>
      </w:r>
    </w:p>
    <w:p w14:paraId="58BAB5F0" w14:textId="0B5F4804" w:rsidR="00E24FDB" w:rsidRPr="00C830AB" w:rsidRDefault="00E24FDB" w:rsidP="009A02E2">
      <w:pPr>
        <w:pStyle w:val="ListParagraph"/>
        <w:numPr>
          <w:ilvl w:val="0"/>
          <w:numId w:val="10"/>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pacing w:val="-2"/>
          <w:sz w:val="24"/>
          <w:szCs w:val="24"/>
        </w:rPr>
        <w:t>the</w:t>
      </w:r>
      <w:r w:rsidRPr="00C830AB">
        <w:rPr>
          <w:rFonts w:ascii="Times New Roman" w:hAnsi="Times New Roman" w:cs="Times New Roman"/>
          <w:sz w:val="24"/>
          <w:szCs w:val="24"/>
        </w:rPr>
        <w:t xml:space="preserve"> complainant does not apply to the Service Complaints Ombudsman for a review</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by</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virtue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section</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340D(6)</w:t>
      </w:r>
      <w:r w:rsidR="00D71970">
        <w:rPr>
          <w:rFonts w:ascii="Times New Roman" w:hAnsi="Times New Roman" w:cs="Times New Roman"/>
          <w:sz w:val="24"/>
          <w:szCs w:val="24"/>
        </w:rPr>
        <w:t>(a)</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2006</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Act</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(review</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decision</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appeal brought out of time cannot proceed), or</w:t>
      </w:r>
    </w:p>
    <w:p w14:paraId="0DE29866" w14:textId="77777777" w:rsidR="00E24FDB" w:rsidRPr="00C830AB" w:rsidRDefault="00E24FDB" w:rsidP="009A02E2">
      <w:pPr>
        <w:pStyle w:val="ListParagraph"/>
        <w:numPr>
          <w:ilvl w:val="0"/>
          <w:numId w:val="10"/>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 complainant does apply for such a review and the Ombudsman decides that an appeal against the person’s or panel’s decision cannot be proceeded with.”</w:t>
      </w:r>
    </w:p>
    <w:p w14:paraId="48FD3D39" w14:textId="77777777" w:rsidR="00E24FDB" w:rsidRPr="00C830AB" w:rsidRDefault="00E24FDB" w:rsidP="009A02E2">
      <w:pPr>
        <w:tabs>
          <w:tab w:val="left" w:pos="820"/>
        </w:tabs>
        <w:spacing w:before="138"/>
        <w:ind w:left="1440"/>
        <w:rPr>
          <w:spacing w:val="-2"/>
        </w:rPr>
      </w:pPr>
      <w:r w:rsidRPr="00C830AB">
        <w:rPr>
          <w:spacing w:val="-2"/>
        </w:rPr>
        <w:t>(6)</w:t>
      </w:r>
      <w:r w:rsidRPr="00C830AB">
        <w:rPr>
          <w:spacing w:val="-2"/>
        </w:rPr>
        <w:tab/>
        <w:t>In this section –</w:t>
      </w:r>
    </w:p>
    <w:p w14:paraId="36228814" w14:textId="77777777" w:rsidR="00E24FDB" w:rsidRPr="00C830AB" w:rsidRDefault="00E24FDB" w:rsidP="009A02E2">
      <w:pPr>
        <w:tabs>
          <w:tab w:val="left" w:pos="820"/>
        </w:tabs>
        <w:spacing w:before="138"/>
        <w:ind w:left="1440"/>
        <w:rPr>
          <w:spacing w:val="-2"/>
        </w:rPr>
      </w:pPr>
      <w:r w:rsidRPr="00C830AB">
        <w:rPr>
          <w:spacing w:val="-2"/>
        </w:rPr>
        <w:tab/>
        <w:t>“</w:t>
      </w:r>
      <w:proofErr w:type="gramStart"/>
      <w:r w:rsidRPr="00C830AB">
        <w:rPr>
          <w:spacing w:val="-2"/>
        </w:rPr>
        <w:t>the</w:t>
      </w:r>
      <w:proofErr w:type="gramEnd"/>
      <w:r w:rsidRPr="00C830AB">
        <w:rPr>
          <w:spacing w:val="-2"/>
        </w:rPr>
        <w:t xml:space="preserve"> 2006 Act” means the Armed Forces Act 2006;</w:t>
      </w:r>
    </w:p>
    <w:p w14:paraId="65CB2EF8" w14:textId="77777777" w:rsidR="00E24FDB" w:rsidRPr="00C830AB" w:rsidRDefault="00E24FDB" w:rsidP="009A02E2">
      <w:pPr>
        <w:tabs>
          <w:tab w:val="left" w:pos="820"/>
        </w:tabs>
        <w:spacing w:before="138"/>
        <w:ind w:left="2160"/>
        <w:rPr>
          <w:spacing w:val="-2"/>
        </w:rPr>
      </w:pPr>
      <w:r w:rsidRPr="00C830AB">
        <w:rPr>
          <w:spacing w:val="-2"/>
        </w:rPr>
        <w:t xml:space="preserve"> “service complaints regulations” means regulations made under section 340</w:t>
      </w:r>
      <w:proofErr w:type="gramStart"/>
      <w:r w:rsidRPr="00C830AB">
        <w:rPr>
          <w:spacing w:val="-2"/>
        </w:rPr>
        <w:t>B(</w:t>
      </w:r>
      <w:proofErr w:type="gramEnd"/>
      <w:r w:rsidRPr="00C830AB">
        <w:rPr>
          <w:spacing w:val="-2"/>
        </w:rPr>
        <w:t>1) of the 2006 Act.”</w:t>
      </w:r>
    </w:p>
    <w:p w14:paraId="3ED5D9C7" w14:textId="77777777"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 xml:space="preserve">One of the issues which potentially arises for determination by the ET in the ET proceedings between the Claimant and the Interested Party (on which I have sought to avoid trespassing) is as to the meaning and application of section 121(1) and (2) where a service complaint is submitted which the complaint contends alleges disability discrimination, but the complaint is treated as inadmissible by the specified officer and an application for review of that decision is rejected by the SCOAF. </w:t>
      </w:r>
    </w:p>
    <w:p w14:paraId="2D108089" w14:textId="77777777"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 xml:space="preserve">For the purposes of this claim, particular attention is drawn by the Claimant to section </w:t>
      </w:r>
      <w:r w:rsidRPr="00C830AB">
        <w:rPr>
          <w:rFonts w:ascii="Times New Roman" w:hAnsi="Times New Roman" w:cs="Times New Roman"/>
          <w:sz w:val="24"/>
          <w:szCs w:val="24"/>
        </w:rPr>
        <w:lastRenderedPageBreak/>
        <w:t>123(1) and (2) of the EA 2010 which deals with the time limits for making discrimination complaints in relation to sections 120 and 121.  Section 123 provides (so far as material):</w:t>
      </w:r>
    </w:p>
    <w:p w14:paraId="6D1FC80E" w14:textId="77777777" w:rsidR="00E24FDB" w:rsidRPr="00C830AB" w:rsidRDefault="00E24FDB" w:rsidP="009A02E2">
      <w:pPr>
        <w:pStyle w:val="ListParagraph"/>
        <w:tabs>
          <w:tab w:val="left" w:pos="820"/>
        </w:tabs>
        <w:spacing w:before="138"/>
        <w:ind w:left="1440" w:right="118"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Subject to section 140B, proceedings on a complaint within section 120 may not be brought after the end of-</w:t>
      </w:r>
    </w:p>
    <w:p w14:paraId="774ABB71" w14:textId="77777777" w:rsidR="00E24FDB" w:rsidRPr="00C830AB" w:rsidRDefault="00E24FDB" w:rsidP="009A02E2">
      <w:pPr>
        <w:pStyle w:val="ListParagraph"/>
        <w:numPr>
          <w:ilvl w:val="0"/>
          <w:numId w:val="11"/>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the period of 3 months starting with the date of the act to which the complaint relates, or</w:t>
      </w:r>
    </w:p>
    <w:p w14:paraId="0905CFB8" w14:textId="77777777" w:rsidR="00E24FDB" w:rsidRPr="00C830AB" w:rsidRDefault="00E24FDB" w:rsidP="009A02E2">
      <w:pPr>
        <w:pStyle w:val="ListParagraph"/>
        <w:numPr>
          <w:ilvl w:val="0"/>
          <w:numId w:val="11"/>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such other period as the employment tribunal thinks just and equitable.</w:t>
      </w:r>
    </w:p>
    <w:p w14:paraId="3EFE8E73" w14:textId="77777777" w:rsidR="00E24FDB" w:rsidRPr="00C830AB" w:rsidRDefault="00E24FDB" w:rsidP="009A02E2">
      <w:pPr>
        <w:pStyle w:val="ListParagraph"/>
        <w:tabs>
          <w:tab w:val="left" w:pos="820"/>
        </w:tabs>
        <w:spacing w:before="138"/>
        <w:ind w:right="118" w:firstLine="0"/>
        <w:rPr>
          <w:rFonts w:ascii="Times New Roman" w:hAnsi="Times New Roman" w:cs="Times New Roman"/>
          <w:sz w:val="24"/>
          <w:szCs w:val="24"/>
        </w:rPr>
      </w:pPr>
    </w:p>
    <w:p w14:paraId="46ABABFE" w14:textId="77777777" w:rsidR="00E24FDB" w:rsidRPr="00C830AB" w:rsidRDefault="00E24FDB" w:rsidP="009A02E2">
      <w:pPr>
        <w:pStyle w:val="ListParagraph"/>
        <w:tabs>
          <w:tab w:val="left" w:pos="820"/>
        </w:tabs>
        <w:spacing w:before="138"/>
        <w:ind w:right="118" w:firstLine="0"/>
        <w:rPr>
          <w:rFonts w:ascii="Times New Roman" w:hAnsi="Times New Roman" w:cs="Times New Roman"/>
          <w:sz w:val="24"/>
          <w:szCs w:val="24"/>
        </w:rPr>
      </w:pPr>
      <w:r w:rsidRPr="00C830AB">
        <w:rPr>
          <w:rFonts w:ascii="Times New Roman" w:hAnsi="Times New Roman" w:cs="Times New Roman"/>
          <w:sz w:val="24"/>
          <w:szCs w:val="24"/>
        </w:rPr>
        <w:t>(2)</w:t>
      </w:r>
      <w:r w:rsidRPr="00C830AB">
        <w:rPr>
          <w:rFonts w:ascii="Times New Roman" w:hAnsi="Times New Roman" w:cs="Times New Roman"/>
          <w:sz w:val="24"/>
          <w:szCs w:val="24"/>
        </w:rPr>
        <w:tab/>
        <w:t>Proceedings may not be brought in reliance on section 121(1) after the end of-</w:t>
      </w:r>
    </w:p>
    <w:p w14:paraId="42F1FD6C" w14:textId="77777777" w:rsidR="00E24FDB" w:rsidRPr="00C830AB" w:rsidRDefault="00E24FDB" w:rsidP="009A02E2">
      <w:pPr>
        <w:pStyle w:val="ListParagraph"/>
        <w:numPr>
          <w:ilvl w:val="0"/>
          <w:numId w:val="12"/>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the period of 6 months starting with the date of the act to which the proceedings relate, or</w:t>
      </w:r>
    </w:p>
    <w:p w14:paraId="58940361" w14:textId="77777777" w:rsidR="00E24FDB" w:rsidRPr="00C830AB" w:rsidRDefault="00E24FDB" w:rsidP="009A02E2">
      <w:pPr>
        <w:pStyle w:val="ListParagraph"/>
        <w:numPr>
          <w:ilvl w:val="0"/>
          <w:numId w:val="12"/>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such other period as the employment tribunal thinks just and equitable.”</w:t>
      </w:r>
    </w:p>
    <w:p w14:paraId="415296B3" w14:textId="77777777" w:rsidR="00E24FDB" w:rsidRPr="00C830AB" w:rsidRDefault="00E24FDB" w:rsidP="009A02E2">
      <w:pPr>
        <w:pStyle w:val="ListParagraph"/>
        <w:tabs>
          <w:tab w:val="left" w:pos="820"/>
        </w:tabs>
        <w:spacing w:before="138"/>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186C318A"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 Claimant submits that if the same delay in question here before the SCOAF had been a matter before the ET by way of a discrimination complaint, 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ET would have a</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wide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discretion</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whether,</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all</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circumstances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case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it would have been just and equitable to extend time for that complaint to be considered, and this would entitle the ET to consider all the circumstances, including potential prejudice arising on both sides in the event that the extension were granted or denied.</w:t>
      </w:r>
    </w:p>
    <w:p w14:paraId="09B52CD0"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 xml:space="preserve">In that respect, the Claimant has referred to a substantial body of caselaw that deals with the nature of the discretion afforded to the ET under s.123 of the </w:t>
      </w:r>
      <w:r w:rsidRPr="00C830AB">
        <w:rPr>
          <w:rFonts w:ascii="Times New Roman" w:hAnsi="Times New Roman" w:cs="Times New Roman"/>
          <w:sz w:val="24"/>
          <w:szCs w:val="24"/>
          <w:u w:val="single"/>
        </w:rPr>
        <w:t>Equality Act 2010</w:t>
      </w:r>
      <w:r w:rsidRPr="00C830AB">
        <w:rPr>
          <w:rFonts w:ascii="Times New Roman" w:hAnsi="Times New Roman" w:cs="Times New Roman"/>
          <w:sz w:val="24"/>
          <w:szCs w:val="24"/>
        </w:rPr>
        <w:t>. The Claimant refers to:</w:t>
      </w:r>
    </w:p>
    <w:p w14:paraId="0684EB74" w14:textId="77777777" w:rsidR="00E24FDB" w:rsidRPr="00C830AB" w:rsidRDefault="005C69C0" w:rsidP="009A02E2">
      <w:pPr>
        <w:pStyle w:val="ListParagraph"/>
        <w:numPr>
          <w:ilvl w:val="1"/>
          <w:numId w:val="3"/>
        </w:numPr>
        <w:tabs>
          <w:tab w:val="left" w:pos="820"/>
        </w:tabs>
        <w:spacing w:before="138"/>
        <w:ind w:right="117"/>
        <w:rPr>
          <w:rFonts w:ascii="Times New Roman" w:hAnsi="Times New Roman" w:cs="Times New Roman"/>
          <w:sz w:val="24"/>
          <w:szCs w:val="24"/>
        </w:rPr>
      </w:pPr>
      <w:hyperlink r:id="rId19">
        <w:r w:rsidR="00E24FDB" w:rsidRPr="00C830AB">
          <w:rPr>
            <w:rFonts w:ascii="Times New Roman" w:hAnsi="Times New Roman" w:cs="Times New Roman"/>
            <w:i/>
            <w:sz w:val="24"/>
            <w:szCs w:val="24"/>
          </w:rPr>
          <w:t xml:space="preserve">Miller &amp; </w:t>
        </w:r>
        <w:proofErr w:type="spellStart"/>
        <w:r w:rsidR="00E24FDB" w:rsidRPr="00C830AB">
          <w:rPr>
            <w:rFonts w:ascii="Times New Roman" w:hAnsi="Times New Roman" w:cs="Times New Roman"/>
            <w:i/>
            <w:sz w:val="24"/>
            <w:szCs w:val="24"/>
          </w:rPr>
          <w:t>ors</w:t>
        </w:r>
        <w:proofErr w:type="spellEnd"/>
        <w:r w:rsidR="00E24FDB" w:rsidRPr="00C830AB">
          <w:rPr>
            <w:rFonts w:ascii="Times New Roman" w:hAnsi="Times New Roman" w:cs="Times New Roman"/>
            <w:i/>
            <w:sz w:val="24"/>
            <w:szCs w:val="24"/>
          </w:rPr>
          <w:t xml:space="preserve"> v</w:t>
        </w:r>
      </w:hyperlink>
      <w:r w:rsidR="00E24FDB" w:rsidRPr="00C830AB">
        <w:rPr>
          <w:rFonts w:ascii="Times New Roman" w:hAnsi="Times New Roman" w:cs="Times New Roman"/>
          <w:i/>
          <w:sz w:val="24"/>
          <w:szCs w:val="24"/>
        </w:rPr>
        <w:t xml:space="preserve"> </w:t>
      </w:r>
      <w:hyperlink r:id="rId20">
        <w:r w:rsidR="00E24FDB" w:rsidRPr="00C830AB">
          <w:rPr>
            <w:rFonts w:ascii="Times New Roman" w:hAnsi="Times New Roman" w:cs="Times New Roman"/>
            <w:i/>
            <w:sz w:val="24"/>
            <w:szCs w:val="24"/>
          </w:rPr>
          <w:t xml:space="preserve">Ministry of Justice &amp; </w:t>
        </w:r>
        <w:proofErr w:type="spellStart"/>
        <w:r w:rsidR="00E24FDB" w:rsidRPr="00C830AB">
          <w:rPr>
            <w:rFonts w:ascii="Times New Roman" w:hAnsi="Times New Roman" w:cs="Times New Roman"/>
            <w:i/>
            <w:sz w:val="24"/>
            <w:szCs w:val="24"/>
          </w:rPr>
          <w:t>ors</w:t>
        </w:r>
        <w:proofErr w:type="spellEnd"/>
        <w:r w:rsidR="00E24FDB" w:rsidRPr="00C830AB">
          <w:rPr>
            <w:rFonts w:ascii="Times New Roman" w:hAnsi="Times New Roman" w:cs="Times New Roman"/>
            <w:i/>
            <w:sz w:val="24"/>
            <w:szCs w:val="24"/>
          </w:rPr>
          <w:t xml:space="preserve"> EAT 0003/15</w:t>
        </w:r>
      </w:hyperlink>
      <w:r w:rsidR="00E24FDB" w:rsidRPr="00C830AB">
        <w:rPr>
          <w:rFonts w:ascii="Times New Roman" w:hAnsi="Times New Roman" w:cs="Times New Roman"/>
          <w:sz w:val="24"/>
          <w:szCs w:val="24"/>
        </w:rPr>
        <w:t xml:space="preserve"> (Laing J) to the effect that:</w:t>
      </w:r>
    </w:p>
    <w:p w14:paraId="344963FC" w14:textId="77777777" w:rsidR="00E24FDB" w:rsidRPr="00C830AB" w:rsidRDefault="00E24FDB" w:rsidP="009A02E2">
      <w:pPr>
        <w:pStyle w:val="ListParagraph"/>
        <w:numPr>
          <w:ilvl w:val="0"/>
          <w:numId w:val="1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discretion to</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extend time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is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wide</w:t>
      </w:r>
      <w:r w:rsidRPr="00C830AB">
        <w:rPr>
          <w:rFonts w:ascii="Times New Roman" w:hAnsi="Times New Roman" w:cs="Times New Roman"/>
          <w:spacing w:val="-1"/>
          <w:sz w:val="24"/>
          <w:szCs w:val="24"/>
        </w:rPr>
        <w:t xml:space="preserve"> </w:t>
      </w:r>
      <w:proofErr w:type="gramStart"/>
      <w:r w:rsidRPr="00C830AB">
        <w:rPr>
          <w:rFonts w:ascii="Times New Roman" w:hAnsi="Times New Roman" w:cs="Times New Roman"/>
          <w:spacing w:val="-5"/>
          <w:sz w:val="24"/>
          <w:szCs w:val="24"/>
        </w:rPr>
        <w:t>one;</w:t>
      </w:r>
      <w:proofErr w:type="gramEnd"/>
    </w:p>
    <w:p w14:paraId="7E8D7FC7" w14:textId="77777777" w:rsidR="00E24FDB" w:rsidRPr="00C830AB" w:rsidRDefault="00E24FDB" w:rsidP="009A02E2">
      <w:pPr>
        <w:pStyle w:val="ListParagraph"/>
        <w:numPr>
          <w:ilvl w:val="0"/>
          <w:numId w:val="1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time limits are to be observed strictly in ETs and there is no presumption</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time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will</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be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extended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unless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it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cannot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be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justified; the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 xml:space="preserve">reverse is true: the exercise of discretion is the exception rather than the </w:t>
      </w:r>
      <w:proofErr w:type="gramStart"/>
      <w:r w:rsidRPr="00C830AB">
        <w:rPr>
          <w:rFonts w:ascii="Times New Roman" w:hAnsi="Times New Roman" w:cs="Times New Roman"/>
          <w:sz w:val="24"/>
          <w:szCs w:val="24"/>
        </w:rPr>
        <w:t>rule;</w:t>
      </w:r>
      <w:proofErr w:type="gramEnd"/>
    </w:p>
    <w:p w14:paraId="156BEF34" w14:textId="77777777" w:rsidR="00E24FDB" w:rsidRPr="00C830AB" w:rsidRDefault="00E24FDB" w:rsidP="009A02E2">
      <w:pPr>
        <w:pStyle w:val="ListParagraph"/>
        <w:numPr>
          <w:ilvl w:val="0"/>
          <w:numId w:val="1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 xml:space="preserve">if a tribunal directs itself correctly in law, the EAT can only interfere if the decision is, in the technical sense, ‘perverse’, </w:t>
      </w:r>
      <w:proofErr w:type="gramStart"/>
      <w:r w:rsidRPr="00C830AB">
        <w:rPr>
          <w:rFonts w:ascii="Times New Roman" w:hAnsi="Times New Roman" w:cs="Times New Roman"/>
          <w:sz w:val="24"/>
          <w:szCs w:val="24"/>
        </w:rPr>
        <w:t>i.e.</w:t>
      </w:r>
      <w:proofErr w:type="gramEnd"/>
      <w:r w:rsidRPr="00C830AB">
        <w:rPr>
          <w:rFonts w:ascii="Times New Roman" w:hAnsi="Times New Roman" w:cs="Times New Roman"/>
          <w:sz w:val="24"/>
          <w:szCs w:val="24"/>
        </w:rPr>
        <w:t xml:space="preserve"> no reasonable tribunal properly directing itself in law could have reached it, or the tribunal failed to take into account relevant factors, or took into account irrelevant factors, or made a decision which was not based on the evidence;</w:t>
      </w:r>
    </w:p>
    <w:p w14:paraId="68C465BF" w14:textId="77777777" w:rsidR="00E24FDB" w:rsidRPr="00C830AB" w:rsidRDefault="00E24FDB" w:rsidP="009A02E2">
      <w:pPr>
        <w:pStyle w:val="ListParagraph"/>
        <w:numPr>
          <w:ilvl w:val="0"/>
          <w:numId w:val="1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what factors are relevant to the exercise of the discretion, and how they should be balanced, are a matter for the tribunal. The prejudice that a respondent</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will</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suffer</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from</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facing</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claim</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which</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would</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otherwise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be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 xml:space="preserve">time- barred is customarily relevant in such </w:t>
      </w:r>
      <w:proofErr w:type="gramStart"/>
      <w:r w:rsidRPr="00C830AB">
        <w:rPr>
          <w:rFonts w:ascii="Times New Roman" w:hAnsi="Times New Roman" w:cs="Times New Roman"/>
          <w:sz w:val="24"/>
          <w:szCs w:val="24"/>
        </w:rPr>
        <w:t>cases;</w:t>
      </w:r>
      <w:proofErr w:type="gramEnd"/>
    </w:p>
    <w:p w14:paraId="518031A5" w14:textId="77777777" w:rsidR="00E24FDB" w:rsidRPr="00C830AB" w:rsidRDefault="00E24FDB" w:rsidP="009A02E2">
      <w:pPr>
        <w:pStyle w:val="ListParagraph"/>
        <w:numPr>
          <w:ilvl w:val="0"/>
          <w:numId w:val="1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 xml:space="preserve">the tribunal may find the checklist of factors in section 33 of the </w:t>
      </w:r>
      <w:r w:rsidRPr="00C830AB">
        <w:rPr>
          <w:rFonts w:ascii="Times New Roman" w:hAnsi="Times New Roman" w:cs="Times New Roman"/>
          <w:sz w:val="24"/>
          <w:szCs w:val="24"/>
          <w:u w:val="single"/>
        </w:rPr>
        <w:t>Limitation Act 1980</w:t>
      </w:r>
      <w:r w:rsidRPr="00C830AB">
        <w:rPr>
          <w:rFonts w:ascii="Times New Roman" w:hAnsi="Times New Roman" w:cs="Times New Roman"/>
          <w:sz w:val="24"/>
          <w:szCs w:val="24"/>
        </w:rPr>
        <w:t xml:space="preserve"> helpful,</w:t>
      </w:r>
      <w:r w:rsidRPr="00C830AB">
        <w:rPr>
          <w:rFonts w:ascii="Times New Roman" w:hAnsi="Times New Roman" w:cs="Times New Roman"/>
          <w:spacing w:val="37"/>
          <w:sz w:val="24"/>
          <w:szCs w:val="24"/>
        </w:rPr>
        <w:t xml:space="preserve"> </w:t>
      </w:r>
      <w:r w:rsidRPr="00C830AB">
        <w:rPr>
          <w:rFonts w:ascii="Times New Roman" w:hAnsi="Times New Roman" w:cs="Times New Roman"/>
          <w:sz w:val="24"/>
          <w:szCs w:val="24"/>
        </w:rPr>
        <w:t>but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this</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is</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not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2"/>
          <w:sz w:val="24"/>
          <w:szCs w:val="24"/>
        </w:rPr>
        <w:t xml:space="preserve"> </w:t>
      </w:r>
      <w:proofErr w:type="gramStart"/>
      <w:r w:rsidRPr="00C830AB">
        <w:rPr>
          <w:rFonts w:ascii="Times New Roman" w:hAnsi="Times New Roman" w:cs="Times New Roman"/>
          <w:sz w:val="24"/>
          <w:szCs w:val="24"/>
        </w:rPr>
        <w:t>requirement</w:t>
      </w:r>
      <w:proofErr w:type="gramEnd"/>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lastRenderedPageBreak/>
        <w:t>tribunal</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will</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only</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err</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law</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if</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it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 xml:space="preserve">omits something significant. </w:t>
      </w:r>
    </w:p>
    <w:p w14:paraId="3DFD57F0" w14:textId="77777777" w:rsidR="00E24FDB" w:rsidRPr="00C830AB" w:rsidRDefault="005C69C0" w:rsidP="009A02E2">
      <w:pPr>
        <w:pStyle w:val="ListParagraph"/>
        <w:numPr>
          <w:ilvl w:val="1"/>
          <w:numId w:val="3"/>
        </w:numPr>
        <w:tabs>
          <w:tab w:val="left" w:pos="820"/>
        </w:tabs>
        <w:spacing w:before="138"/>
        <w:ind w:right="117"/>
        <w:rPr>
          <w:rFonts w:ascii="Times New Roman" w:hAnsi="Times New Roman" w:cs="Times New Roman"/>
          <w:sz w:val="24"/>
          <w:szCs w:val="24"/>
        </w:rPr>
      </w:pPr>
      <w:hyperlink r:id="rId21">
        <w:r w:rsidR="00E24FDB" w:rsidRPr="00C830AB">
          <w:rPr>
            <w:rFonts w:ascii="Times New Roman" w:hAnsi="Times New Roman" w:cs="Times New Roman"/>
            <w:i/>
            <w:sz w:val="24"/>
            <w:szCs w:val="24"/>
          </w:rPr>
          <w:t>Southwark</w:t>
        </w:r>
        <w:r w:rsidR="00E24FDB" w:rsidRPr="00C830AB">
          <w:rPr>
            <w:rFonts w:ascii="Times New Roman" w:hAnsi="Times New Roman" w:cs="Times New Roman"/>
            <w:i/>
            <w:spacing w:val="-14"/>
            <w:sz w:val="24"/>
            <w:szCs w:val="24"/>
          </w:rPr>
          <w:t xml:space="preserve"> </w:t>
        </w:r>
        <w:r w:rsidR="00E24FDB" w:rsidRPr="00C830AB">
          <w:rPr>
            <w:rFonts w:ascii="Times New Roman" w:hAnsi="Times New Roman" w:cs="Times New Roman"/>
            <w:i/>
            <w:sz w:val="24"/>
            <w:szCs w:val="24"/>
          </w:rPr>
          <w:t>LBC</w:t>
        </w:r>
        <w:r w:rsidR="00E24FDB" w:rsidRPr="00C830AB">
          <w:rPr>
            <w:rFonts w:ascii="Times New Roman" w:hAnsi="Times New Roman" w:cs="Times New Roman"/>
            <w:i/>
            <w:spacing w:val="-14"/>
            <w:sz w:val="24"/>
            <w:szCs w:val="24"/>
          </w:rPr>
          <w:t xml:space="preserve"> </w:t>
        </w:r>
        <w:r w:rsidR="00E24FDB" w:rsidRPr="00C830AB">
          <w:rPr>
            <w:rFonts w:ascii="Times New Roman" w:hAnsi="Times New Roman" w:cs="Times New Roman"/>
            <w:i/>
            <w:sz w:val="24"/>
            <w:szCs w:val="24"/>
          </w:rPr>
          <w:t>v</w:t>
        </w:r>
        <w:r w:rsidR="00E24FDB" w:rsidRPr="00C830AB">
          <w:rPr>
            <w:rFonts w:ascii="Times New Roman" w:hAnsi="Times New Roman" w:cs="Times New Roman"/>
            <w:i/>
            <w:spacing w:val="-14"/>
            <w:sz w:val="24"/>
            <w:szCs w:val="24"/>
          </w:rPr>
          <w:t xml:space="preserve"> </w:t>
        </w:r>
        <w:r w:rsidR="00E24FDB" w:rsidRPr="00C830AB">
          <w:rPr>
            <w:rFonts w:ascii="Times New Roman" w:hAnsi="Times New Roman" w:cs="Times New Roman"/>
            <w:i/>
            <w:sz w:val="24"/>
            <w:szCs w:val="24"/>
          </w:rPr>
          <w:t>Afolabi</w:t>
        </w:r>
        <w:r w:rsidR="00E24FDB" w:rsidRPr="00C830AB">
          <w:rPr>
            <w:rFonts w:ascii="Times New Roman" w:hAnsi="Times New Roman" w:cs="Times New Roman"/>
            <w:i/>
            <w:spacing w:val="-14"/>
            <w:sz w:val="24"/>
            <w:szCs w:val="24"/>
          </w:rPr>
          <w:t xml:space="preserve"> </w:t>
        </w:r>
        <w:r w:rsidR="00E24FDB" w:rsidRPr="00C830AB">
          <w:rPr>
            <w:rFonts w:ascii="Times New Roman" w:hAnsi="Times New Roman" w:cs="Times New Roman"/>
            <w:sz w:val="24"/>
            <w:szCs w:val="24"/>
          </w:rPr>
          <w:t>[2003]</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ICR</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800 in which</w:t>
        </w:r>
      </w:hyperlink>
      <w:r w:rsidR="00E24FDB" w:rsidRPr="00C830AB">
        <w:rPr>
          <w:rFonts w:ascii="Times New Roman" w:hAnsi="Times New Roman" w:cs="Times New Roman"/>
          <w:i/>
          <w:spacing w:val="-14"/>
          <w:sz w:val="24"/>
          <w:szCs w:val="24"/>
        </w:rPr>
        <w:t xml:space="preserve"> </w:t>
      </w:r>
      <w:r w:rsidR="00E24FDB" w:rsidRPr="00C830AB">
        <w:rPr>
          <w:rFonts w:ascii="Times New Roman" w:hAnsi="Times New Roman" w:cs="Times New Roman"/>
          <w:sz w:val="24"/>
          <w:szCs w:val="24"/>
        </w:rPr>
        <w:t>the</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Court</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of</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Appeal</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confirmed</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that,</w:t>
      </w:r>
      <w:r w:rsidR="00E24FDB" w:rsidRPr="00C830AB">
        <w:rPr>
          <w:rFonts w:ascii="Times New Roman" w:hAnsi="Times New Roman" w:cs="Times New Roman"/>
          <w:spacing w:val="-14"/>
          <w:sz w:val="24"/>
          <w:szCs w:val="24"/>
        </w:rPr>
        <w:t xml:space="preserve"> </w:t>
      </w:r>
      <w:r w:rsidR="00E24FDB" w:rsidRPr="00C830AB">
        <w:rPr>
          <w:rFonts w:ascii="Times New Roman" w:hAnsi="Times New Roman" w:cs="Times New Roman"/>
          <w:sz w:val="24"/>
          <w:szCs w:val="24"/>
        </w:rPr>
        <w:t>while the checklist in</w:t>
      </w:r>
      <w:r w:rsidR="00E24FDB" w:rsidRPr="00C830AB">
        <w:rPr>
          <w:rFonts w:ascii="Times New Roman" w:hAnsi="Times New Roman" w:cs="Times New Roman"/>
          <w:spacing w:val="-2"/>
          <w:sz w:val="24"/>
          <w:szCs w:val="24"/>
        </w:rPr>
        <w:t xml:space="preserve"> </w:t>
      </w:r>
      <w:r w:rsidR="00E24FDB" w:rsidRPr="00C830AB">
        <w:rPr>
          <w:rFonts w:ascii="Times New Roman" w:hAnsi="Times New Roman" w:cs="Times New Roman"/>
          <w:sz w:val="24"/>
          <w:szCs w:val="24"/>
        </w:rPr>
        <w:t xml:space="preserve">section 33 of the </w:t>
      </w:r>
      <w:r w:rsidR="00E24FDB" w:rsidRPr="00C830AB">
        <w:rPr>
          <w:rFonts w:ascii="Times New Roman" w:hAnsi="Times New Roman" w:cs="Times New Roman"/>
          <w:sz w:val="24"/>
          <w:szCs w:val="24"/>
          <w:u w:val="single"/>
        </w:rPr>
        <w:t>Limitation Act 1980</w:t>
      </w:r>
      <w:r w:rsidR="00E24FDB" w:rsidRPr="00C830AB">
        <w:rPr>
          <w:rFonts w:ascii="Times New Roman" w:hAnsi="Times New Roman" w:cs="Times New Roman"/>
          <w:sz w:val="24"/>
          <w:szCs w:val="24"/>
        </w:rPr>
        <w:t xml:space="preserve"> provides a useful guide for ETs, it need not be adhered to</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slavishly and there</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are</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two</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factors</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which</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are</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almost</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always</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relevant</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when</w:t>
      </w:r>
      <w:r w:rsidR="00E24FDB" w:rsidRPr="00C830AB">
        <w:rPr>
          <w:rFonts w:ascii="Times New Roman" w:hAnsi="Times New Roman" w:cs="Times New Roman"/>
          <w:spacing w:val="-1"/>
          <w:sz w:val="24"/>
          <w:szCs w:val="24"/>
        </w:rPr>
        <w:t xml:space="preserve"> </w:t>
      </w:r>
      <w:r w:rsidR="00E24FDB" w:rsidRPr="00C830AB">
        <w:rPr>
          <w:rFonts w:ascii="Times New Roman" w:hAnsi="Times New Roman" w:cs="Times New Roman"/>
          <w:sz w:val="24"/>
          <w:szCs w:val="24"/>
        </w:rPr>
        <w:t>considering the exercise of any discretion to extend time: the length of, and reasons for, the delay; and whether the delay has prejudiced the respondent (for example, by preventing or inhibiting it from investigating the claim while matters were fresh).</w:t>
      </w:r>
    </w:p>
    <w:p w14:paraId="3B237997" w14:textId="77777777" w:rsidR="00E24FDB" w:rsidRPr="00C830AB" w:rsidRDefault="00E24FDB" w:rsidP="009A02E2">
      <w:pPr>
        <w:pStyle w:val="ListParagraph"/>
        <w:numPr>
          <w:ilvl w:val="1"/>
          <w:numId w:val="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i/>
          <w:iCs/>
          <w:sz w:val="24"/>
          <w:szCs w:val="24"/>
        </w:rPr>
        <w:t xml:space="preserve">Department of Constitutional Affairs v Jones </w:t>
      </w:r>
      <w:r w:rsidRPr="00C830AB">
        <w:rPr>
          <w:rFonts w:ascii="Times New Roman" w:hAnsi="Times New Roman" w:cs="Times New Roman"/>
          <w:sz w:val="24"/>
          <w:szCs w:val="24"/>
        </w:rPr>
        <w:t>[2008] IRLR 128 in which the Court of Appeal confirmed that while the factors</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referred</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by</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EAT</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2"/>
          <w:sz w:val="24"/>
          <w:szCs w:val="24"/>
        </w:rPr>
        <w:t xml:space="preserve"> </w:t>
      </w:r>
      <w:hyperlink r:id="rId22">
        <w:r w:rsidRPr="00C830AB">
          <w:rPr>
            <w:rFonts w:ascii="Times New Roman" w:hAnsi="Times New Roman" w:cs="Times New Roman"/>
            <w:i/>
            <w:sz w:val="24"/>
            <w:szCs w:val="24"/>
          </w:rPr>
          <w:t>British</w:t>
        </w:r>
        <w:r w:rsidRPr="00C830AB">
          <w:rPr>
            <w:rFonts w:ascii="Times New Roman" w:hAnsi="Times New Roman" w:cs="Times New Roman"/>
            <w:i/>
            <w:spacing w:val="-7"/>
            <w:sz w:val="24"/>
            <w:szCs w:val="24"/>
          </w:rPr>
          <w:t xml:space="preserve"> </w:t>
        </w:r>
        <w:r w:rsidRPr="00C830AB">
          <w:rPr>
            <w:rFonts w:ascii="Times New Roman" w:hAnsi="Times New Roman" w:cs="Times New Roman"/>
            <w:i/>
            <w:sz w:val="24"/>
            <w:szCs w:val="24"/>
          </w:rPr>
          <w:t>Coal</w:t>
        </w:r>
        <w:r w:rsidRPr="00C830AB">
          <w:rPr>
            <w:rFonts w:ascii="Times New Roman" w:hAnsi="Times New Roman" w:cs="Times New Roman"/>
            <w:i/>
            <w:spacing w:val="-7"/>
            <w:sz w:val="24"/>
            <w:szCs w:val="24"/>
          </w:rPr>
          <w:t xml:space="preserve"> </w:t>
        </w:r>
        <w:r w:rsidRPr="00C830AB">
          <w:rPr>
            <w:rFonts w:ascii="Times New Roman" w:hAnsi="Times New Roman" w:cs="Times New Roman"/>
            <w:i/>
            <w:sz w:val="24"/>
            <w:szCs w:val="24"/>
          </w:rPr>
          <w:t>Corporation</w:t>
        </w:r>
        <w:r w:rsidRPr="00C830AB">
          <w:rPr>
            <w:rFonts w:ascii="Times New Roman" w:hAnsi="Times New Roman" w:cs="Times New Roman"/>
            <w:i/>
            <w:spacing w:val="-7"/>
            <w:sz w:val="24"/>
            <w:szCs w:val="24"/>
          </w:rPr>
          <w:t xml:space="preserve"> </w:t>
        </w:r>
        <w:r w:rsidRPr="00C830AB">
          <w:rPr>
            <w:rFonts w:ascii="Times New Roman" w:hAnsi="Times New Roman" w:cs="Times New Roman"/>
            <w:i/>
            <w:sz w:val="24"/>
            <w:szCs w:val="24"/>
          </w:rPr>
          <w:t>v</w:t>
        </w:r>
        <w:r w:rsidRPr="00C830AB">
          <w:rPr>
            <w:rFonts w:ascii="Times New Roman" w:hAnsi="Times New Roman" w:cs="Times New Roman"/>
            <w:i/>
            <w:spacing w:val="-7"/>
            <w:sz w:val="24"/>
            <w:szCs w:val="24"/>
          </w:rPr>
          <w:t xml:space="preserve"> </w:t>
        </w:r>
        <w:r w:rsidRPr="00C830AB">
          <w:rPr>
            <w:rFonts w:ascii="Times New Roman" w:hAnsi="Times New Roman" w:cs="Times New Roman"/>
            <w:i/>
            <w:sz w:val="24"/>
            <w:szCs w:val="24"/>
          </w:rPr>
          <w:t>Keeble</w:t>
        </w:r>
      </w:hyperlink>
      <w:r w:rsidRPr="00C830AB">
        <w:rPr>
          <w:rFonts w:ascii="Times New Roman" w:hAnsi="Times New Roman" w:cs="Times New Roman"/>
          <w:i/>
          <w:spacing w:val="-7"/>
          <w:sz w:val="24"/>
          <w:szCs w:val="24"/>
        </w:rPr>
        <w:t xml:space="preserve"> </w:t>
      </w:r>
      <w:r w:rsidRPr="00C830AB">
        <w:rPr>
          <w:rFonts w:ascii="Times New Roman" w:hAnsi="Times New Roman" w:cs="Times New Roman"/>
          <w:sz w:val="24"/>
          <w:szCs w:val="24"/>
        </w:rPr>
        <w:t>are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‘valuable reminder’ of what may be taken into account, their relevance depends on the facts of</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individual</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cases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tribunals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do</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not</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need</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all</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factors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each</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and every case.</w:t>
      </w:r>
    </w:p>
    <w:p w14:paraId="5AFC62CE" w14:textId="77777777" w:rsidR="00E24FDB" w:rsidRPr="00C830AB" w:rsidRDefault="00E24FDB" w:rsidP="009A02E2">
      <w:pPr>
        <w:pStyle w:val="ListParagraph"/>
        <w:numPr>
          <w:ilvl w:val="1"/>
          <w:numId w:val="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i/>
          <w:sz w:val="24"/>
          <w:szCs w:val="24"/>
        </w:rPr>
        <w:t xml:space="preserve">Abertawe Bro Morgannwg University Local Health Board v Morgan </w:t>
      </w:r>
      <w:r w:rsidRPr="00C830AB">
        <w:rPr>
          <w:rFonts w:ascii="Times New Roman" w:hAnsi="Times New Roman" w:cs="Times New Roman"/>
          <w:iCs/>
          <w:sz w:val="24"/>
          <w:szCs w:val="24"/>
        </w:rPr>
        <w:t xml:space="preserve">[2018] ICR 1194 in which the Court of Appeal identified that it was plain from the language used in s.123(1) that Parliament had chosen to give the employment tribunal the widest possible discretion </w:t>
      </w:r>
      <w:r w:rsidRPr="00C830AB">
        <w:rPr>
          <w:rFonts w:ascii="Times New Roman" w:hAnsi="Times New Roman" w:cs="Times New Roman"/>
          <w:sz w:val="24"/>
          <w:szCs w:val="24"/>
        </w:rPr>
        <w:t xml:space="preserve">and it would be wrong to put a gloss on the words of the provision or to interpret it as if it contains a list of factors referred to in s.33 of the </w:t>
      </w:r>
      <w:r w:rsidRPr="00C830AB">
        <w:rPr>
          <w:rFonts w:ascii="Times New Roman" w:hAnsi="Times New Roman" w:cs="Times New Roman"/>
          <w:sz w:val="24"/>
          <w:szCs w:val="24"/>
          <w:u w:val="single"/>
        </w:rPr>
        <w:t>Limitation Act 1980</w:t>
      </w:r>
      <w:r w:rsidRPr="00C830AB">
        <w:rPr>
          <w:rFonts w:ascii="Times New Roman" w:hAnsi="Times New Roman" w:cs="Times New Roman"/>
          <w:sz w:val="24"/>
          <w:szCs w:val="24"/>
        </w:rPr>
        <w:t xml:space="preserve"> as referred to in the </w:t>
      </w:r>
      <w:r w:rsidRPr="00C830AB">
        <w:rPr>
          <w:rFonts w:ascii="Times New Roman" w:hAnsi="Times New Roman" w:cs="Times New Roman"/>
          <w:i/>
          <w:iCs/>
          <w:sz w:val="24"/>
          <w:szCs w:val="24"/>
        </w:rPr>
        <w:t xml:space="preserve">Keeble </w:t>
      </w:r>
      <w:r w:rsidRPr="00C830AB">
        <w:rPr>
          <w:rFonts w:ascii="Times New Roman" w:hAnsi="Times New Roman" w:cs="Times New Roman"/>
          <w:sz w:val="24"/>
          <w:szCs w:val="24"/>
        </w:rPr>
        <w:t>case.  I note that the Court of Appeal also identified that because of the width of that discretion, there is very limited scope for challenging the ET’s exercise of that discretion as to what is just and equitable and an appellate court or tribunal should only disturb the tribunal’s decision if the tribunal “has erred in principle – for example, by failing to have regard to a factor which is plainly relevant and significant or by giving significant weight to a factor which is plainly irrelevant – or if the tribunal’s conclusion is outside the very wide ambit within which different views may reasonably be taken about what is just and equitable” see Leggatt LJ (as he then was) at [20] and as applied at [25]).</w:t>
      </w:r>
    </w:p>
    <w:p w14:paraId="1F676795" w14:textId="75CC1414" w:rsidR="00E24FDB" w:rsidRPr="00C830AB" w:rsidRDefault="00E24FDB" w:rsidP="009A02E2">
      <w:pPr>
        <w:pStyle w:val="ListParagraph"/>
        <w:numPr>
          <w:ilvl w:val="1"/>
          <w:numId w:val="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i/>
          <w:sz w:val="24"/>
          <w:szCs w:val="24"/>
        </w:rPr>
        <w:t>Chief Constable of Greater Manchester Police v Carroll</w:t>
      </w:r>
      <w:r w:rsidRPr="00C830AB">
        <w:rPr>
          <w:rFonts w:ascii="Times New Roman" w:hAnsi="Times New Roman" w:cs="Times New Roman"/>
          <w:iCs/>
          <w:sz w:val="24"/>
          <w:szCs w:val="24"/>
        </w:rPr>
        <w:t xml:space="preserve"> [2017] EWCA Civ 1992 in which the Court of Appeal summarised the balance of prejudice test and the burden being on the claimant to show that his or her prejudice would outweigh</w:t>
      </w:r>
      <w:r w:rsidR="00D71970">
        <w:rPr>
          <w:rFonts w:ascii="Times New Roman" w:hAnsi="Times New Roman" w:cs="Times New Roman"/>
          <w:iCs/>
          <w:sz w:val="24"/>
          <w:szCs w:val="24"/>
        </w:rPr>
        <w:t xml:space="preserve"> </w:t>
      </w:r>
      <w:r w:rsidRPr="00C830AB">
        <w:rPr>
          <w:rFonts w:ascii="Times New Roman" w:hAnsi="Times New Roman" w:cs="Times New Roman"/>
          <w:iCs/>
          <w:sz w:val="24"/>
          <w:szCs w:val="24"/>
        </w:rPr>
        <w:t>that to the defendant.</w:t>
      </w:r>
    </w:p>
    <w:p w14:paraId="5CFD8470" w14:textId="77777777" w:rsidR="00E24FDB" w:rsidRPr="00C830AB" w:rsidRDefault="00E24FDB" w:rsidP="009A02E2">
      <w:pPr>
        <w:pStyle w:val="ListParagraph"/>
        <w:numPr>
          <w:ilvl w:val="1"/>
          <w:numId w:val="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i/>
          <w:iCs/>
          <w:sz w:val="24"/>
          <w:szCs w:val="24"/>
        </w:rPr>
        <w:t xml:space="preserve">Wells Cathedral School Ltd v Souter </w:t>
      </w:r>
      <w:r w:rsidRPr="00C830AB">
        <w:rPr>
          <w:rFonts w:ascii="Times New Roman" w:hAnsi="Times New Roman" w:cs="Times New Roman"/>
          <w:sz w:val="24"/>
          <w:szCs w:val="24"/>
        </w:rPr>
        <w:t>(UKEATPA/0836/20/JOJ), a decision of the EAT on the exercise of the just and equitable discretion.</w:t>
      </w:r>
    </w:p>
    <w:p w14:paraId="04CE9734" w14:textId="77777777" w:rsidR="00E24FDB" w:rsidRPr="00C830AB" w:rsidRDefault="00E24FDB" w:rsidP="009A02E2">
      <w:pPr>
        <w:pStyle w:val="ListParagraph"/>
        <w:numPr>
          <w:ilvl w:val="1"/>
          <w:numId w:val="3"/>
        </w:numPr>
        <w:tabs>
          <w:tab w:val="left" w:pos="820"/>
        </w:tabs>
        <w:spacing w:before="138"/>
        <w:ind w:right="117"/>
        <w:rPr>
          <w:rFonts w:ascii="Times New Roman" w:hAnsi="Times New Roman" w:cs="Times New Roman"/>
          <w:sz w:val="24"/>
          <w:szCs w:val="24"/>
        </w:rPr>
      </w:pPr>
      <w:proofErr w:type="spellStart"/>
      <w:r w:rsidRPr="00C830AB">
        <w:rPr>
          <w:rFonts w:ascii="Times New Roman" w:hAnsi="Times New Roman" w:cs="Times New Roman"/>
          <w:i/>
          <w:iCs/>
          <w:sz w:val="24"/>
          <w:szCs w:val="24"/>
        </w:rPr>
        <w:t>Lupetti</w:t>
      </w:r>
      <w:proofErr w:type="spellEnd"/>
      <w:r w:rsidRPr="00C830AB">
        <w:rPr>
          <w:rFonts w:ascii="Times New Roman" w:hAnsi="Times New Roman" w:cs="Times New Roman"/>
          <w:i/>
          <w:iCs/>
          <w:sz w:val="24"/>
          <w:szCs w:val="24"/>
        </w:rPr>
        <w:t xml:space="preserve"> v Wrens Old House Ltd </w:t>
      </w:r>
      <w:r w:rsidRPr="00C830AB">
        <w:rPr>
          <w:rFonts w:ascii="Times New Roman" w:hAnsi="Times New Roman" w:cs="Times New Roman"/>
          <w:sz w:val="24"/>
          <w:szCs w:val="24"/>
        </w:rPr>
        <w:t>[1984] ICR 348, EAT as a decision that proceeded on the basis that the merits of a claim may be a relevant factor in the exercise of the discretion to extend time; and</w:t>
      </w:r>
    </w:p>
    <w:p w14:paraId="048B698E" w14:textId="77777777" w:rsidR="00E24FDB" w:rsidRPr="00C830AB" w:rsidRDefault="00E24FDB" w:rsidP="009A02E2">
      <w:pPr>
        <w:pStyle w:val="ListParagraph"/>
        <w:numPr>
          <w:ilvl w:val="1"/>
          <w:numId w:val="3"/>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i/>
          <w:iCs/>
          <w:sz w:val="24"/>
          <w:szCs w:val="24"/>
        </w:rPr>
        <w:t xml:space="preserve">Kumari v Greater Manchester Mental Health NHS Foundation Trust </w:t>
      </w:r>
      <w:r w:rsidRPr="00C830AB">
        <w:rPr>
          <w:rFonts w:ascii="Times New Roman" w:hAnsi="Times New Roman" w:cs="Times New Roman"/>
          <w:sz w:val="24"/>
          <w:szCs w:val="24"/>
        </w:rPr>
        <w:t xml:space="preserve">[2022] EAT 132, a decision of the EAT considering </w:t>
      </w:r>
      <w:proofErr w:type="spellStart"/>
      <w:r w:rsidRPr="00C830AB">
        <w:rPr>
          <w:rFonts w:ascii="Times New Roman" w:hAnsi="Times New Roman" w:cs="Times New Roman"/>
          <w:i/>
          <w:iCs/>
          <w:sz w:val="24"/>
          <w:szCs w:val="24"/>
        </w:rPr>
        <w:t>Lupetti</w:t>
      </w:r>
      <w:proofErr w:type="spellEnd"/>
      <w:r w:rsidRPr="00C830AB">
        <w:rPr>
          <w:rFonts w:ascii="Times New Roman" w:hAnsi="Times New Roman" w:cs="Times New Roman"/>
          <w:sz w:val="24"/>
          <w:szCs w:val="24"/>
        </w:rPr>
        <w:t xml:space="preserve"> and concluding that it is not necessarily wrong to </w:t>
      </w:r>
      <w:proofErr w:type="gramStart"/>
      <w:r w:rsidRPr="00C830AB">
        <w:rPr>
          <w:rFonts w:ascii="Times New Roman" w:hAnsi="Times New Roman" w:cs="Times New Roman"/>
          <w:sz w:val="24"/>
          <w:szCs w:val="24"/>
        </w:rPr>
        <w:t>take into account</w:t>
      </w:r>
      <w:proofErr w:type="gramEnd"/>
      <w:r w:rsidRPr="00C830AB">
        <w:rPr>
          <w:rFonts w:ascii="Times New Roman" w:hAnsi="Times New Roman" w:cs="Times New Roman"/>
          <w:sz w:val="24"/>
          <w:szCs w:val="24"/>
        </w:rPr>
        <w:t xml:space="preserve"> the merits of a claim.</w:t>
      </w:r>
    </w:p>
    <w:p w14:paraId="735D20E2" w14:textId="77777777" w:rsidR="00E24FDB" w:rsidRPr="00C830AB" w:rsidRDefault="00E24FDB" w:rsidP="009A02E2">
      <w:pPr>
        <w:pStyle w:val="BodyText"/>
        <w:ind w:left="1518" w:right="779"/>
        <w:rPr>
          <w:rFonts w:ascii="Times New Roman" w:hAnsi="Times New Roman" w:cs="Times New Roman"/>
          <w:sz w:val="24"/>
          <w:szCs w:val="24"/>
        </w:rPr>
      </w:pPr>
    </w:p>
    <w:p w14:paraId="56C37610"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In relation to the nature of the discretion under s.123 of the EA 2010, it is also important to have in mind the caution emphasised by the Court of Appeal in treating the </w:t>
      </w:r>
      <w:r w:rsidRPr="00C830AB">
        <w:rPr>
          <w:rFonts w:ascii="Times New Roman" w:hAnsi="Times New Roman" w:cs="Times New Roman"/>
          <w:i/>
          <w:iCs/>
          <w:sz w:val="24"/>
          <w:szCs w:val="24"/>
        </w:rPr>
        <w:t xml:space="preserve">Keeble </w:t>
      </w:r>
      <w:r w:rsidRPr="00C830AB">
        <w:rPr>
          <w:rFonts w:ascii="Times New Roman" w:hAnsi="Times New Roman" w:cs="Times New Roman"/>
          <w:sz w:val="24"/>
          <w:szCs w:val="24"/>
        </w:rPr>
        <w:t xml:space="preserve">factors as a framework for the ET’s approach and the importance of </w:t>
      </w:r>
      <w:r w:rsidRPr="00C830AB">
        <w:rPr>
          <w:rFonts w:ascii="Times New Roman" w:hAnsi="Times New Roman" w:cs="Times New Roman"/>
          <w:sz w:val="24"/>
          <w:szCs w:val="24"/>
        </w:rPr>
        <w:lastRenderedPageBreak/>
        <w:t xml:space="preserve">avoiding too mechanistic an approach: see </w:t>
      </w:r>
      <w:r w:rsidRPr="00C830AB">
        <w:rPr>
          <w:rFonts w:ascii="Times New Roman" w:hAnsi="Times New Roman" w:cs="Times New Roman"/>
          <w:i/>
          <w:iCs/>
          <w:sz w:val="24"/>
          <w:szCs w:val="24"/>
        </w:rPr>
        <w:t xml:space="preserve">Adedeji v University Hospitals Birmingham NHS Foundation Trust </w:t>
      </w:r>
      <w:r w:rsidRPr="00C830AB">
        <w:rPr>
          <w:rFonts w:ascii="Times New Roman" w:hAnsi="Times New Roman" w:cs="Times New Roman"/>
          <w:sz w:val="24"/>
          <w:szCs w:val="24"/>
        </w:rPr>
        <w:t>[2021] EWCA Civ 23, Underhill LJ at [37]-[38].</w:t>
      </w:r>
    </w:p>
    <w:p w14:paraId="23951650"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In response to the Claimant’s reliance on s.123 and the nature of the discretion afforded to an ET under that statutory regime, the Defendant and Interested Party do not materially dispute the Claimant’s analysis and the caselaw that has been identified.  Neither disputed that an ET would be entitled to </w:t>
      </w:r>
      <w:proofErr w:type="gramStart"/>
      <w:r w:rsidRPr="00C830AB">
        <w:rPr>
          <w:rFonts w:ascii="Times New Roman" w:hAnsi="Times New Roman" w:cs="Times New Roman"/>
          <w:sz w:val="24"/>
          <w:szCs w:val="24"/>
        </w:rPr>
        <w:t>take into account</w:t>
      </w:r>
      <w:proofErr w:type="gramEnd"/>
      <w:r w:rsidRPr="00C830AB">
        <w:rPr>
          <w:rFonts w:ascii="Times New Roman" w:hAnsi="Times New Roman" w:cs="Times New Roman"/>
          <w:sz w:val="24"/>
          <w:szCs w:val="24"/>
        </w:rPr>
        <w:t xml:space="preserve"> the merits of an underlying complaint when exercising </w:t>
      </w:r>
      <w:r w:rsidRPr="00C830AB">
        <w:rPr>
          <w:rFonts w:ascii="Times New Roman" w:hAnsi="Times New Roman" w:cs="Times New Roman"/>
          <w:sz w:val="24"/>
          <w:szCs w:val="24"/>
          <w:u w:val="single"/>
        </w:rPr>
        <w:t>that</w:t>
      </w:r>
      <w:r w:rsidRPr="00C830AB">
        <w:rPr>
          <w:rFonts w:ascii="Times New Roman" w:hAnsi="Times New Roman" w:cs="Times New Roman"/>
          <w:sz w:val="24"/>
          <w:szCs w:val="24"/>
        </w:rPr>
        <w:t xml:space="preserve"> discretion. The Defendant and Interested Party submit, however, that the ET’s discretion in s.123 of the Equality Act 2010 is different to that given to the Ombudsman in Regulation 7(2) of the 2015 Regulations.  They submit that the latter is deliberately more circumscribed, having regard to the different words used in Regulation 7(2) and it does not permit consideration by the Ombudsman of the merits of the underlying service complaint.  Indeed, the Defendant and Interested Party’s point is essentially that if it had been intended to give the Ombudsman the same width of discretion that is afforded to the ET under s.123 of </w:t>
      </w:r>
      <w:proofErr w:type="gramStart"/>
      <w:r w:rsidRPr="00C830AB">
        <w:rPr>
          <w:rFonts w:ascii="Times New Roman" w:hAnsi="Times New Roman" w:cs="Times New Roman"/>
          <w:sz w:val="24"/>
          <w:szCs w:val="24"/>
        </w:rPr>
        <w:t>the  EA</w:t>
      </w:r>
      <w:proofErr w:type="gramEnd"/>
      <w:r w:rsidRPr="00C830AB">
        <w:rPr>
          <w:rFonts w:ascii="Times New Roman" w:hAnsi="Times New Roman" w:cs="Times New Roman"/>
          <w:sz w:val="24"/>
          <w:szCs w:val="24"/>
        </w:rPr>
        <w:t xml:space="preserve"> 2010, then similar words would have been used but they were not. </w:t>
      </w:r>
    </w:p>
    <w:p w14:paraId="2985AE04"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These competing points of view were also expressed by the parties in relation to other discretions afforded under other statutory regimes to consider complaints or actions made outside specified time limits.  </w:t>
      </w:r>
    </w:p>
    <w:p w14:paraId="087196B7" w14:textId="6488BBC0"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Thus, for example, at the hearing I raised the issue of the High Court’s analysis of section 7(5) of the </w:t>
      </w:r>
      <w:r w:rsidRPr="00C830AB">
        <w:rPr>
          <w:rFonts w:ascii="Times New Roman" w:hAnsi="Times New Roman" w:cs="Times New Roman"/>
          <w:sz w:val="24"/>
          <w:szCs w:val="24"/>
          <w:u w:val="single"/>
        </w:rPr>
        <w:t>Human Rights Act 1998</w:t>
      </w:r>
      <w:r w:rsidRPr="00C830AB">
        <w:rPr>
          <w:rFonts w:ascii="Times New Roman" w:hAnsi="Times New Roman" w:cs="Times New Roman"/>
          <w:sz w:val="24"/>
          <w:szCs w:val="24"/>
        </w:rPr>
        <w:t xml:space="preserve"> in </w:t>
      </w:r>
      <w:proofErr w:type="spellStart"/>
      <w:r w:rsidRPr="00C830AB">
        <w:rPr>
          <w:rFonts w:ascii="Times New Roman" w:hAnsi="Times New Roman" w:cs="Times New Roman"/>
          <w:i/>
          <w:sz w:val="24"/>
          <w:szCs w:val="24"/>
        </w:rPr>
        <w:t>Alseran</w:t>
      </w:r>
      <w:proofErr w:type="spellEnd"/>
      <w:r w:rsidRPr="00C830AB">
        <w:rPr>
          <w:rFonts w:ascii="Times New Roman" w:hAnsi="Times New Roman" w:cs="Times New Roman"/>
          <w:i/>
          <w:sz w:val="24"/>
          <w:szCs w:val="24"/>
        </w:rPr>
        <w:t xml:space="preserve"> and others v Ministry of Defence </w:t>
      </w:r>
      <w:r w:rsidRPr="00C830AB">
        <w:rPr>
          <w:rFonts w:ascii="Times New Roman" w:hAnsi="Times New Roman" w:cs="Times New Roman"/>
          <w:iCs/>
          <w:sz w:val="24"/>
          <w:szCs w:val="24"/>
        </w:rPr>
        <w:t xml:space="preserve">[2017] EWHC 3289 (QB), Leggatt J (as he then was) at [849] and following. Under that provision, proceedings must be brought before the end of 1 year beginning with the date on which the act complained of took place or “such longer period as the court or tribunal considers equitable having regard to all the circumstances”.   In </w:t>
      </w:r>
      <w:r w:rsidRPr="00C830AB">
        <w:rPr>
          <w:rFonts w:ascii="Times New Roman" w:hAnsi="Times New Roman" w:cs="Times New Roman"/>
          <w:i/>
          <w:sz w:val="24"/>
          <w:szCs w:val="24"/>
        </w:rPr>
        <w:t xml:space="preserve">Dunn v Parole Board </w:t>
      </w:r>
      <w:r w:rsidRPr="00C830AB">
        <w:rPr>
          <w:rFonts w:ascii="Times New Roman" w:hAnsi="Times New Roman" w:cs="Times New Roman"/>
          <w:iCs/>
          <w:sz w:val="24"/>
          <w:szCs w:val="24"/>
        </w:rPr>
        <w:t xml:space="preserve">[2008] EWCA Civ 374, [2009] 1 WL 728 the Court of Appeal had identified that it was not appropriate for the courts to put any gloss on the words used in section 7(5)(b) of the Human Rights Act 1998, nor to fetter the very wide discretion given to the court by listing factors to be taken into account, or the weight to be attached to them. This approach was confirmed by the Supreme Court in </w:t>
      </w:r>
      <w:proofErr w:type="spellStart"/>
      <w:r w:rsidRPr="00C830AB">
        <w:rPr>
          <w:rFonts w:ascii="Times New Roman" w:hAnsi="Times New Roman" w:cs="Times New Roman"/>
          <w:i/>
          <w:sz w:val="24"/>
          <w:szCs w:val="24"/>
        </w:rPr>
        <w:t>Rabone</w:t>
      </w:r>
      <w:proofErr w:type="spellEnd"/>
      <w:r w:rsidRPr="00C830AB">
        <w:rPr>
          <w:rFonts w:ascii="Times New Roman" w:hAnsi="Times New Roman" w:cs="Times New Roman"/>
          <w:i/>
          <w:sz w:val="24"/>
          <w:szCs w:val="24"/>
        </w:rPr>
        <w:t xml:space="preserve"> v Pennine Care NHS Trust </w:t>
      </w:r>
      <w:r w:rsidRPr="00C830AB">
        <w:rPr>
          <w:rFonts w:ascii="Times New Roman" w:hAnsi="Times New Roman" w:cs="Times New Roman"/>
          <w:iCs/>
          <w:sz w:val="24"/>
          <w:szCs w:val="24"/>
        </w:rPr>
        <w:t xml:space="preserve">[2012] UKSC 2, [2012] 2 AC 72, Lord Dyson at [75]. Applying that approach to section 7(5) in </w:t>
      </w:r>
      <w:proofErr w:type="spellStart"/>
      <w:r w:rsidRPr="00C830AB">
        <w:rPr>
          <w:rFonts w:ascii="Times New Roman" w:hAnsi="Times New Roman" w:cs="Times New Roman"/>
          <w:i/>
          <w:sz w:val="24"/>
          <w:szCs w:val="24"/>
        </w:rPr>
        <w:t>Alseran</w:t>
      </w:r>
      <w:proofErr w:type="spellEnd"/>
      <w:r w:rsidRPr="00C830AB">
        <w:rPr>
          <w:rFonts w:ascii="Times New Roman" w:hAnsi="Times New Roman" w:cs="Times New Roman"/>
          <w:iCs/>
          <w:sz w:val="24"/>
          <w:szCs w:val="24"/>
        </w:rPr>
        <w:t xml:space="preserve">, it is clear that Leggatt J did take into account the merits of the claim (see [868] onwards), noting that in </w:t>
      </w:r>
      <w:proofErr w:type="spellStart"/>
      <w:r w:rsidRPr="00C830AB">
        <w:rPr>
          <w:rFonts w:ascii="Times New Roman" w:hAnsi="Times New Roman" w:cs="Times New Roman"/>
          <w:i/>
          <w:sz w:val="24"/>
          <w:szCs w:val="24"/>
        </w:rPr>
        <w:t>Rabone</w:t>
      </w:r>
      <w:proofErr w:type="spellEnd"/>
      <w:r w:rsidRPr="00C830AB">
        <w:rPr>
          <w:rFonts w:ascii="Times New Roman" w:hAnsi="Times New Roman" w:cs="Times New Roman"/>
          <w:iCs/>
          <w:sz w:val="24"/>
          <w:szCs w:val="24"/>
        </w:rPr>
        <w:t xml:space="preserve"> Lord Dyson had (at [79]) described as the “most important of all” the points which had militated in favour of extending time the fact that the claimants had a good claim for a breach of a Convention right (see also Lady Hale in </w:t>
      </w:r>
      <w:proofErr w:type="spellStart"/>
      <w:r w:rsidRPr="00C830AB">
        <w:rPr>
          <w:rFonts w:ascii="Times New Roman" w:hAnsi="Times New Roman" w:cs="Times New Roman"/>
          <w:i/>
          <w:sz w:val="24"/>
          <w:szCs w:val="24"/>
        </w:rPr>
        <w:t>Rabone</w:t>
      </w:r>
      <w:proofErr w:type="spellEnd"/>
      <w:r w:rsidRPr="00C830AB">
        <w:rPr>
          <w:rFonts w:ascii="Times New Roman" w:hAnsi="Times New Roman" w:cs="Times New Roman"/>
          <w:i/>
          <w:sz w:val="24"/>
          <w:szCs w:val="24"/>
        </w:rPr>
        <w:t xml:space="preserve"> </w:t>
      </w:r>
      <w:r w:rsidRPr="00C830AB">
        <w:rPr>
          <w:rFonts w:ascii="Times New Roman" w:hAnsi="Times New Roman" w:cs="Times New Roman"/>
          <w:iCs/>
          <w:sz w:val="24"/>
          <w:szCs w:val="24"/>
        </w:rPr>
        <w:t xml:space="preserve"> at [108]). Leggatt J went on to state at [869] in </w:t>
      </w:r>
      <w:proofErr w:type="spellStart"/>
      <w:r w:rsidRPr="00C830AB">
        <w:rPr>
          <w:rFonts w:ascii="Times New Roman" w:hAnsi="Times New Roman" w:cs="Times New Roman"/>
          <w:i/>
          <w:sz w:val="24"/>
          <w:szCs w:val="24"/>
        </w:rPr>
        <w:t>Alseran</w:t>
      </w:r>
      <w:proofErr w:type="spellEnd"/>
      <w:r w:rsidRPr="00C830AB">
        <w:rPr>
          <w:rFonts w:ascii="Times New Roman" w:hAnsi="Times New Roman" w:cs="Times New Roman"/>
          <w:i/>
          <w:sz w:val="24"/>
          <w:szCs w:val="24"/>
        </w:rPr>
        <w:t>:</w:t>
      </w:r>
    </w:p>
    <w:p w14:paraId="08AF93FF" w14:textId="77777777" w:rsidR="00E24FDB" w:rsidRPr="00C830AB" w:rsidRDefault="00E24FDB" w:rsidP="009A02E2">
      <w:pPr>
        <w:pStyle w:val="ListParagraph"/>
        <w:tabs>
          <w:tab w:val="left" w:pos="820"/>
        </w:tabs>
        <w:spacing w:before="276"/>
        <w:ind w:left="1440" w:firstLine="0"/>
        <w:rPr>
          <w:rFonts w:ascii="Times New Roman" w:eastAsia="Times New Roman" w:hAnsi="Times New Roman" w:cs="Times New Roman"/>
          <w:sz w:val="24"/>
          <w:szCs w:val="24"/>
        </w:rPr>
      </w:pPr>
      <w:bookmarkStart w:id="1" w:name="para869"/>
      <w:r w:rsidRPr="00C830AB">
        <w:rPr>
          <w:rFonts w:ascii="Times New Roman" w:hAnsi="Times New Roman" w:cs="Times New Roman"/>
          <w:i/>
          <w:sz w:val="24"/>
          <w:szCs w:val="24"/>
        </w:rPr>
        <w:t>“</w:t>
      </w:r>
      <w:r w:rsidRPr="00C830AB">
        <w:rPr>
          <w:rFonts w:ascii="Times New Roman" w:eastAsia="Times New Roman" w:hAnsi="Times New Roman" w:cs="Times New Roman"/>
          <w:color w:val="000000"/>
          <w:sz w:val="24"/>
          <w:szCs w:val="24"/>
          <w:lang w:eastAsia="en-GB"/>
        </w:rPr>
        <w:t xml:space="preserve">In a case where the delay in bringing proceedings has caused significant evidential prejudice to the defendant, it would plainly be wrong to treat the merits of the claim as a factor weighing in the claimant's favour – at least insofar as the court's assessment of the merits is based on findings of fact which might have been different if the claim had been begun promptly and the defendant had not been disadvantaged. In the present cases, however, it has not been shown that the MOD has suffered significant evidential prejudice as a result of the claimants' delay in bringing the proceedings. In these circumstances it seems to me legitimate to </w:t>
      </w:r>
      <w:proofErr w:type="gramStart"/>
      <w:r w:rsidRPr="00C830AB">
        <w:rPr>
          <w:rFonts w:ascii="Times New Roman" w:eastAsia="Times New Roman" w:hAnsi="Times New Roman" w:cs="Times New Roman"/>
          <w:color w:val="000000"/>
          <w:sz w:val="24"/>
          <w:szCs w:val="24"/>
          <w:lang w:eastAsia="en-GB"/>
        </w:rPr>
        <w:t>take into account</w:t>
      </w:r>
      <w:proofErr w:type="gramEnd"/>
      <w:r w:rsidRPr="00C830AB">
        <w:rPr>
          <w:rFonts w:ascii="Times New Roman" w:eastAsia="Times New Roman" w:hAnsi="Times New Roman" w:cs="Times New Roman"/>
          <w:color w:val="000000"/>
          <w:sz w:val="24"/>
          <w:szCs w:val="24"/>
          <w:lang w:eastAsia="en-GB"/>
        </w:rPr>
        <w:t xml:space="preserve"> in deciding </w:t>
      </w:r>
      <w:r w:rsidRPr="00C830AB">
        <w:rPr>
          <w:rFonts w:ascii="Times New Roman" w:eastAsia="Times New Roman" w:hAnsi="Times New Roman" w:cs="Times New Roman"/>
          <w:color w:val="000000"/>
          <w:sz w:val="24"/>
          <w:szCs w:val="24"/>
          <w:lang w:eastAsia="en-GB"/>
        </w:rPr>
        <w:lastRenderedPageBreak/>
        <w:t>whether to exercise the discretion to extend time the fact that a refusal to do so would prevent the claimants from obtaining any redress for proven violations of their fundamental human rights not to be subjected to inhuman or degrading treatment and not to be unlawfully and arbitrarily detained.</w:t>
      </w:r>
      <w:bookmarkEnd w:id="1"/>
      <w:r w:rsidRPr="00C830AB">
        <w:rPr>
          <w:rFonts w:ascii="Times New Roman" w:hAnsi="Times New Roman" w:cs="Times New Roman"/>
          <w:color w:val="000000"/>
          <w:sz w:val="24"/>
          <w:szCs w:val="24"/>
          <w:lang w:eastAsia="en-GB"/>
        </w:rPr>
        <w:t>”</w:t>
      </w:r>
    </w:p>
    <w:p w14:paraId="52CD42E0" w14:textId="6C979482"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color w:val="000000"/>
          <w:sz w:val="24"/>
          <w:szCs w:val="24"/>
          <w:lang w:eastAsia="en-GB"/>
        </w:rPr>
      </w:pPr>
      <w:r w:rsidRPr="00C830AB">
        <w:rPr>
          <w:rFonts w:ascii="Times New Roman" w:hAnsi="Times New Roman" w:cs="Times New Roman"/>
          <w:sz w:val="24"/>
          <w:szCs w:val="24"/>
        </w:rPr>
        <w:t>The Claimant would rely on the width of the discretion afforded to a decision-maker when deciding what is considered to be “equitable”, and as allowing the decision-maker to consider the merits of the underlying claim. By contrast, the Defendant and Interested Party rely upon the difference of wording in those different statutory regimes as compared with Regulation 7(2) of the 2015 Regulations. I will return to this basic difference between the parties under Ground 1.</w:t>
      </w:r>
    </w:p>
    <w:p w14:paraId="278B6FC8" w14:textId="77777777"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 xml:space="preserve">Returning to other relevant provisions in the </w:t>
      </w:r>
      <w:r w:rsidRPr="00C830AB">
        <w:rPr>
          <w:rFonts w:ascii="Times New Roman" w:hAnsi="Times New Roman" w:cs="Times New Roman"/>
          <w:sz w:val="24"/>
          <w:szCs w:val="24"/>
          <w:u w:val="single"/>
        </w:rPr>
        <w:t>EA 2010</w:t>
      </w:r>
      <w:r w:rsidRPr="00C830AB">
        <w:rPr>
          <w:rFonts w:ascii="Times New Roman" w:hAnsi="Times New Roman" w:cs="Times New Roman"/>
          <w:sz w:val="24"/>
          <w:szCs w:val="24"/>
        </w:rPr>
        <w:t>, it is also relevant to note that the EA 2010 has other relevant provisions disapplying its potential application to the armed forces in certain circumstances.  Amongst other things, paragraph 4 of Schedule 9 of the EA 2010 provides as follow:</w:t>
      </w:r>
    </w:p>
    <w:p w14:paraId="2B4C0E6B" w14:textId="77777777" w:rsidR="00E24FDB" w:rsidRPr="00C830AB" w:rsidRDefault="00E24FDB" w:rsidP="009A02E2">
      <w:pPr>
        <w:ind w:left="950"/>
        <w:rPr>
          <w:i/>
        </w:rPr>
      </w:pPr>
    </w:p>
    <w:p w14:paraId="1FD1F2A5" w14:textId="77777777" w:rsidR="00E24FDB" w:rsidRPr="00C830AB" w:rsidRDefault="00E24FDB" w:rsidP="009A02E2">
      <w:pPr>
        <w:ind w:left="950"/>
        <w:rPr>
          <w:i/>
        </w:rPr>
      </w:pPr>
      <w:r w:rsidRPr="00C830AB">
        <w:rPr>
          <w:i/>
        </w:rPr>
        <w:t xml:space="preserve">“Armed </w:t>
      </w:r>
      <w:r w:rsidRPr="00C830AB">
        <w:rPr>
          <w:i/>
          <w:spacing w:val="-2"/>
        </w:rPr>
        <w:t>forces</w:t>
      </w:r>
    </w:p>
    <w:p w14:paraId="54565A43" w14:textId="77777777" w:rsidR="00E24FDB" w:rsidRPr="00C830AB" w:rsidRDefault="00E24FDB" w:rsidP="009A02E2">
      <w:pPr>
        <w:spacing w:before="240"/>
        <w:ind w:left="1430" w:right="348" w:hanging="480"/>
        <w:jc w:val="both"/>
      </w:pPr>
      <w:r w:rsidRPr="00C830AB">
        <w:t>4(1)</w:t>
      </w:r>
      <w:r w:rsidRPr="00C830AB">
        <w:tab/>
        <w:t>A person does not contravene section 39(1)(a) or (c) or (2)(b) by applying in relation to service in the armed forces a relevant requirement if the person shows that the application is a proportionate means of ensuring the combat effectiveness of the armed forces. [emphasis added]</w:t>
      </w:r>
    </w:p>
    <w:p w14:paraId="0FD1B0A2" w14:textId="77777777" w:rsidR="00E24FDB" w:rsidRPr="00C830AB" w:rsidRDefault="00E24FDB" w:rsidP="009A02E2">
      <w:pPr>
        <w:spacing w:before="240"/>
        <w:ind w:left="1430" w:right="348" w:hanging="480"/>
        <w:jc w:val="both"/>
      </w:pPr>
      <w:r w:rsidRPr="00C830AB">
        <w:t>(2)</w:t>
      </w:r>
      <w:r w:rsidRPr="00C830AB">
        <w:tab/>
        <w:t xml:space="preserve">… </w:t>
      </w:r>
    </w:p>
    <w:p w14:paraId="7A71E6BA" w14:textId="77777777" w:rsidR="00E24FDB" w:rsidRPr="00C830AB" w:rsidRDefault="00E24FDB" w:rsidP="009A02E2">
      <w:pPr>
        <w:spacing w:before="240"/>
        <w:ind w:left="1430" w:right="348" w:hanging="480"/>
        <w:jc w:val="both"/>
      </w:pPr>
      <w:r w:rsidRPr="00C830AB">
        <w:t>(3)</w:t>
      </w:r>
      <w:r w:rsidRPr="00C830AB">
        <w:tab/>
        <w:t>This</w:t>
      </w:r>
      <w:r w:rsidRPr="00C830AB">
        <w:rPr>
          <w:spacing w:val="-7"/>
        </w:rPr>
        <w:t xml:space="preserve"> </w:t>
      </w:r>
      <w:r w:rsidRPr="00C830AB">
        <w:t>Part</w:t>
      </w:r>
      <w:r w:rsidRPr="00C830AB">
        <w:rPr>
          <w:spacing w:val="-7"/>
        </w:rPr>
        <w:t xml:space="preserve"> </w:t>
      </w:r>
      <w:r w:rsidRPr="00C830AB">
        <w:t>of</w:t>
      </w:r>
      <w:r w:rsidRPr="00C830AB">
        <w:rPr>
          <w:spacing w:val="-7"/>
        </w:rPr>
        <w:t xml:space="preserve"> </w:t>
      </w:r>
      <w:r w:rsidRPr="00C830AB">
        <w:t>this</w:t>
      </w:r>
      <w:r w:rsidRPr="00C830AB">
        <w:rPr>
          <w:spacing w:val="-7"/>
        </w:rPr>
        <w:t xml:space="preserve"> </w:t>
      </w:r>
      <w:r w:rsidRPr="00C830AB">
        <w:t>Act,</w:t>
      </w:r>
      <w:r w:rsidRPr="00C830AB">
        <w:rPr>
          <w:spacing w:val="-7"/>
        </w:rPr>
        <w:t xml:space="preserve"> </w:t>
      </w:r>
      <w:r w:rsidRPr="00C830AB">
        <w:t>so</w:t>
      </w:r>
      <w:r w:rsidRPr="00C830AB">
        <w:rPr>
          <w:spacing w:val="-7"/>
        </w:rPr>
        <w:t xml:space="preserve"> </w:t>
      </w:r>
      <w:r w:rsidRPr="00C830AB">
        <w:t>far</w:t>
      </w:r>
      <w:r w:rsidRPr="00C830AB">
        <w:rPr>
          <w:spacing w:val="-7"/>
        </w:rPr>
        <w:t xml:space="preserve"> </w:t>
      </w:r>
      <w:r w:rsidRPr="00C830AB">
        <w:t>as</w:t>
      </w:r>
      <w:r w:rsidRPr="00C830AB">
        <w:rPr>
          <w:spacing w:val="-7"/>
        </w:rPr>
        <w:t xml:space="preserve"> </w:t>
      </w:r>
      <w:r w:rsidRPr="00C830AB">
        <w:t>relating</w:t>
      </w:r>
      <w:r w:rsidRPr="00C830AB">
        <w:rPr>
          <w:spacing w:val="-7"/>
        </w:rPr>
        <w:t xml:space="preserve"> </w:t>
      </w:r>
      <w:r w:rsidRPr="00C830AB">
        <w:t>to</w:t>
      </w:r>
      <w:r w:rsidRPr="00C830AB">
        <w:rPr>
          <w:spacing w:val="-7"/>
        </w:rPr>
        <w:t xml:space="preserve"> </w:t>
      </w:r>
      <w:r w:rsidRPr="00C830AB">
        <w:t>age</w:t>
      </w:r>
      <w:r w:rsidRPr="00C830AB">
        <w:rPr>
          <w:spacing w:val="-7"/>
        </w:rPr>
        <w:t xml:space="preserve"> </w:t>
      </w:r>
      <w:r w:rsidRPr="00C830AB">
        <w:t>or</w:t>
      </w:r>
      <w:r w:rsidRPr="00C830AB">
        <w:rPr>
          <w:spacing w:val="-7"/>
        </w:rPr>
        <w:t xml:space="preserve"> </w:t>
      </w:r>
      <w:r w:rsidRPr="00C830AB">
        <w:t>disability,</w:t>
      </w:r>
      <w:r w:rsidRPr="00C830AB">
        <w:rPr>
          <w:spacing w:val="-7"/>
        </w:rPr>
        <w:t xml:space="preserve"> </w:t>
      </w:r>
      <w:r w:rsidRPr="00C830AB">
        <w:t>does</w:t>
      </w:r>
      <w:r w:rsidRPr="00C830AB">
        <w:rPr>
          <w:spacing w:val="-7"/>
        </w:rPr>
        <w:t xml:space="preserve"> </w:t>
      </w:r>
      <w:r w:rsidRPr="00C830AB">
        <w:t>not</w:t>
      </w:r>
      <w:r w:rsidRPr="00C830AB">
        <w:rPr>
          <w:spacing w:val="-7"/>
        </w:rPr>
        <w:t xml:space="preserve"> </w:t>
      </w:r>
      <w:r w:rsidRPr="00C830AB">
        <w:t>apply</w:t>
      </w:r>
      <w:r w:rsidRPr="00C830AB">
        <w:rPr>
          <w:spacing w:val="-7"/>
        </w:rPr>
        <w:t xml:space="preserve"> </w:t>
      </w:r>
      <w:r w:rsidRPr="00C830AB">
        <w:t>to service in the armed forces; and section 55, so far as relating to disability, does not apply to work experience in the armed forces.”</w:t>
      </w:r>
    </w:p>
    <w:p w14:paraId="7EAD7064" w14:textId="77777777" w:rsidR="00E24FDB" w:rsidRPr="00C830AB" w:rsidRDefault="00E24FDB" w:rsidP="009A02E2">
      <w:pPr>
        <w:tabs>
          <w:tab w:val="left" w:pos="820"/>
        </w:tabs>
        <w:spacing w:before="1"/>
      </w:pPr>
    </w:p>
    <w:p w14:paraId="5EBDB239" w14:textId="4BEDEA5C"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Again, these provisions give rise to potential issues in the ET proceedings between the Claimant and the Interested Party.  The Claimant has brought proceedings against the Interested Party in the ET alleging disability discrimination. As alluded to already, the Interested Party is arguing in those proceedings (amongst other things) that because the Claimant’s service complaint was decided to be inadmissible, and the SCOAF decided not to review that decision because the application to do so was made out of time, the</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Claimant</w:t>
      </w:r>
      <w:r w:rsidRPr="00C830AB">
        <w:rPr>
          <w:rFonts w:ascii="Times New Roman" w:hAnsi="Times New Roman" w:cs="Times New Roman"/>
          <w:spacing w:val="-8"/>
          <w:sz w:val="24"/>
          <w:szCs w:val="24"/>
        </w:rPr>
        <w:t xml:space="preserve"> is not entitled to bring </w:t>
      </w:r>
      <w:r w:rsidR="00D71970">
        <w:rPr>
          <w:rFonts w:ascii="Times New Roman" w:hAnsi="Times New Roman" w:cs="Times New Roman"/>
          <w:spacing w:val="-8"/>
          <w:sz w:val="24"/>
          <w:szCs w:val="24"/>
        </w:rPr>
        <w:t>his</w:t>
      </w:r>
      <w:r w:rsidRPr="00C830AB">
        <w:rPr>
          <w:rFonts w:ascii="Times New Roman" w:hAnsi="Times New Roman" w:cs="Times New Roman"/>
          <w:spacing w:val="-8"/>
          <w:sz w:val="24"/>
          <w:szCs w:val="24"/>
        </w:rPr>
        <w:t xml:space="preserve"> claim in the </w:t>
      </w:r>
      <w:r w:rsidRPr="00C830AB">
        <w:rPr>
          <w:rFonts w:ascii="Times New Roman" w:hAnsi="Times New Roman" w:cs="Times New Roman"/>
          <w:sz w:val="24"/>
          <w:szCs w:val="24"/>
        </w:rPr>
        <w:t xml:space="preserve">ET by virtue of section 121 of the EA 2010.  However, the Interested Party is also advancing an argument that the jurisdiction of the ET is excluded in any event by reason of paragraph 4 of Schedule 9 to the EA </w:t>
      </w:r>
      <w:proofErr w:type="gramStart"/>
      <w:r w:rsidRPr="00C830AB">
        <w:rPr>
          <w:rFonts w:ascii="Times New Roman" w:hAnsi="Times New Roman" w:cs="Times New Roman"/>
          <w:sz w:val="24"/>
          <w:szCs w:val="24"/>
        </w:rPr>
        <w:t>2010,  and</w:t>
      </w:r>
      <w:proofErr w:type="gramEnd"/>
      <w:r w:rsidRPr="00C830AB">
        <w:rPr>
          <w:rFonts w:ascii="Times New Roman" w:hAnsi="Times New Roman" w:cs="Times New Roman"/>
          <w:sz w:val="24"/>
          <w:szCs w:val="24"/>
        </w:rPr>
        <w:t xml:space="preserve"> the provisions relating to the exclusion of disability discrimination claims against the Armed Forces in the circumstances specified.  The Claimant is opposing both those arguments in the ET proceedings.  In respect of the latter argument, the Claimant is placing reliance on an ET decision in the case of </w:t>
      </w:r>
      <w:r w:rsidRPr="00C830AB">
        <w:rPr>
          <w:rFonts w:ascii="Times New Roman" w:hAnsi="Times New Roman" w:cs="Times New Roman"/>
          <w:i/>
          <w:iCs/>
          <w:sz w:val="24"/>
          <w:szCs w:val="24"/>
        </w:rPr>
        <w:t>T v MOD</w:t>
      </w:r>
      <w:r w:rsidRPr="00C830AB">
        <w:rPr>
          <w:rFonts w:ascii="Times New Roman" w:hAnsi="Times New Roman" w:cs="Times New Roman"/>
          <w:sz w:val="24"/>
          <w:szCs w:val="24"/>
        </w:rPr>
        <w:t xml:space="preserve"> (ET 2201755/2021) which considers arguments that invoke the </w:t>
      </w:r>
      <w:r w:rsidRPr="00C830AB">
        <w:rPr>
          <w:rFonts w:ascii="Times New Roman" w:hAnsi="Times New Roman" w:cs="Times New Roman"/>
          <w:sz w:val="24"/>
          <w:szCs w:val="24"/>
          <w:u w:val="single"/>
        </w:rPr>
        <w:t>Human Rights Act 1998</w:t>
      </w:r>
      <w:r w:rsidRPr="00C830AB">
        <w:rPr>
          <w:rFonts w:ascii="Times New Roman" w:hAnsi="Times New Roman" w:cs="Times New Roman"/>
          <w:sz w:val="24"/>
          <w:szCs w:val="24"/>
        </w:rPr>
        <w:t xml:space="preserve">.  </w:t>
      </w:r>
    </w:p>
    <w:p w14:paraId="2E6B2553"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5F83BB37"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The Claimant is no longer pursuing any arguments based on the </w:t>
      </w:r>
      <w:r w:rsidRPr="00C830AB">
        <w:rPr>
          <w:rFonts w:ascii="Times New Roman" w:hAnsi="Times New Roman" w:cs="Times New Roman"/>
          <w:sz w:val="24"/>
          <w:szCs w:val="24"/>
          <w:u w:val="single"/>
        </w:rPr>
        <w:t>Human Rights Act</w:t>
      </w:r>
      <w:r w:rsidRPr="00C830AB">
        <w:rPr>
          <w:rFonts w:ascii="Times New Roman" w:hAnsi="Times New Roman" w:cs="Times New Roman"/>
          <w:sz w:val="24"/>
          <w:szCs w:val="24"/>
        </w:rPr>
        <w:t xml:space="preserve"> </w:t>
      </w:r>
      <w:r w:rsidRPr="00D71970">
        <w:rPr>
          <w:rFonts w:ascii="Times New Roman" w:hAnsi="Times New Roman" w:cs="Times New Roman"/>
          <w:sz w:val="24"/>
          <w:szCs w:val="24"/>
          <w:u w:val="single"/>
        </w:rPr>
        <w:t>1998</w:t>
      </w:r>
      <w:r w:rsidRPr="00C830AB">
        <w:rPr>
          <w:rFonts w:ascii="Times New Roman" w:hAnsi="Times New Roman" w:cs="Times New Roman"/>
          <w:sz w:val="24"/>
          <w:szCs w:val="24"/>
        </w:rPr>
        <w:t xml:space="preserve"> in respect of this claim, and both of those arguments are matters which are being considered by the ET which do not arise for determination in this claim. </w:t>
      </w:r>
    </w:p>
    <w:p w14:paraId="5BB2138E" w14:textId="77777777" w:rsidR="00E24FDB" w:rsidRPr="00C830AB" w:rsidRDefault="00E24FDB" w:rsidP="009A02E2">
      <w:pPr>
        <w:pStyle w:val="ListParagraph"/>
        <w:tabs>
          <w:tab w:val="left" w:pos="820"/>
        </w:tabs>
        <w:spacing w:before="1"/>
        <w:ind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59A521F9" w14:textId="01449EE6" w:rsidR="00E24FDB" w:rsidRPr="00C830AB" w:rsidRDefault="00E24FDB" w:rsidP="008E34DD">
      <w:pPr>
        <w:pStyle w:val="ListParagraph"/>
        <w:numPr>
          <w:ilvl w:val="0"/>
          <w:numId w:val="17"/>
        </w:numPr>
        <w:tabs>
          <w:tab w:val="left" w:pos="820"/>
        </w:tabs>
        <w:ind w:right="117"/>
        <w:rPr>
          <w:rFonts w:ascii="Times New Roman" w:hAnsi="Times New Roman" w:cs="Times New Roman"/>
          <w:sz w:val="24"/>
          <w:szCs w:val="24"/>
        </w:rPr>
      </w:pPr>
      <w:r w:rsidRPr="00C830AB">
        <w:rPr>
          <w:rFonts w:ascii="Times New Roman" w:hAnsi="Times New Roman" w:cs="Times New Roman"/>
          <w:sz w:val="24"/>
          <w:szCs w:val="24"/>
        </w:rPr>
        <w:t xml:space="preserve">Finally, I note that the Claimant has also sought to rely on an ET judgment on a </w:t>
      </w:r>
      <w:r w:rsidRPr="00C830AB">
        <w:rPr>
          <w:rFonts w:ascii="Times New Roman" w:hAnsi="Times New Roman" w:cs="Times New Roman"/>
          <w:sz w:val="24"/>
          <w:szCs w:val="24"/>
        </w:rPr>
        <w:lastRenderedPageBreak/>
        <w:t xml:space="preserve">preliminary issue in the case of </w:t>
      </w:r>
      <w:r w:rsidRPr="00C830AB">
        <w:rPr>
          <w:rFonts w:ascii="Times New Roman" w:hAnsi="Times New Roman" w:cs="Times New Roman"/>
          <w:i/>
          <w:sz w:val="24"/>
          <w:szCs w:val="24"/>
        </w:rPr>
        <w:t>Miss B Lodge (1) and Mr S McVicker-</w:t>
      </w:r>
      <w:proofErr w:type="spellStart"/>
      <w:r w:rsidRPr="00C830AB">
        <w:rPr>
          <w:rFonts w:ascii="Times New Roman" w:hAnsi="Times New Roman" w:cs="Times New Roman"/>
          <w:i/>
          <w:sz w:val="24"/>
          <w:szCs w:val="24"/>
        </w:rPr>
        <w:t>Orringe</w:t>
      </w:r>
      <w:proofErr w:type="spellEnd"/>
      <w:r w:rsidRPr="00C830AB">
        <w:rPr>
          <w:rFonts w:ascii="Times New Roman" w:hAnsi="Times New Roman" w:cs="Times New Roman"/>
          <w:i/>
          <w:sz w:val="24"/>
          <w:szCs w:val="24"/>
        </w:rPr>
        <w:t xml:space="preserve"> (2) v MOD </w:t>
      </w:r>
      <w:r w:rsidRPr="00C830AB">
        <w:rPr>
          <w:rFonts w:ascii="Times New Roman" w:hAnsi="Times New Roman" w:cs="Times New Roman"/>
          <w:sz w:val="24"/>
          <w:szCs w:val="24"/>
        </w:rPr>
        <w:t>(2403443/2020 &amp; 2403445/2020 30/11/21) on time limits and a SCOAF assessment under Regulation 7.  In that case the ET stated (amongst other things):</w:t>
      </w:r>
    </w:p>
    <w:p w14:paraId="2F15432C" w14:textId="77777777" w:rsidR="00E24FDB" w:rsidRPr="00C830AB" w:rsidRDefault="00E24FDB" w:rsidP="009A02E2">
      <w:pPr>
        <w:pStyle w:val="BodyText"/>
        <w:ind w:left="1518" w:right="117"/>
        <w:rPr>
          <w:rFonts w:ascii="Times New Roman" w:hAnsi="Times New Roman" w:cs="Times New Roman"/>
          <w:sz w:val="24"/>
          <w:szCs w:val="24"/>
        </w:rPr>
      </w:pPr>
    </w:p>
    <w:p w14:paraId="5DBEB02C" w14:textId="1C91A77F" w:rsidR="00E24FDB" w:rsidRPr="00C830AB" w:rsidRDefault="00E24FDB" w:rsidP="009A02E2">
      <w:pPr>
        <w:pStyle w:val="BodyText"/>
        <w:ind w:left="1518" w:right="117"/>
        <w:jc w:val="both"/>
        <w:rPr>
          <w:rFonts w:ascii="Times New Roman" w:hAnsi="Times New Roman" w:cs="Times New Roman"/>
          <w:sz w:val="24"/>
          <w:szCs w:val="24"/>
        </w:rPr>
      </w:pPr>
      <w:r w:rsidRPr="00C830AB">
        <w:rPr>
          <w:rFonts w:ascii="Times New Roman" w:hAnsi="Times New Roman" w:cs="Times New Roman"/>
          <w:sz w:val="24"/>
          <w:szCs w:val="24"/>
        </w:rPr>
        <w:t>“91. However, I note that while the SCOAF considered the question of time limits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question</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just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equitable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extension,</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I</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not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satisfied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 xml:space="preserve">from the SCOAF written decision, that there had been a proper consideration of the application of time limits as they might be determined by a Tribunal under section 123 EQA and especially with regards to the just and equitable grounds advanced by the claimant. Accordingly, the SCOAF had accepted that the substance of these </w:t>
      </w:r>
      <w:proofErr w:type="spellStart"/>
      <w:r w:rsidRPr="00C830AB">
        <w:rPr>
          <w:rFonts w:ascii="Times New Roman" w:hAnsi="Times New Roman" w:cs="Times New Roman"/>
          <w:sz w:val="24"/>
          <w:szCs w:val="24"/>
        </w:rPr>
        <w:t>HoC</w:t>
      </w:r>
      <w:proofErr w:type="spellEnd"/>
      <w:r w:rsidRPr="00C830AB">
        <w:rPr>
          <w:rFonts w:ascii="Times New Roman" w:hAnsi="Times New Roman" w:cs="Times New Roman"/>
          <w:sz w:val="24"/>
          <w:szCs w:val="24"/>
        </w:rPr>
        <w:t xml:space="preserve"> were not the same as earlier service complaints and potentially they were admissible complaints. However, I find that it would be contrary to the legal principles discussed in the previous paragraph to prevent the claimants from having an admissible service complaint because of an insufficiently considered procedural defect.”</w:t>
      </w:r>
    </w:p>
    <w:p w14:paraId="777962DF" w14:textId="77777777" w:rsidR="00E24FDB" w:rsidRPr="00C830AB" w:rsidRDefault="00E24FDB" w:rsidP="009A02E2">
      <w:pPr>
        <w:pStyle w:val="ListParagraph"/>
        <w:tabs>
          <w:tab w:val="left" w:pos="820"/>
        </w:tabs>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06D2EB84" w14:textId="71F90448" w:rsidR="00E24FDB" w:rsidRPr="00C830AB" w:rsidRDefault="00E24FDB" w:rsidP="008E34DD">
      <w:pPr>
        <w:pStyle w:val="ListParagraph"/>
        <w:numPr>
          <w:ilvl w:val="0"/>
          <w:numId w:val="17"/>
        </w:numPr>
        <w:tabs>
          <w:tab w:val="left" w:pos="820"/>
        </w:tabs>
        <w:ind w:right="117"/>
        <w:rPr>
          <w:rFonts w:ascii="Times New Roman" w:hAnsi="Times New Roman" w:cs="Times New Roman"/>
          <w:sz w:val="24"/>
          <w:szCs w:val="24"/>
        </w:rPr>
      </w:pPr>
      <w:r w:rsidRPr="00C830AB">
        <w:rPr>
          <w:rFonts w:ascii="Times New Roman" w:hAnsi="Times New Roman" w:cs="Times New Roman"/>
          <w:sz w:val="24"/>
          <w:szCs w:val="24"/>
        </w:rPr>
        <w:t>In my judgment, that is a matter which relates to the question of the ET’s jur</w:t>
      </w:r>
      <w:r w:rsidR="00D71970">
        <w:rPr>
          <w:rFonts w:ascii="Times New Roman" w:hAnsi="Times New Roman" w:cs="Times New Roman"/>
          <w:sz w:val="24"/>
          <w:szCs w:val="24"/>
        </w:rPr>
        <w:t>is</w:t>
      </w:r>
      <w:r w:rsidRPr="00C830AB">
        <w:rPr>
          <w:rFonts w:ascii="Times New Roman" w:hAnsi="Times New Roman" w:cs="Times New Roman"/>
          <w:sz w:val="24"/>
          <w:szCs w:val="24"/>
        </w:rPr>
        <w:t>d</w:t>
      </w:r>
      <w:r w:rsidR="00D71970">
        <w:rPr>
          <w:rFonts w:ascii="Times New Roman" w:hAnsi="Times New Roman" w:cs="Times New Roman"/>
          <w:sz w:val="24"/>
          <w:szCs w:val="24"/>
        </w:rPr>
        <w:t>i</w:t>
      </w:r>
      <w:r w:rsidRPr="00C830AB">
        <w:rPr>
          <w:rFonts w:ascii="Times New Roman" w:hAnsi="Times New Roman" w:cs="Times New Roman"/>
          <w:sz w:val="24"/>
          <w:szCs w:val="24"/>
        </w:rPr>
        <w:t xml:space="preserve">ction and the approach it takes to that jurisdiction, rather than being a matter for determination by me in these proceedings.  It does not directly bear on the issues that are raised in this claim as to the lawfulness of the SCOAF’s decisions under challenge.  </w:t>
      </w:r>
    </w:p>
    <w:p w14:paraId="64A1ED02" w14:textId="77777777" w:rsidR="00E24FDB" w:rsidRPr="00C830AB" w:rsidRDefault="00E24FDB" w:rsidP="009A02E2">
      <w:pPr>
        <w:pStyle w:val="BodyText"/>
        <w:spacing w:before="138"/>
        <w:rPr>
          <w:rFonts w:ascii="Times New Roman" w:hAnsi="Times New Roman" w:cs="Times New Roman"/>
          <w:sz w:val="24"/>
          <w:szCs w:val="24"/>
        </w:rPr>
      </w:pPr>
    </w:p>
    <w:p w14:paraId="330E5F90" w14:textId="77777777" w:rsidR="00E24FDB" w:rsidRPr="00C830AB" w:rsidRDefault="00E24FDB" w:rsidP="009A02E2">
      <w:pPr>
        <w:pStyle w:val="Heading1"/>
        <w:numPr>
          <w:ilvl w:val="0"/>
          <w:numId w:val="4"/>
        </w:numPr>
        <w:tabs>
          <w:tab w:val="num" w:pos="720"/>
          <w:tab w:val="left" w:pos="819"/>
        </w:tabs>
        <w:ind w:left="819" w:hanging="359"/>
        <w:rPr>
          <w:rFonts w:ascii="Times New Roman" w:hAnsi="Times New Roman" w:cs="Times New Roman"/>
          <w:sz w:val="24"/>
          <w:szCs w:val="24"/>
        </w:rPr>
      </w:pPr>
      <w:r w:rsidRPr="00C830AB">
        <w:rPr>
          <w:rFonts w:ascii="Times New Roman" w:hAnsi="Times New Roman" w:cs="Times New Roman"/>
          <w:sz w:val="24"/>
          <w:szCs w:val="24"/>
        </w:rPr>
        <w:t>FACTUAL</w:t>
      </w:r>
      <w:r w:rsidRPr="00C830AB">
        <w:rPr>
          <w:rFonts w:ascii="Times New Roman" w:hAnsi="Times New Roman" w:cs="Times New Roman"/>
          <w:spacing w:val="-6"/>
          <w:sz w:val="24"/>
          <w:szCs w:val="24"/>
        </w:rPr>
        <w:t xml:space="preserve"> </w:t>
      </w:r>
      <w:r w:rsidRPr="00C830AB">
        <w:rPr>
          <w:rFonts w:ascii="Times New Roman" w:hAnsi="Times New Roman" w:cs="Times New Roman"/>
          <w:spacing w:val="-2"/>
          <w:sz w:val="24"/>
          <w:szCs w:val="24"/>
        </w:rPr>
        <w:t>BACKGROUND</w:t>
      </w:r>
    </w:p>
    <w:p w14:paraId="4974D820"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The Claimant has provided a detailed chronology of what he considers to be relevant events in </w:t>
      </w:r>
      <w:proofErr w:type="gramStart"/>
      <w:r w:rsidRPr="00C830AB">
        <w:rPr>
          <w:rFonts w:ascii="Times New Roman" w:hAnsi="Times New Roman" w:cs="Times New Roman"/>
          <w:sz w:val="24"/>
          <w:szCs w:val="24"/>
        </w:rPr>
        <w:t>a  pre</w:t>
      </w:r>
      <w:proofErr w:type="gramEnd"/>
      <w:r w:rsidRPr="00C830AB">
        <w:rPr>
          <w:rFonts w:ascii="Times New Roman" w:hAnsi="Times New Roman" w:cs="Times New Roman"/>
          <w:sz w:val="24"/>
          <w:szCs w:val="24"/>
        </w:rPr>
        <w:t>-action letter dated 19 September 2023, along with a witness statement. The Claimant’s analysis of the factual background is set out in more detail in the Claimant’s Statement of Facts and Grounds for this claim.</w:t>
      </w:r>
    </w:p>
    <w:p w14:paraId="22942209"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I agree with the Defendant’s observation that much of that narrative is more directly concerned with detail about the Claimant’s grievance against the Interested Party. Significant parts are controversial so far as the Interested Party is concerned. I do not consider it either necessary, </w:t>
      </w:r>
      <w:proofErr w:type="gramStart"/>
      <w:r w:rsidRPr="00C830AB">
        <w:rPr>
          <w:rFonts w:ascii="Times New Roman" w:hAnsi="Times New Roman" w:cs="Times New Roman"/>
          <w:sz w:val="24"/>
          <w:szCs w:val="24"/>
        </w:rPr>
        <w:t>nor</w:t>
      </w:r>
      <w:proofErr w:type="gramEnd"/>
      <w:r w:rsidRPr="00C830AB">
        <w:rPr>
          <w:rFonts w:ascii="Times New Roman" w:hAnsi="Times New Roman" w:cs="Times New Roman"/>
          <w:sz w:val="24"/>
          <w:szCs w:val="24"/>
        </w:rPr>
        <w:t xml:space="preserve"> indeed appropriate for me to go into, let alone attempt to resolve, points of factual contention that may exist relating to that underlying grievance. </w:t>
      </w:r>
    </w:p>
    <w:p w14:paraId="27EA8804"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In that spirit, I only provide a summary of the relevant background, taking account of the Claimant’s account of events, but without purporting to decide contentious issues between the Claimant and the Interested Party which are not necessary for dealing with this judicial review claim. </w:t>
      </w:r>
    </w:p>
    <w:p w14:paraId="6B70C5A3"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The Claimant was a soldier in the army, with the rank of Private, from 17 July 2017 until 3 October 2022. </w:t>
      </w:r>
    </w:p>
    <w:p w14:paraId="605AE34B"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The Claimant was diagnosed with HIV in December 2019.  He submits he is a disabled person in consequence of that diagnosis. </w:t>
      </w:r>
    </w:p>
    <w:p w14:paraId="19CE8F70" w14:textId="79263F68"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The Claimant relies upon an announcement made by the Interested Party in December 2021 (before the Claimant was medically discharged) that:</w:t>
      </w:r>
    </w:p>
    <w:p w14:paraId="24617157" w14:textId="77777777" w:rsidR="00E24FDB" w:rsidRPr="00C830AB" w:rsidRDefault="00E24FDB" w:rsidP="009A02E2">
      <w:pPr>
        <w:pStyle w:val="ListParagraph"/>
        <w:tabs>
          <w:tab w:val="left" w:pos="820"/>
        </w:tabs>
        <w:spacing w:before="138"/>
        <w:ind w:left="1440" w:right="779" w:firstLine="0"/>
        <w:rPr>
          <w:rFonts w:ascii="Times New Roman" w:hAnsi="Times New Roman" w:cs="Times New Roman"/>
          <w:sz w:val="24"/>
          <w:szCs w:val="24"/>
        </w:rPr>
      </w:pPr>
      <w:r w:rsidRPr="00C830AB">
        <w:rPr>
          <w:rFonts w:ascii="Times New Roman" w:hAnsi="Times New Roman" w:cs="Times New Roman"/>
          <w:sz w:val="24"/>
          <w:szCs w:val="24"/>
        </w:rPr>
        <w:t xml:space="preserve"> “</w:t>
      </w:r>
      <w:proofErr w:type="gramStart"/>
      <w:r w:rsidRPr="00C830AB">
        <w:rPr>
          <w:rFonts w:ascii="Times New Roman" w:hAnsi="Times New Roman" w:cs="Times New Roman"/>
          <w:sz w:val="24"/>
          <w:szCs w:val="24"/>
        </w:rPr>
        <w:t>serving</w:t>
      </w:r>
      <w:proofErr w:type="gramEnd"/>
      <w:r w:rsidRPr="00C830AB">
        <w:rPr>
          <w:rFonts w:ascii="Times New Roman" w:hAnsi="Times New Roman" w:cs="Times New Roman"/>
          <w:sz w:val="24"/>
          <w:szCs w:val="24"/>
        </w:rPr>
        <w:t xml:space="preserve"> personnel who have been diagnosed with HIV will continue to be supported to access suppressive treatment and will be recognised </w:t>
      </w:r>
      <w:r w:rsidRPr="00C830AB">
        <w:rPr>
          <w:rFonts w:ascii="Times New Roman" w:hAnsi="Times New Roman" w:cs="Times New Roman"/>
          <w:sz w:val="24"/>
          <w:szCs w:val="24"/>
        </w:rPr>
        <w:lastRenderedPageBreak/>
        <w:t xml:space="preserve">as fully fit for operations when there is no detectable virus in their blood tests”. </w:t>
      </w:r>
    </w:p>
    <w:p w14:paraId="4945CC2E" w14:textId="77777777" w:rsidR="00E24FDB" w:rsidRPr="00C830AB" w:rsidRDefault="00E24FDB" w:rsidP="009A02E2">
      <w:pPr>
        <w:pStyle w:val="ListParagraph"/>
        <w:tabs>
          <w:tab w:val="left" w:pos="820"/>
        </w:tabs>
        <w:spacing w:before="138"/>
        <w:ind w:left="820" w:right="119" w:firstLine="0"/>
        <w:rPr>
          <w:rFonts w:ascii="Times New Roman" w:hAnsi="Times New Roman" w:cs="Times New Roman"/>
          <w:sz w:val="24"/>
          <w:szCs w:val="24"/>
        </w:rPr>
      </w:pPr>
    </w:p>
    <w:p w14:paraId="15B6D5AF" w14:textId="77777777" w:rsidR="00E24FDB" w:rsidRPr="00C830AB" w:rsidRDefault="00E24FDB" w:rsidP="008E34DD">
      <w:pPr>
        <w:pStyle w:val="ListParagraph"/>
        <w:numPr>
          <w:ilvl w:val="0"/>
          <w:numId w:val="17"/>
        </w:numPr>
        <w:tabs>
          <w:tab w:val="left" w:pos="809"/>
        </w:tabs>
        <w:ind w:right="117"/>
        <w:rPr>
          <w:rFonts w:ascii="Times New Roman" w:hAnsi="Times New Roman" w:cs="Times New Roman"/>
          <w:sz w:val="24"/>
          <w:szCs w:val="24"/>
        </w:rPr>
      </w:pPr>
      <w:r w:rsidRPr="00C830AB">
        <w:rPr>
          <w:rFonts w:ascii="Times New Roman" w:hAnsi="Times New Roman" w:cs="Times New Roman"/>
          <w:sz w:val="24"/>
          <w:szCs w:val="24"/>
        </w:rPr>
        <w:t>On</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14</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April</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2022</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Dr</w:t>
      </w:r>
      <w:r w:rsidRPr="00C830AB">
        <w:rPr>
          <w:rFonts w:ascii="Times New Roman" w:hAnsi="Times New Roman" w:cs="Times New Roman"/>
          <w:spacing w:val="-8"/>
          <w:sz w:val="24"/>
          <w:szCs w:val="24"/>
        </w:rPr>
        <w:t xml:space="preserve"> </w:t>
      </w:r>
      <w:proofErr w:type="spellStart"/>
      <w:r w:rsidRPr="00C830AB">
        <w:rPr>
          <w:rFonts w:ascii="Times New Roman" w:hAnsi="Times New Roman" w:cs="Times New Roman"/>
          <w:sz w:val="24"/>
          <w:szCs w:val="24"/>
        </w:rPr>
        <w:t>Widdrington</w:t>
      </w:r>
      <w:proofErr w:type="spellEnd"/>
      <w:r w:rsidRPr="00C830AB">
        <w:rPr>
          <w:rFonts w:ascii="Times New Roman" w:hAnsi="Times New Roman" w:cs="Times New Roman"/>
          <w:sz w:val="24"/>
          <w:szCs w:val="24"/>
        </w:rPr>
        <w:t>,</w:t>
      </w:r>
      <w:r w:rsidRPr="00C830AB">
        <w:rPr>
          <w:rFonts w:ascii="Times New Roman" w:hAnsi="Times New Roman" w:cs="Times New Roman"/>
          <w:spacing w:val="-8"/>
          <w:sz w:val="24"/>
          <w:szCs w:val="24"/>
        </w:rPr>
        <w:t xml:space="preserve"> an </w:t>
      </w:r>
      <w:r w:rsidRPr="00C830AB">
        <w:rPr>
          <w:rFonts w:ascii="Times New Roman" w:hAnsi="Times New Roman" w:cs="Times New Roman"/>
          <w:sz w:val="24"/>
          <w:szCs w:val="24"/>
        </w:rPr>
        <w:t>NHS</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Consultant</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Infectious</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Diseases</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treating</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the Claimant, expressed a view as to the state of Claimant’s medical condition at that point in time as follows:</w:t>
      </w:r>
    </w:p>
    <w:p w14:paraId="22304D4E" w14:textId="77777777" w:rsidR="00E24FDB" w:rsidRPr="00C830AB" w:rsidRDefault="00E24FDB" w:rsidP="009A02E2">
      <w:pPr>
        <w:pStyle w:val="ListParagraph"/>
        <w:tabs>
          <w:tab w:val="left" w:pos="809"/>
        </w:tabs>
        <w:ind w:left="1440" w:firstLine="0"/>
        <w:rPr>
          <w:rFonts w:ascii="Times New Roman" w:hAnsi="Times New Roman" w:cs="Times New Roman"/>
          <w:iCs/>
          <w:sz w:val="24"/>
          <w:szCs w:val="24"/>
        </w:rPr>
      </w:pPr>
    </w:p>
    <w:p w14:paraId="32125BB0" w14:textId="77777777" w:rsidR="00E24FDB" w:rsidRPr="00C830AB" w:rsidRDefault="00E24FDB" w:rsidP="009A02E2">
      <w:pPr>
        <w:pStyle w:val="ListParagraph"/>
        <w:tabs>
          <w:tab w:val="left" w:pos="809"/>
        </w:tabs>
        <w:ind w:left="1440" w:firstLine="0"/>
        <w:rPr>
          <w:rFonts w:ascii="Times New Roman" w:hAnsi="Times New Roman" w:cs="Times New Roman"/>
          <w:iCs/>
          <w:sz w:val="24"/>
          <w:szCs w:val="24"/>
        </w:rPr>
      </w:pPr>
      <w:r w:rsidRPr="00C830AB">
        <w:rPr>
          <w:rFonts w:ascii="Times New Roman" w:hAnsi="Times New Roman" w:cs="Times New Roman"/>
          <w:iCs/>
          <w:sz w:val="24"/>
          <w:szCs w:val="24"/>
        </w:rPr>
        <w:t>“Regarding the HIV infection, the HIV viral load is persistently undetectable, this</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means</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that</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you</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are</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not</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at</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risk</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of</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spreading</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HIV</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to</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others.</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The</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CD4</w:t>
      </w:r>
      <w:r w:rsidRPr="00C830AB">
        <w:rPr>
          <w:rFonts w:ascii="Times New Roman" w:hAnsi="Times New Roman" w:cs="Times New Roman"/>
          <w:iCs/>
          <w:spacing w:val="-7"/>
          <w:sz w:val="24"/>
          <w:szCs w:val="24"/>
        </w:rPr>
        <w:t xml:space="preserve"> </w:t>
      </w:r>
      <w:r w:rsidRPr="00C830AB">
        <w:rPr>
          <w:rFonts w:ascii="Times New Roman" w:hAnsi="Times New Roman" w:cs="Times New Roman"/>
          <w:iCs/>
          <w:sz w:val="24"/>
          <w:szCs w:val="24"/>
        </w:rPr>
        <w:t xml:space="preserve">count remains below 200 but this is slowly improving over time and your immune system appears healthy.” </w:t>
      </w:r>
    </w:p>
    <w:p w14:paraId="05544B2E" w14:textId="77777777" w:rsidR="00E24FDB" w:rsidRPr="00C830AB" w:rsidRDefault="00E24FDB" w:rsidP="009A02E2">
      <w:pPr>
        <w:pStyle w:val="ListParagraph"/>
        <w:tabs>
          <w:tab w:val="left" w:pos="820"/>
        </w:tabs>
        <w:spacing w:before="95"/>
        <w:ind w:left="820" w:right="116"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0DD4C7D4" w14:textId="77777777" w:rsidR="00E24FDB" w:rsidRPr="00C830AB" w:rsidRDefault="00E24FDB" w:rsidP="008E34DD">
      <w:pPr>
        <w:pStyle w:val="ListParagraph"/>
        <w:numPr>
          <w:ilvl w:val="0"/>
          <w:numId w:val="17"/>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JSP950 Medical Policy Leaflet 6-7-7 Joint Service Manual of Medical Fitness (v2.4), page 5-N-2 (on which the Interested Party relies) explains the potential significance of a CD4 count for persons diagnosed with HIV:</w:t>
      </w:r>
    </w:p>
    <w:p w14:paraId="3702D89F" w14:textId="77777777" w:rsidR="00E24FDB" w:rsidRPr="00C830AB" w:rsidRDefault="00E24FDB" w:rsidP="009A02E2">
      <w:pPr>
        <w:pStyle w:val="ListParagraph"/>
        <w:tabs>
          <w:tab w:val="left" w:pos="820"/>
        </w:tabs>
        <w:spacing w:before="95"/>
        <w:ind w:left="1440" w:right="116" w:hanging="620"/>
        <w:rPr>
          <w:rFonts w:ascii="Times New Roman" w:hAnsi="Times New Roman" w:cs="Times New Roman"/>
          <w:sz w:val="24"/>
          <w:szCs w:val="24"/>
        </w:rPr>
      </w:pPr>
      <w:r w:rsidRPr="00C830AB">
        <w:rPr>
          <w:rFonts w:ascii="Times New Roman" w:hAnsi="Times New Roman" w:cs="Times New Roman"/>
          <w:sz w:val="24"/>
          <w:szCs w:val="24"/>
        </w:rPr>
        <w:tab/>
        <w:t>“d.</w:t>
      </w:r>
      <w:r w:rsidRPr="00C830AB">
        <w:rPr>
          <w:rFonts w:ascii="Times New Roman" w:hAnsi="Times New Roman" w:cs="Times New Roman"/>
          <w:sz w:val="24"/>
          <w:szCs w:val="24"/>
        </w:rPr>
        <w:tab/>
        <w:t>Personnel known to be infected with HIV who are on Antiretroviral Therapy (ART) may be graded to MLD subject to approval by the Military Advisor in Sexual Health and HIV Medicine (MASHH), if they:</w:t>
      </w:r>
    </w:p>
    <w:p w14:paraId="033D25FB" w14:textId="77777777" w:rsidR="00E24FDB" w:rsidRPr="00C830AB" w:rsidRDefault="00E24FDB" w:rsidP="009A02E2">
      <w:pPr>
        <w:pStyle w:val="ListParagraph"/>
        <w:numPr>
          <w:ilvl w:val="0"/>
          <w:numId w:val="14"/>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 xml:space="preserve">Have been on a stable treatment </w:t>
      </w:r>
      <w:proofErr w:type="gramStart"/>
      <w:r w:rsidRPr="00C830AB">
        <w:rPr>
          <w:rFonts w:ascii="Times New Roman" w:hAnsi="Times New Roman" w:cs="Times New Roman"/>
          <w:sz w:val="24"/>
          <w:szCs w:val="24"/>
        </w:rPr>
        <w:t>regimen</w:t>
      </w:r>
      <w:proofErr w:type="gramEnd"/>
    </w:p>
    <w:p w14:paraId="5BE6B5F8" w14:textId="0B661987" w:rsidR="00E24FDB" w:rsidRPr="00C830AB" w:rsidRDefault="00D71970" w:rsidP="009A02E2">
      <w:pPr>
        <w:tabs>
          <w:tab w:val="left" w:pos="820"/>
        </w:tabs>
        <w:spacing w:before="95"/>
        <w:ind w:left="1440" w:right="116"/>
        <w:rPr>
          <w:b/>
          <w:bCs/>
        </w:rPr>
      </w:pPr>
      <w:r>
        <w:rPr>
          <w:b/>
          <w:bCs/>
        </w:rPr>
        <w:t>a</w:t>
      </w:r>
      <w:r w:rsidR="00E24FDB" w:rsidRPr="00C830AB">
        <w:rPr>
          <w:b/>
          <w:bCs/>
        </w:rPr>
        <w:t>nd for at least six months have consistently maintained:</w:t>
      </w:r>
    </w:p>
    <w:p w14:paraId="3CDFD63E" w14:textId="77777777" w:rsidR="00E24FDB" w:rsidRPr="00C830AB" w:rsidRDefault="00E24FDB" w:rsidP="009A02E2">
      <w:pPr>
        <w:pStyle w:val="ListParagraph"/>
        <w:numPr>
          <w:ilvl w:val="0"/>
          <w:numId w:val="15"/>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A CD4 count of at least 200 cells/</w:t>
      </w:r>
      <w:proofErr w:type="gramStart"/>
      <w:r w:rsidRPr="00C830AB">
        <w:rPr>
          <w:rFonts w:ascii="Times New Roman" w:hAnsi="Times New Roman" w:cs="Times New Roman"/>
          <w:sz w:val="24"/>
          <w:szCs w:val="24"/>
        </w:rPr>
        <w:t>mm</w:t>
      </w:r>
      <w:r w:rsidRPr="00C830AB">
        <w:rPr>
          <w:rFonts w:ascii="Times New Roman" w:hAnsi="Times New Roman" w:cs="Times New Roman"/>
          <w:sz w:val="24"/>
          <w:szCs w:val="24"/>
          <w:vertAlign w:val="superscript"/>
        </w:rPr>
        <w:t>3</w:t>
      </w:r>
      <w:proofErr w:type="gramEnd"/>
    </w:p>
    <w:p w14:paraId="722AEF9F" w14:textId="77777777" w:rsidR="00E24FDB" w:rsidRPr="00C830AB" w:rsidRDefault="00E24FDB" w:rsidP="009A02E2">
      <w:pPr>
        <w:pStyle w:val="ListParagraph"/>
        <w:numPr>
          <w:ilvl w:val="0"/>
          <w:numId w:val="15"/>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A viral load below 50 copies per ml.</w:t>
      </w:r>
    </w:p>
    <w:p w14:paraId="7437A490" w14:textId="77777777" w:rsidR="00E24FDB" w:rsidRPr="00C830AB" w:rsidRDefault="00E24FDB" w:rsidP="009A02E2">
      <w:pPr>
        <w:tabs>
          <w:tab w:val="left" w:pos="820"/>
        </w:tabs>
        <w:spacing w:before="95"/>
        <w:ind w:left="1440" w:right="116"/>
      </w:pPr>
      <w:r w:rsidRPr="00C830AB">
        <w:t>e. Personnel infected with HIV who do not adhere to medication or follow-up requirements, have abnormal CD4 counts, viral loads over 50 copies per ml (repeated tests 4 weeks apart) or any signs of HIV related illnesses or current infections must be graded no higher than MND.”</w:t>
      </w:r>
    </w:p>
    <w:p w14:paraId="15B1279E" w14:textId="77777777" w:rsidR="00E24FDB" w:rsidRPr="00C830AB" w:rsidRDefault="00E24FDB" w:rsidP="009A02E2">
      <w:pPr>
        <w:tabs>
          <w:tab w:val="left" w:pos="820"/>
        </w:tabs>
        <w:spacing w:before="95"/>
        <w:ind w:right="116"/>
      </w:pPr>
    </w:p>
    <w:p w14:paraId="4849A340" w14:textId="77777777" w:rsidR="00E24FDB" w:rsidRPr="00C830AB" w:rsidRDefault="00E24FDB" w:rsidP="008E34DD">
      <w:pPr>
        <w:pStyle w:val="ListParagraph"/>
        <w:numPr>
          <w:ilvl w:val="0"/>
          <w:numId w:val="17"/>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The terms ‘MLD’ and ‘MND’ therefore refer to concepts of being medically limited for deployment or medically non-deployable respectively.</w:t>
      </w:r>
    </w:p>
    <w:p w14:paraId="4C08B9B2" w14:textId="66EDFFFF" w:rsidR="00E24FDB" w:rsidRPr="00C830AB" w:rsidRDefault="00E24FDB" w:rsidP="008E34DD">
      <w:pPr>
        <w:pStyle w:val="ListParagraph"/>
        <w:numPr>
          <w:ilvl w:val="0"/>
          <w:numId w:val="17"/>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The Claimant</w:t>
      </w:r>
      <w:r w:rsidR="00D71970">
        <w:rPr>
          <w:rFonts w:ascii="Times New Roman" w:hAnsi="Times New Roman" w:cs="Times New Roman"/>
          <w:sz w:val="24"/>
          <w:szCs w:val="24"/>
        </w:rPr>
        <w:t xml:space="preserve"> </w:t>
      </w:r>
      <w:r w:rsidRPr="00C830AB">
        <w:rPr>
          <w:rFonts w:ascii="Times New Roman" w:hAnsi="Times New Roman" w:cs="Times New Roman"/>
          <w:sz w:val="24"/>
          <w:szCs w:val="24"/>
        </w:rPr>
        <w:t xml:space="preserve">was the subject of a fitness for work assessment by a Unit Medical Officer in September 2021, confirmed on 4 May 2022. Under that assessment he was permanently graded as “MND Perm”, so treating the Claimant as being permanently medically non-deployable.   This assessment was considered in light of his regiment being placed on high readiness and required for deployment abroad.  The conclusion following on from that assessment was that the Claimant could no longer be </w:t>
      </w:r>
      <w:proofErr w:type="gramStart"/>
      <w:r w:rsidRPr="00C830AB">
        <w:rPr>
          <w:rFonts w:ascii="Times New Roman" w:hAnsi="Times New Roman" w:cs="Times New Roman"/>
          <w:sz w:val="24"/>
          <w:szCs w:val="24"/>
        </w:rPr>
        <w:t>employed</w:t>
      </w:r>
      <w:proofErr w:type="gramEnd"/>
      <w:r w:rsidRPr="00C830AB">
        <w:rPr>
          <w:rFonts w:ascii="Times New Roman" w:hAnsi="Times New Roman" w:cs="Times New Roman"/>
          <w:sz w:val="24"/>
          <w:szCs w:val="24"/>
        </w:rPr>
        <w:t xml:space="preserve"> and the Claimant’s discharge was authorised on 18 May 2022.  The Claimant was notified of his discharge by letter of 24 May</w:t>
      </w:r>
      <w:r w:rsidRPr="00C830AB">
        <w:rPr>
          <w:rFonts w:ascii="Times New Roman" w:hAnsi="Times New Roman" w:cs="Times New Roman"/>
          <w:spacing w:val="-8"/>
          <w:sz w:val="24"/>
          <w:szCs w:val="24"/>
        </w:rPr>
        <w:t xml:space="preserve"> </w:t>
      </w:r>
      <w:r w:rsidRPr="00C830AB">
        <w:rPr>
          <w:rFonts w:ascii="Times New Roman" w:hAnsi="Times New Roman" w:cs="Times New Roman"/>
          <w:sz w:val="24"/>
          <w:szCs w:val="24"/>
        </w:rPr>
        <w:t xml:space="preserve">2022. </w:t>
      </w:r>
    </w:p>
    <w:p w14:paraId="05C8CDA4" w14:textId="77777777" w:rsidR="00E24FDB" w:rsidRPr="00C830AB" w:rsidRDefault="00E24FDB" w:rsidP="009A02E2">
      <w:pPr>
        <w:pStyle w:val="ListParagraph"/>
        <w:tabs>
          <w:tab w:val="left" w:pos="820"/>
        </w:tabs>
        <w:spacing w:before="95"/>
        <w:ind w:left="820" w:right="116"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0385B63E" w14:textId="77777777" w:rsidR="00E24FDB" w:rsidRPr="00C830AB" w:rsidRDefault="00E24FDB" w:rsidP="008E34DD">
      <w:pPr>
        <w:pStyle w:val="ListParagraph"/>
        <w:numPr>
          <w:ilvl w:val="0"/>
          <w:numId w:val="17"/>
        </w:numPr>
        <w:tabs>
          <w:tab w:val="left" w:pos="820"/>
        </w:tabs>
        <w:spacing w:before="95"/>
        <w:ind w:right="116"/>
        <w:rPr>
          <w:rFonts w:ascii="Times New Roman" w:hAnsi="Times New Roman" w:cs="Times New Roman"/>
          <w:sz w:val="24"/>
          <w:szCs w:val="24"/>
        </w:rPr>
      </w:pPr>
      <w:r w:rsidRPr="00C830AB">
        <w:rPr>
          <w:rFonts w:ascii="Times New Roman" w:hAnsi="Times New Roman" w:cs="Times New Roman"/>
          <w:sz w:val="24"/>
          <w:szCs w:val="24"/>
        </w:rPr>
        <w:t xml:space="preserve">The Claimant internally appealed against that fitness for work assessment on 7 June 2022. In her oral submissions at the hearing, Ms Braganza drew attention to the fact that the Claimant’s email submitting the internal appeal stated (in paragraph 4): </w:t>
      </w:r>
    </w:p>
    <w:p w14:paraId="3BAD1BB3" w14:textId="77777777" w:rsidR="00E24FDB" w:rsidRPr="00C830AB" w:rsidRDefault="00E24FDB" w:rsidP="009A02E2">
      <w:pPr>
        <w:pStyle w:val="ListParagraph"/>
        <w:rPr>
          <w:rFonts w:ascii="Times New Roman" w:hAnsi="Times New Roman" w:cs="Times New Roman"/>
          <w:sz w:val="24"/>
          <w:szCs w:val="24"/>
        </w:rPr>
      </w:pPr>
    </w:p>
    <w:p w14:paraId="7B0C7E30" w14:textId="5382BD11" w:rsidR="00E24FDB" w:rsidRPr="00C830AB" w:rsidRDefault="00E24FDB" w:rsidP="009A02E2">
      <w:pPr>
        <w:pStyle w:val="ListParagraph"/>
        <w:tabs>
          <w:tab w:val="left" w:pos="820"/>
        </w:tabs>
        <w:spacing w:before="95"/>
        <w:ind w:left="1440" w:right="116" w:firstLine="0"/>
        <w:rPr>
          <w:rFonts w:ascii="Times New Roman" w:hAnsi="Times New Roman" w:cs="Times New Roman"/>
          <w:sz w:val="24"/>
          <w:szCs w:val="24"/>
        </w:rPr>
      </w:pPr>
      <w:r w:rsidRPr="00C830AB">
        <w:rPr>
          <w:rFonts w:ascii="Times New Roman" w:hAnsi="Times New Roman" w:cs="Times New Roman"/>
          <w:sz w:val="24"/>
          <w:szCs w:val="24"/>
        </w:rPr>
        <w:t xml:space="preserve"> “I feel the decision to upgrade my deployment status is a direct medical discrimination.  Physically, psychologically, </w:t>
      </w:r>
      <w:proofErr w:type="gramStart"/>
      <w:r w:rsidRPr="00C830AB">
        <w:rPr>
          <w:rFonts w:ascii="Times New Roman" w:hAnsi="Times New Roman" w:cs="Times New Roman"/>
          <w:sz w:val="24"/>
          <w:szCs w:val="24"/>
        </w:rPr>
        <w:t>emotionally</w:t>
      </w:r>
      <w:proofErr w:type="gramEnd"/>
      <w:r w:rsidRPr="00C830AB">
        <w:rPr>
          <w:rFonts w:ascii="Times New Roman" w:hAnsi="Times New Roman" w:cs="Times New Roman"/>
          <w:sz w:val="24"/>
          <w:szCs w:val="24"/>
        </w:rPr>
        <w:t xml:space="preserve"> or whatsoever, I am not limited to any activity that a solider is required. (ref appendix 9). As a </w:t>
      </w:r>
      <w:r w:rsidRPr="00C830AB">
        <w:rPr>
          <w:rFonts w:ascii="Times New Roman" w:hAnsi="Times New Roman" w:cs="Times New Roman"/>
          <w:sz w:val="24"/>
          <w:szCs w:val="24"/>
        </w:rPr>
        <w:lastRenderedPageBreak/>
        <w:t>soldier, I have passed any fitness test as required by every solider.”</w:t>
      </w:r>
    </w:p>
    <w:p w14:paraId="2951E150" w14:textId="77777777" w:rsidR="00E24FDB" w:rsidRPr="00C830AB" w:rsidRDefault="00E24FDB" w:rsidP="009A02E2">
      <w:pPr>
        <w:pStyle w:val="ListParagraph"/>
        <w:rPr>
          <w:rFonts w:ascii="Times New Roman" w:hAnsi="Times New Roman" w:cs="Times New Roman"/>
          <w:sz w:val="24"/>
          <w:szCs w:val="24"/>
        </w:rPr>
      </w:pPr>
    </w:p>
    <w:p w14:paraId="453D86DD" w14:textId="77777777" w:rsidR="00E24FDB" w:rsidRPr="00C830AB" w:rsidRDefault="00E24FDB" w:rsidP="008E34DD">
      <w:pPr>
        <w:pStyle w:val="ListParagraph"/>
        <w:numPr>
          <w:ilvl w:val="0"/>
          <w:numId w:val="17"/>
        </w:numPr>
        <w:tabs>
          <w:tab w:val="left" w:pos="820"/>
        </w:tabs>
        <w:ind w:right="117"/>
        <w:rPr>
          <w:rFonts w:ascii="Times New Roman" w:hAnsi="Times New Roman" w:cs="Times New Roman"/>
          <w:b/>
          <w:sz w:val="24"/>
          <w:szCs w:val="24"/>
        </w:rPr>
      </w:pPr>
      <w:r w:rsidRPr="00C830AB">
        <w:rPr>
          <w:rFonts w:ascii="Times New Roman" w:hAnsi="Times New Roman" w:cs="Times New Roman"/>
          <w:sz w:val="24"/>
          <w:szCs w:val="24"/>
        </w:rPr>
        <w:t xml:space="preserve">The Claimant also sought to rely upon a further announcement made by </w:t>
      </w:r>
      <w:proofErr w:type="gramStart"/>
      <w:r w:rsidRPr="00C830AB">
        <w:rPr>
          <w:rFonts w:ascii="Times New Roman" w:hAnsi="Times New Roman" w:cs="Times New Roman"/>
          <w:sz w:val="24"/>
          <w:szCs w:val="24"/>
        </w:rPr>
        <w:t>the  Interested</w:t>
      </w:r>
      <w:proofErr w:type="gramEnd"/>
      <w:r w:rsidRPr="00C830AB">
        <w:rPr>
          <w:rFonts w:ascii="Times New Roman" w:hAnsi="Times New Roman" w:cs="Times New Roman"/>
          <w:sz w:val="24"/>
          <w:szCs w:val="24"/>
        </w:rPr>
        <w:t xml:space="preserve"> Party on 21</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June</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2022, before his discharge took effect to the following effect:</w:t>
      </w:r>
    </w:p>
    <w:p w14:paraId="646BAD17" w14:textId="77777777" w:rsidR="00E24FDB" w:rsidRPr="00C830AB" w:rsidRDefault="00E24FDB" w:rsidP="009A02E2">
      <w:pPr>
        <w:ind w:left="1093" w:right="244"/>
        <w:jc w:val="both"/>
        <w:rPr>
          <w:iCs/>
        </w:rPr>
      </w:pPr>
    </w:p>
    <w:p w14:paraId="11DC3F46" w14:textId="77777777" w:rsidR="00E24FDB" w:rsidRPr="00C830AB" w:rsidRDefault="00E24FDB" w:rsidP="009A02E2">
      <w:pPr>
        <w:ind w:left="1093" w:right="244"/>
        <w:jc w:val="both"/>
        <w:rPr>
          <w:iCs/>
        </w:rPr>
      </w:pPr>
      <w:r w:rsidRPr="00C830AB">
        <w:rPr>
          <w:iCs/>
        </w:rPr>
        <w:t>“From today, serving personnel who are taking suppressive treatment for HIV</w:t>
      </w:r>
      <w:r w:rsidRPr="00C830AB">
        <w:rPr>
          <w:iCs/>
          <w:spacing w:val="40"/>
        </w:rPr>
        <w:t xml:space="preserve"> </w:t>
      </w:r>
      <w:r w:rsidRPr="00C830AB">
        <w:rPr>
          <w:iCs/>
        </w:rPr>
        <w:t>and whose blood tests show no detectable virus, will now be recognised as fully fit for all service. The policy change also applies to anyone wishing to join the</w:t>
      </w:r>
      <w:r w:rsidRPr="00C830AB">
        <w:rPr>
          <w:iCs/>
          <w:spacing w:val="40"/>
        </w:rPr>
        <w:t xml:space="preserve"> </w:t>
      </w:r>
      <w:r w:rsidRPr="00C830AB">
        <w:rPr>
          <w:iCs/>
        </w:rPr>
        <w:t>military,</w:t>
      </w:r>
      <w:r w:rsidRPr="00C830AB">
        <w:rPr>
          <w:iCs/>
          <w:spacing w:val="-15"/>
        </w:rPr>
        <w:t xml:space="preserve"> </w:t>
      </w:r>
      <w:r w:rsidRPr="00C830AB">
        <w:rPr>
          <w:iCs/>
        </w:rPr>
        <w:t>meaning</w:t>
      </w:r>
      <w:r w:rsidRPr="00C830AB">
        <w:rPr>
          <w:iCs/>
          <w:spacing w:val="-15"/>
        </w:rPr>
        <w:t xml:space="preserve"> </w:t>
      </w:r>
      <w:r w:rsidRPr="00C830AB">
        <w:rPr>
          <w:iCs/>
        </w:rPr>
        <w:t>living</w:t>
      </w:r>
      <w:r w:rsidRPr="00C830AB">
        <w:rPr>
          <w:iCs/>
          <w:spacing w:val="-15"/>
        </w:rPr>
        <w:t xml:space="preserve"> </w:t>
      </w:r>
      <w:r w:rsidRPr="00C830AB">
        <w:rPr>
          <w:iCs/>
        </w:rPr>
        <w:t>with</w:t>
      </w:r>
      <w:r w:rsidRPr="00C830AB">
        <w:rPr>
          <w:iCs/>
          <w:spacing w:val="-15"/>
        </w:rPr>
        <w:t xml:space="preserve"> </w:t>
      </w:r>
      <w:r w:rsidRPr="00C830AB">
        <w:rPr>
          <w:iCs/>
        </w:rPr>
        <w:t>HIV</w:t>
      </w:r>
      <w:r w:rsidRPr="00C830AB">
        <w:rPr>
          <w:iCs/>
          <w:spacing w:val="-15"/>
        </w:rPr>
        <w:t xml:space="preserve"> </w:t>
      </w:r>
      <w:r w:rsidRPr="00C830AB">
        <w:rPr>
          <w:iCs/>
        </w:rPr>
        <w:t>is</w:t>
      </w:r>
      <w:r w:rsidRPr="00C830AB">
        <w:rPr>
          <w:iCs/>
          <w:spacing w:val="-15"/>
        </w:rPr>
        <w:t xml:space="preserve"> </w:t>
      </w:r>
      <w:r w:rsidRPr="00C830AB">
        <w:rPr>
          <w:iCs/>
        </w:rPr>
        <w:t>no</w:t>
      </w:r>
      <w:r w:rsidRPr="00C830AB">
        <w:rPr>
          <w:iCs/>
          <w:spacing w:val="-15"/>
        </w:rPr>
        <w:t xml:space="preserve"> </w:t>
      </w:r>
      <w:r w:rsidRPr="00C830AB">
        <w:rPr>
          <w:iCs/>
        </w:rPr>
        <w:t>longer</w:t>
      </w:r>
      <w:r w:rsidRPr="00C830AB">
        <w:rPr>
          <w:iCs/>
          <w:spacing w:val="-15"/>
        </w:rPr>
        <w:t xml:space="preserve"> </w:t>
      </w:r>
      <w:r w:rsidRPr="00C830AB">
        <w:rPr>
          <w:iCs/>
        </w:rPr>
        <w:t>a</w:t>
      </w:r>
      <w:r w:rsidRPr="00C830AB">
        <w:rPr>
          <w:iCs/>
          <w:spacing w:val="-14"/>
        </w:rPr>
        <w:t xml:space="preserve"> </w:t>
      </w:r>
      <w:r w:rsidRPr="00C830AB">
        <w:rPr>
          <w:iCs/>
        </w:rPr>
        <w:t>barrier</w:t>
      </w:r>
      <w:r w:rsidRPr="00C830AB">
        <w:rPr>
          <w:iCs/>
          <w:spacing w:val="-15"/>
        </w:rPr>
        <w:t xml:space="preserve"> </w:t>
      </w:r>
      <w:r w:rsidRPr="00C830AB">
        <w:rPr>
          <w:iCs/>
        </w:rPr>
        <w:t>for</w:t>
      </w:r>
      <w:r w:rsidRPr="00C830AB">
        <w:rPr>
          <w:iCs/>
          <w:spacing w:val="-15"/>
        </w:rPr>
        <w:t xml:space="preserve"> </w:t>
      </w:r>
      <w:r w:rsidRPr="00C830AB">
        <w:rPr>
          <w:iCs/>
        </w:rPr>
        <w:t>those</w:t>
      </w:r>
      <w:r w:rsidRPr="00C830AB">
        <w:rPr>
          <w:iCs/>
          <w:spacing w:val="-15"/>
        </w:rPr>
        <w:t xml:space="preserve"> </w:t>
      </w:r>
      <w:r w:rsidRPr="00C830AB">
        <w:rPr>
          <w:iCs/>
        </w:rPr>
        <w:t>wishing</w:t>
      </w:r>
      <w:r w:rsidRPr="00C830AB">
        <w:rPr>
          <w:iCs/>
          <w:spacing w:val="-15"/>
        </w:rPr>
        <w:t xml:space="preserve"> </w:t>
      </w:r>
      <w:r w:rsidRPr="00C830AB">
        <w:rPr>
          <w:iCs/>
        </w:rPr>
        <w:t>to</w:t>
      </w:r>
      <w:r w:rsidRPr="00C830AB">
        <w:rPr>
          <w:iCs/>
          <w:spacing w:val="-15"/>
        </w:rPr>
        <w:t xml:space="preserve"> </w:t>
      </w:r>
      <w:r w:rsidRPr="00C830AB">
        <w:rPr>
          <w:iCs/>
        </w:rPr>
        <w:t xml:space="preserve">serve.” </w:t>
      </w:r>
    </w:p>
    <w:p w14:paraId="497413D5" w14:textId="77777777" w:rsidR="00E24FDB" w:rsidRPr="00C830AB" w:rsidRDefault="00E24FDB" w:rsidP="009A02E2">
      <w:pPr>
        <w:pStyle w:val="BodyText"/>
        <w:spacing w:before="138"/>
        <w:rPr>
          <w:rFonts w:ascii="Times New Roman" w:hAnsi="Times New Roman" w:cs="Times New Roman"/>
          <w:sz w:val="24"/>
          <w:szCs w:val="24"/>
        </w:rPr>
      </w:pPr>
    </w:p>
    <w:p w14:paraId="05299D16" w14:textId="77777777" w:rsidR="00E24FDB" w:rsidRPr="00C830AB" w:rsidRDefault="00E24FDB" w:rsidP="008E34DD">
      <w:pPr>
        <w:pStyle w:val="ListParagraph"/>
        <w:numPr>
          <w:ilvl w:val="0"/>
          <w:numId w:val="17"/>
        </w:numPr>
        <w:tabs>
          <w:tab w:val="left" w:pos="820"/>
        </w:tabs>
        <w:ind w:right="117"/>
        <w:rPr>
          <w:rFonts w:ascii="Times New Roman" w:hAnsi="Times New Roman" w:cs="Times New Roman"/>
          <w:sz w:val="24"/>
          <w:szCs w:val="24"/>
        </w:rPr>
      </w:pPr>
      <w:r w:rsidRPr="00C830AB">
        <w:rPr>
          <w:rFonts w:ascii="Times New Roman" w:hAnsi="Times New Roman" w:cs="Times New Roman"/>
          <w:sz w:val="24"/>
          <w:szCs w:val="24"/>
        </w:rPr>
        <w:t xml:space="preserve">By </w:t>
      </w:r>
      <w:proofErr w:type="gramStart"/>
      <w:r w:rsidRPr="00C830AB">
        <w:rPr>
          <w:rFonts w:ascii="Times New Roman" w:hAnsi="Times New Roman" w:cs="Times New Roman"/>
          <w:sz w:val="24"/>
          <w:szCs w:val="24"/>
        </w:rPr>
        <w:t>a  letter</w:t>
      </w:r>
      <w:proofErr w:type="gramEnd"/>
      <w:r w:rsidRPr="00C830AB">
        <w:rPr>
          <w:rFonts w:ascii="Times New Roman" w:hAnsi="Times New Roman" w:cs="Times New Roman"/>
          <w:sz w:val="24"/>
          <w:szCs w:val="24"/>
        </w:rPr>
        <w:t xml:space="preserve"> dated 6 July 2022, Dr </w:t>
      </w:r>
      <w:proofErr w:type="spellStart"/>
      <w:r w:rsidRPr="00C830AB">
        <w:rPr>
          <w:rFonts w:ascii="Times New Roman" w:hAnsi="Times New Roman" w:cs="Times New Roman"/>
          <w:sz w:val="24"/>
          <w:szCs w:val="24"/>
        </w:rPr>
        <w:t>Konfortov</w:t>
      </w:r>
      <w:proofErr w:type="spellEnd"/>
      <w:r w:rsidRPr="00C830AB">
        <w:rPr>
          <w:rFonts w:ascii="Times New Roman" w:hAnsi="Times New Roman" w:cs="Times New Roman"/>
          <w:sz w:val="24"/>
          <w:szCs w:val="24"/>
        </w:rPr>
        <w:t xml:space="preserve"> considered the Claimant’s status as “MND Perm”. In that letter Dr </w:t>
      </w:r>
      <w:proofErr w:type="spellStart"/>
      <w:r w:rsidRPr="00C830AB">
        <w:rPr>
          <w:rFonts w:ascii="Times New Roman" w:hAnsi="Times New Roman" w:cs="Times New Roman"/>
          <w:sz w:val="24"/>
          <w:szCs w:val="24"/>
        </w:rPr>
        <w:t>Konfortov</w:t>
      </w:r>
      <w:proofErr w:type="spellEnd"/>
      <w:r w:rsidRPr="00C830AB">
        <w:rPr>
          <w:rFonts w:ascii="Times New Roman" w:hAnsi="Times New Roman" w:cs="Times New Roman"/>
          <w:sz w:val="24"/>
          <w:szCs w:val="24"/>
        </w:rPr>
        <w:t xml:space="preserve"> expressed the view that the Claimant met all criteria for being graded as “MLD” bar one measurable factor, namely his CD4 count. The historical values for his CD4 count from 20 December 2019 to 21 June 2022 are set out.  These generally show an increasing CD4 count, although the latest identified were still below 200: as </w:t>
      </w:r>
      <w:proofErr w:type="gramStart"/>
      <w:r w:rsidRPr="00C830AB">
        <w:rPr>
          <w:rFonts w:ascii="Times New Roman" w:hAnsi="Times New Roman" w:cs="Times New Roman"/>
          <w:sz w:val="24"/>
          <w:szCs w:val="24"/>
        </w:rPr>
        <w:t>at</w:t>
      </w:r>
      <w:proofErr w:type="gramEnd"/>
      <w:r w:rsidRPr="00C830AB">
        <w:rPr>
          <w:rFonts w:ascii="Times New Roman" w:hAnsi="Times New Roman" w:cs="Times New Roman"/>
          <w:sz w:val="24"/>
          <w:szCs w:val="24"/>
        </w:rPr>
        <w:t xml:space="preserve"> 21 June 2022 the CD4 count was identified as being 190.  Dr </w:t>
      </w:r>
      <w:proofErr w:type="spellStart"/>
      <w:r w:rsidRPr="00C830AB">
        <w:rPr>
          <w:rFonts w:ascii="Times New Roman" w:hAnsi="Times New Roman" w:cs="Times New Roman"/>
          <w:sz w:val="24"/>
          <w:szCs w:val="24"/>
        </w:rPr>
        <w:t>Konfortov</w:t>
      </w:r>
      <w:proofErr w:type="spellEnd"/>
      <w:r w:rsidRPr="00C830AB">
        <w:rPr>
          <w:rFonts w:ascii="Times New Roman" w:hAnsi="Times New Roman" w:cs="Times New Roman"/>
          <w:sz w:val="24"/>
          <w:szCs w:val="24"/>
        </w:rPr>
        <w:t xml:space="preserve"> concluded the letter by stating that the </w:t>
      </w:r>
      <w:proofErr w:type="gramStart"/>
      <w:r w:rsidRPr="00C830AB">
        <w:rPr>
          <w:rFonts w:ascii="Times New Roman" w:hAnsi="Times New Roman" w:cs="Times New Roman"/>
          <w:sz w:val="24"/>
          <w:szCs w:val="24"/>
        </w:rPr>
        <w:t>Claimant  “</w:t>
      </w:r>
      <w:proofErr w:type="gramEnd"/>
      <w:r w:rsidRPr="00C830AB">
        <w:rPr>
          <w:rFonts w:ascii="Times New Roman" w:hAnsi="Times New Roman" w:cs="Times New Roman"/>
          <w:sz w:val="24"/>
          <w:szCs w:val="24"/>
        </w:rPr>
        <w:t>shows a general steady increase.  It is likely that he reaches a level of 200 in the next few months.”</w:t>
      </w:r>
    </w:p>
    <w:p w14:paraId="287C0C24" w14:textId="77777777" w:rsidR="00E24FDB" w:rsidRPr="00C830AB" w:rsidRDefault="00E24FDB" w:rsidP="009A02E2">
      <w:pPr>
        <w:pStyle w:val="ListParagraph"/>
        <w:tabs>
          <w:tab w:val="left" w:pos="820"/>
        </w:tabs>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39EA8EEE" w14:textId="5FA826EF" w:rsidR="00E24FDB" w:rsidRPr="00C830AB" w:rsidRDefault="00E24FDB" w:rsidP="008E34DD">
      <w:pPr>
        <w:pStyle w:val="ListParagraph"/>
        <w:numPr>
          <w:ilvl w:val="0"/>
          <w:numId w:val="17"/>
        </w:numPr>
        <w:tabs>
          <w:tab w:val="left" w:pos="820"/>
        </w:tabs>
        <w:ind w:right="117"/>
        <w:rPr>
          <w:rFonts w:ascii="Times New Roman" w:hAnsi="Times New Roman" w:cs="Times New Roman"/>
          <w:sz w:val="24"/>
          <w:szCs w:val="24"/>
        </w:rPr>
      </w:pPr>
      <w:r w:rsidRPr="00C830AB">
        <w:rPr>
          <w:rFonts w:ascii="Times New Roman" w:hAnsi="Times New Roman" w:cs="Times New Roman"/>
          <w:sz w:val="24"/>
          <w:szCs w:val="24"/>
        </w:rPr>
        <w:t>The Claimant also refers to a letter dated 9 September 2022, again before the Claimant’s discharge took effect, from the Claimant’s treating Consultant, Lt Col Kate Clay in which she stated:</w:t>
      </w:r>
    </w:p>
    <w:p w14:paraId="767A0FBB" w14:textId="77777777" w:rsidR="00E24FDB" w:rsidRPr="00C830AB" w:rsidRDefault="00E24FDB" w:rsidP="009A02E2">
      <w:pPr>
        <w:ind w:left="1093" w:right="355"/>
        <w:jc w:val="both"/>
      </w:pPr>
      <w:r w:rsidRPr="00C830AB">
        <w:t xml:space="preserve">“I just wanted to let you know that I have discussed your case at our </w:t>
      </w:r>
      <w:proofErr w:type="gramStart"/>
      <w:r w:rsidRPr="00C830AB">
        <w:t>MDT</w:t>
      </w:r>
      <w:proofErr w:type="gramEnd"/>
      <w:r w:rsidRPr="00C830AB">
        <w:t xml:space="preserve"> and I am happy</w:t>
      </w:r>
      <w:r w:rsidRPr="00C830AB">
        <w:rPr>
          <w:spacing w:val="4"/>
        </w:rPr>
        <w:t xml:space="preserve"> </w:t>
      </w:r>
      <w:r w:rsidRPr="00C830AB">
        <w:t>to</w:t>
      </w:r>
      <w:r w:rsidRPr="00C830AB">
        <w:rPr>
          <w:spacing w:val="3"/>
        </w:rPr>
        <w:t xml:space="preserve"> </w:t>
      </w:r>
      <w:r w:rsidRPr="00C830AB">
        <w:t>write</w:t>
      </w:r>
      <w:r w:rsidRPr="00C830AB">
        <w:rPr>
          <w:spacing w:val="3"/>
        </w:rPr>
        <w:t xml:space="preserve"> </w:t>
      </w:r>
      <w:r w:rsidRPr="00C830AB">
        <w:t>a</w:t>
      </w:r>
      <w:r w:rsidRPr="00C830AB">
        <w:rPr>
          <w:spacing w:val="3"/>
        </w:rPr>
        <w:t xml:space="preserve"> </w:t>
      </w:r>
      <w:r w:rsidRPr="00C830AB">
        <w:t>letter</w:t>
      </w:r>
      <w:r w:rsidRPr="00C830AB">
        <w:rPr>
          <w:spacing w:val="2"/>
        </w:rPr>
        <w:t xml:space="preserve"> </w:t>
      </w:r>
      <w:r w:rsidRPr="00C830AB">
        <w:t>supporting</w:t>
      </w:r>
      <w:r w:rsidRPr="00C830AB">
        <w:rPr>
          <w:spacing w:val="4"/>
        </w:rPr>
        <w:t xml:space="preserve"> </w:t>
      </w:r>
      <w:r w:rsidRPr="00C830AB">
        <w:t>your</w:t>
      </w:r>
      <w:r w:rsidRPr="00C830AB">
        <w:rPr>
          <w:spacing w:val="3"/>
        </w:rPr>
        <w:t xml:space="preserve"> </w:t>
      </w:r>
      <w:r w:rsidRPr="00C830AB">
        <w:t>upgrade</w:t>
      </w:r>
      <w:r w:rsidRPr="00C830AB">
        <w:rPr>
          <w:spacing w:val="2"/>
        </w:rPr>
        <w:t xml:space="preserve"> </w:t>
      </w:r>
      <w:r w:rsidRPr="00C830AB">
        <w:t>to</w:t>
      </w:r>
      <w:r w:rsidRPr="00C830AB">
        <w:rPr>
          <w:spacing w:val="3"/>
        </w:rPr>
        <w:t xml:space="preserve"> </w:t>
      </w:r>
      <w:r w:rsidRPr="00C830AB">
        <w:t>MLD.</w:t>
      </w:r>
      <w:r w:rsidRPr="00C830AB">
        <w:rPr>
          <w:spacing w:val="4"/>
        </w:rPr>
        <w:t xml:space="preserve"> </w:t>
      </w:r>
      <w:r w:rsidRPr="00C830AB">
        <w:t>I</w:t>
      </w:r>
      <w:r w:rsidRPr="00C830AB">
        <w:rPr>
          <w:spacing w:val="2"/>
        </w:rPr>
        <w:t xml:space="preserve"> </w:t>
      </w:r>
      <w:r w:rsidRPr="00C830AB">
        <w:t>am</w:t>
      </w:r>
      <w:r w:rsidRPr="00C830AB">
        <w:rPr>
          <w:spacing w:val="4"/>
        </w:rPr>
        <w:t xml:space="preserve"> </w:t>
      </w:r>
      <w:r w:rsidRPr="00C830AB">
        <w:t>just</w:t>
      </w:r>
      <w:r w:rsidRPr="00C830AB">
        <w:rPr>
          <w:spacing w:val="3"/>
        </w:rPr>
        <w:t xml:space="preserve"> </w:t>
      </w:r>
      <w:r w:rsidRPr="00C830AB">
        <w:rPr>
          <w:spacing w:val="-2"/>
        </w:rPr>
        <w:t>awaiting</w:t>
      </w:r>
      <w:r w:rsidRPr="00C830AB">
        <w:t xml:space="preserve"> your latest blood results from your clinic. I will be in touch with a letter in due</w:t>
      </w:r>
      <w:r w:rsidRPr="00C830AB">
        <w:rPr>
          <w:spacing w:val="40"/>
        </w:rPr>
        <w:t xml:space="preserve"> </w:t>
      </w:r>
      <w:r w:rsidRPr="00C830AB">
        <w:rPr>
          <w:spacing w:val="-2"/>
        </w:rPr>
        <w:t>course.”</w:t>
      </w:r>
    </w:p>
    <w:p w14:paraId="43BA7FE1" w14:textId="77777777" w:rsidR="00E24FDB" w:rsidRPr="00C830AB" w:rsidRDefault="00E24FDB" w:rsidP="009A02E2">
      <w:pPr>
        <w:pStyle w:val="BodyText"/>
        <w:spacing w:before="137"/>
        <w:rPr>
          <w:rFonts w:ascii="Times New Roman" w:hAnsi="Times New Roman" w:cs="Times New Roman"/>
          <w:sz w:val="24"/>
          <w:szCs w:val="24"/>
        </w:rPr>
      </w:pPr>
    </w:p>
    <w:p w14:paraId="64C8B9D2"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The Claimant claims that on 29 September 2022 he was informed by the Regimental Careers Management</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Officer</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(“RCMO”)</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his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discharge</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process</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had</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been</w:t>
      </w:r>
      <w:r w:rsidRPr="00C830AB">
        <w:rPr>
          <w:rFonts w:ascii="Times New Roman" w:hAnsi="Times New Roman" w:cs="Times New Roman"/>
          <w:spacing w:val="-1"/>
          <w:sz w:val="24"/>
          <w:szCs w:val="24"/>
        </w:rPr>
        <w:t xml:space="preserve"> discontinued and that </w:t>
      </w:r>
      <w:r w:rsidRPr="00C830AB">
        <w:rPr>
          <w:rFonts w:ascii="Times New Roman" w:hAnsi="Times New Roman" w:cs="Times New Roman"/>
          <w:sz w:val="24"/>
          <w:szCs w:val="24"/>
        </w:rPr>
        <w:t>he was to be offered a different role by the RLC Corps Sergeant Major. The Claimant also relies on a further report dated 30 September</w:t>
      </w:r>
      <w:r w:rsidRPr="00C830AB">
        <w:rPr>
          <w:rFonts w:ascii="Times New Roman" w:hAnsi="Times New Roman" w:cs="Times New Roman"/>
          <w:spacing w:val="-1"/>
          <w:sz w:val="24"/>
          <w:szCs w:val="24"/>
        </w:rPr>
        <w:t xml:space="preserve"> </w:t>
      </w:r>
      <w:proofErr w:type="gramStart"/>
      <w:r w:rsidRPr="00C830AB">
        <w:rPr>
          <w:rFonts w:ascii="Times New Roman" w:hAnsi="Times New Roman" w:cs="Times New Roman"/>
          <w:sz w:val="24"/>
          <w:szCs w:val="24"/>
        </w:rPr>
        <w:t>2022  from</w:t>
      </w:r>
      <w:proofErr w:type="gramEnd"/>
      <w:r w:rsidRPr="00C830AB">
        <w:rPr>
          <w:rFonts w:ascii="Times New Roman" w:hAnsi="Times New Roman" w:cs="Times New Roman"/>
          <w:sz w:val="24"/>
          <w:szCs w:val="24"/>
        </w:rPr>
        <w:t xml:space="preserve"> Lt Col Kate Clay in which she stated of the Claimant</w:t>
      </w:r>
      <w:r w:rsidRPr="00C830AB">
        <w:rPr>
          <w:rFonts w:ascii="Times New Roman" w:hAnsi="Times New Roman" w:cs="Times New Roman"/>
          <w:spacing w:val="-2"/>
          <w:sz w:val="24"/>
          <w:szCs w:val="24"/>
        </w:rPr>
        <w:t>:</w:t>
      </w:r>
    </w:p>
    <w:p w14:paraId="038D9A63" w14:textId="062BC2EF" w:rsidR="00E24FDB" w:rsidRPr="00C830AB" w:rsidRDefault="00E24FDB" w:rsidP="009A02E2">
      <w:pPr>
        <w:spacing w:before="138"/>
        <w:ind w:left="1093" w:right="495" w:firstLine="60"/>
        <w:jc w:val="both"/>
      </w:pPr>
      <w:r w:rsidRPr="00C830AB">
        <w:t>“…He is virologically suppressed and therefore poses no risk to his colleagues…</w:t>
      </w:r>
      <w:r w:rsidRPr="00C830AB">
        <w:rPr>
          <w:spacing w:val="-14"/>
        </w:rPr>
        <w:t xml:space="preserve"> </w:t>
      </w:r>
      <w:r w:rsidRPr="00C830AB">
        <w:t>been</w:t>
      </w:r>
      <w:r w:rsidRPr="00C830AB">
        <w:rPr>
          <w:spacing w:val="-14"/>
        </w:rPr>
        <w:t xml:space="preserve"> </w:t>
      </w:r>
      <w:r w:rsidRPr="00C830AB">
        <w:t>discussed</w:t>
      </w:r>
      <w:r w:rsidRPr="00C830AB">
        <w:rPr>
          <w:spacing w:val="-14"/>
        </w:rPr>
        <w:t xml:space="preserve"> </w:t>
      </w:r>
      <w:r w:rsidRPr="00C830AB">
        <w:t>at</w:t>
      </w:r>
      <w:r w:rsidRPr="00C830AB">
        <w:rPr>
          <w:spacing w:val="-14"/>
        </w:rPr>
        <w:t xml:space="preserve"> </w:t>
      </w:r>
      <w:r w:rsidRPr="00C830AB">
        <w:t>our</w:t>
      </w:r>
      <w:r w:rsidRPr="00C830AB">
        <w:rPr>
          <w:spacing w:val="-14"/>
        </w:rPr>
        <w:t xml:space="preserve"> </w:t>
      </w:r>
      <w:r w:rsidRPr="00C830AB">
        <w:t>HIV</w:t>
      </w:r>
      <w:r w:rsidRPr="00C830AB">
        <w:rPr>
          <w:spacing w:val="-14"/>
        </w:rPr>
        <w:t xml:space="preserve"> </w:t>
      </w:r>
      <w:r w:rsidRPr="00C830AB">
        <w:t>military</w:t>
      </w:r>
      <w:r w:rsidRPr="00C830AB">
        <w:rPr>
          <w:spacing w:val="-14"/>
        </w:rPr>
        <w:t xml:space="preserve"> </w:t>
      </w:r>
      <w:r w:rsidRPr="00C830AB">
        <w:t>MDT</w:t>
      </w:r>
      <w:r w:rsidRPr="00C830AB">
        <w:rPr>
          <w:spacing w:val="-14"/>
        </w:rPr>
        <w:t xml:space="preserve"> </w:t>
      </w:r>
      <w:r w:rsidRPr="00C830AB">
        <w:t>with</w:t>
      </w:r>
      <w:r w:rsidRPr="00C830AB">
        <w:rPr>
          <w:spacing w:val="-14"/>
        </w:rPr>
        <w:t xml:space="preserve"> </w:t>
      </w:r>
      <w:r w:rsidRPr="00C830AB">
        <w:t>Colonel</w:t>
      </w:r>
      <w:r w:rsidRPr="00C830AB">
        <w:rPr>
          <w:spacing w:val="-14"/>
        </w:rPr>
        <w:t xml:space="preserve"> </w:t>
      </w:r>
      <w:r w:rsidRPr="00C830AB">
        <w:t>Ngozi</w:t>
      </w:r>
      <w:r w:rsidRPr="00C830AB">
        <w:rPr>
          <w:spacing w:val="-14"/>
        </w:rPr>
        <w:t xml:space="preserve"> </w:t>
      </w:r>
      <w:r w:rsidRPr="00C830AB">
        <w:t>Dufty and Lt Colonel Daniel Burns. We would strongly support his desire to stay in the army. He is able to perform on his UK based job without restrictions and would be safe to work overseas if close to a supply chain.</w:t>
      </w:r>
      <w:r w:rsidRPr="00C830AB">
        <w:rPr>
          <w:spacing w:val="40"/>
        </w:rPr>
        <w:t xml:space="preserve"> </w:t>
      </w:r>
      <w:r w:rsidRPr="00C830AB">
        <w:t>This is a more unusual case</w:t>
      </w:r>
      <w:r w:rsidR="00D71970">
        <w:t>.</w:t>
      </w:r>
      <w:r w:rsidRPr="00C830AB">
        <w:t>..</w:t>
      </w:r>
      <w:r w:rsidR="00D71970">
        <w:t xml:space="preserve"> </w:t>
      </w:r>
      <w:r w:rsidRPr="00C830AB">
        <w:t>I am very happy to discuss this further as required.”</w:t>
      </w:r>
    </w:p>
    <w:p w14:paraId="6A688D6C" w14:textId="77777777" w:rsidR="00E24FDB" w:rsidRPr="00C830AB" w:rsidRDefault="00E24FDB" w:rsidP="009A02E2">
      <w:pPr>
        <w:pStyle w:val="ListParagraph"/>
        <w:tabs>
          <w:tab w:val="left" w:pos="820"/>
        </w:tabs>
        <w:spacing w:before="1"/>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80650AF" w14:textId="73481BF1"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In the event, however, the Claimant</w:t>
      </w:r>
      <w:r w:rsidR="00D71970">
        <w:rPr>
          <w:rFonts w:ascii="Times New Roman" w:hAnsi="Times New Roman" w:cs="Times New Roman"/>
          <w:sz w:val="24"/>
          <w:szCs w:val="24"/>
        </w:rPr>
        <w:t>’s</w:t>
      </w:r>
      <w:r w:rsidRPr="00C830AB">
        <w:rPr>
          <w:rFonts w:ascii="Times New Roman" w:hAnsi="Times New Roman" w:cs="Times New Roman"/>
          <w:sz w:val="24"/>
          <w:szCs w:val="24"/>
        </w:rPr>
        <w:t xml:space="preserve"> medical</w:t>
      </w:r>
      <w:r w:rsidR="00D71970">
        <w:rPr>
          <w:rFonts w:ascii="Times New Roman" w:hAnsi="Times New Roman" w:cs="Times New Roman"/>
          <w:sz w:val="24"/>
          <w:szCs w:val="24"/>
        </w:rPr>
        <w:t xml:space="preserve"> </w:t>
      </w:r>
      <w:r w:rsidRPr="00C830AB">
        <w:rPr>
          <w:rFonts w:ascii="Times New Roman" w:hAnsi="Times New Roman" w:cs="Times New Roman"/>
          <w:sz w:val="24"/>
          <w:szCs w:val="24"/>
        </w:rPr>
        <w:t>discharge took effect on 3 October 2022.</w:t>
      </w:r>
    </w:p>
    <w:p w14:paraId="35522B5B" w14:textId="77777777" w:rsidR="00E24FDB" w:rsidRPr="00C830AB" w:rsidRDefault="00E24FDB" w:rsidP="009A02E2">
      <w:pPr>
        <w:pStyle w:val="ListParagraph"/>
        <w:tabs>
          <w:tab w:val="left" w:pos="820"/>
        </w:tabs>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2C561D79" w14:textId="13BF2DC2" w:rsidR="00E24FDB" w:rsidRPr="00C830AB" w:rsidRDefault="00E24FDB" w:rsidP="008E34DD">
      <w:pPr>
        <w:pStyle w:val="ListParagraph"/>
        <w:numPr>
          <w:ilvl w:val="0"/>
          <w:numId w:val="17"/>
        </w:numPr>
        <w:tabs>
          <w:tab w:val="left" w:pos="820"/>
        </w:tabs>
        <w:ind w:right="117"/>
        <w:rPr>
          <w:rFonts w:ascii="Times New Roman" w:hAnsi="Times New Roman" w:cs="Times New Roman"/>
          <w:sz w:val="24"/>
          <w:szCs w:val="24"/>
        </w:rPr>
      </w:pPr>
      <w:r w:rsidRPr="00C830AB">
        <w:rPr>
          <w:rFonts w:ascii="Times New Roman" w:hAnsi="Times New Roman" w:cs="Times New Roman"/>
          <w:sz w:val="24"/>
          <w:szCs w:val="24"/>
        </w:rPr>
        <w:t>The Claimant states that since discharge</w:t>
      </w:r>
      <w:r w:rsidR="00D71970">
        <w:rPr>
          <w:rFonts w:ascii="Times New Roman" w:hAnsi="Times New Roman" w:cs="Times New Roman"/>
          <w:sz w:val="24"/>
          <w:szCs w:val="24"/>
        </w:rPr>
        <w:t>, he</w:t>
      </w:r>
      <w:r w:rsidRPr="00C830AB">
        <w:rPr>
          <w:rFonts w:ascii="Times New Roman" w:hAnsi="Times New Roman" w:cs="Times New Roman"/>
          <w:sz w:val="24"/>
          <w:szCs w:val="24"/>
        </w:rPr>
        <w:t xml:space="preserve">: (1) has not been able to secure alternative employment; (2) is on Universal </w:t>
      </w:r>
      <w:proofErr w:type="gramStart"/>
      <w:r w:rsidRPr="00C830AB">
        <w:rPr>
          <w:rFonts w:ascii="Times New Roman" w:hAnsi="Times New Roman" w:cs="Times New Roman"/>
          <w:sz w:val="24"/>
          <w:szCs w:val="24"/>
        </w:rPr>
        <w:t>Credit;  and</w:t>
      </w:r>
      <w:proofErr w:type="gramEnd"/>
      <w:r w:rsidRPr="00C830AB">
        <w:rPr>
          <w:rFonts w:ascii="Times New Roman" w:hAnsi="Times New Roman" w:cs="Times New Roman"/>
          <w:sz w:val="24"/>
          <w:szCs w:val="24"/>
        </w:rPr>
        <w:t xml:space="preserve"> (3) is a widower and single parent.</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He stated that he had intended to serve in the army until retirement.</w:t>
      </w:r>
    </w:p>
    <w:p w14:paraId="7EB57582"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lastRenderedPageBreak/>
        <w:t>Following the discharge, the Claimant submitted</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service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complaint</w:t>
      </w:r>
      <w:r w:rsidRPr="00C830AB">
        <w:rPr>
          <w:rFonts w:ascii="Times New Roman" w:hAnsi="Times New Roman" w:cs="Times New Roman"/>
          <w:spacing w:val="-5"/>
          <w:sz w:val="24"/>
          <w:szCs w:val="24"/>
        </w:rPr>
        <w:t xml:space="preserve"> to the army </w:t>
      </w:r>
      <w:r w:rsidRPr="00C830AB">
        <w:rPr>
          <w:rFonts w:ascii="Times New Roman" w:hAnsi="Times New Roman" w:cs="Times New Roman"/>
          <w:sz w:val="24"/>
          <w:szCs w:val="24"/>
        </w:rPr>
        <w:t>on</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14</w:t>
      </w:r>
      <w:r w:rsidRPr="00C830AB">
        <w:rPr>
          <w:rFonts w:ascii="Times New Roman" w:hAnsi="Times New Roman" w:cs="Times New Roman"/>
          <w:sz w:val="24"/>
          <w:szCs w:val="24"/>
          <w:vertAlign w:val="superscript"/>
        </w:rPr>
        <w:t>th</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February</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2023</w:t>
      </w:r>
      <w:r w:rsidRPr="00C830AB">
        <w:rPr>
          <w:rFonts w:ascii="Times New Roman" w:hAnsi="Times New Roman" w:cs="Times New Roman"/>
          <w:spacing w:val="-2"/>
          <w:sz w:val="24"/>
          <w:szCs w:val="24"/>
        </w:rPr>
        <w:t xml:space="preserve"> using a Service Complaint Form.  In his statement of complaint he began by describing the alleged wrong </w:t>
      </w:r>
      <w:proofErr w:type="gramStart"/>
      <w:r w:rsidRPr="00C830AB">
        <w:rPr>
          <w:rFonts w:ascii="Times New Roman" w:hAnsi="Times New Roman" w:cs="Times New Roman"/>
          <w:spacing w:val="-2"/>
          <w:sz w:val="24"/>
          <w:szCs w:val="24"/>
        </w:rPr>
        <w:t xml:space="preserve">as </w:t>
      </w:r>
      <w:r w:rsidRPr="00C830AB">
        <w:rPr>
          <w:rFonts w:ascii="Times New Roman" w:hAnsi="Times New Roman" w:cs="Times New Roman"/>
          <w:sz w:val="24"/>
          <w:szCs w:val="24"/>
        </w:rPr>
        <w:t xml:space="preserve"> “</w:t>
      </w:r>
      <w:proofErr w:type="gramEnd"/>
      <w:r w:rsidRPr="00C830AB">
        <w:rPr>
          <w:rFonts w:ascii="Times New Roman" w:hAnsi="Times New Roman" w:cs="Times New Roman"/>
          <w:i/>
          <w:sz w:val="24"/>
          <w:szCs w:val="24"/>
        </w:rPr>
        <w:t>DISCRIMINATION (MEDICAL)</w:t>
      </w:r>
      <w:r w:rsidRPr="00C830AB">
        <w:rPr>
          <w:rFonts w:ascii="Times New Roman" w:hAnsi="Times New Roman" w:cs="Times New Roman"/>
          <w:sz w:val="24"/>
          <w:szCs w:val="24"/>
        </w:rPr>
        <w:t xml:space="preserve">”. </w:t>
      </w:r>
    </w:p>
    <w:p w14:paraId="1269F22B" w14:textId="77777777" w:rsidR="00E24FDB" w:rsidRPr="00C830AB" w:rsidRDefault="00E24FDB" w:rsidP="009A02E2">
      <w:pPr>
        <w:pStyle w:val="BodyText"/>
        <w:rPr>
          <w:rFonts w:ascii="Times New Roman" w:hAnsi="Times New Roman" w:cs="Times New Roman"/>
          <w:sz w:val="24"/>
          <w:szCs w:val="24"/>
        </w:rPr>
      </w:pPr>
    </w:p>
    <w:p w14:paraId="057C0B81" w14:textId="77777777" w:rsidR="00E24FDB" w:rsidRPr="00C830AB" w:rsidRDefault="00E24FDB" w:rsidP="008E34DD">
      <w:pPr>
        <w:pStyle w:val="ListParagraph"/>
        <w:numPr>
          <w:ilvl w:val="0"/>
          <w:numId w:val="17"/>
        </w:numPr>
        <w:tabs>
          <w:tab w:val="left" w:pos="820"/>
        </w:tabs>
        <w:ind w:right="118"/>
        <w:rPr>
          <w:rFonts w:ascii="Times New Roman" w:hAnsi="Times New Roman" w:cs="Times New Roman"/>
          <w:sz w:val="24"/>
          <w:szCs w:val="24"/>
        </w:rPr>
      </w:pPr>
      <w:r w:rsidRPr="00C830AB">
        <w:rPr>
          <w:rFonts w:ascii="Times New Roman" w:hAnsi="Times New Roman" w:cs="Times New Roman"/>
          <w:sz w:val="24"/>
          <w:szCs w:val="24"/>
        </w:rPr>
        <w:t>The guidance notes to the Form he completed stated that generally the time limit for submitting a complaint is 3 months but that in cases of discrimination:</w:t>
      </w:r>
    </w:p>
    <w:p w14:paraId="02D209F7" w14:textId="77777777" w:rsidR="00E24FDB" w:rsidRPr="00C830AB" w:rsidRDefault="00E24FDB" w:rsidP="009A02E2">
      <w:pPr>
        <w:ind w:left="1518"/>
      </w:pPr>
    </w:p>
    <w:p w14:paraId="4ED501C0" w14:textId="77777777" w:rsidR="00E24FDB" w:rsidRPr="00C830AB" w:rsidRDefault="00E24FDB" w:rsidP="009A02E2">
      <w:pPr>
        <w:ind w:left="1518"/>
      </w:pPr>
      <w:r w:rsidRPr="00C830AB">
        <w:t>“This</w:t>
      </w:r>
      <w:r w:rsidRPr="00C830AB">
        <w:rPr>
          <w:spacing w:val="-3"/>
        </w:rPr>
        <w:t xml:space="preserve"> </w:t>
      </w:r>
      <w:r w:rsidRPr="00C830AB">
        <w:t>time</w:t>
      </w:r>
      <w:r w:rsidRPr="00C830AB">
        <w:rPr>
          <w:spacing w:val="-1"/>
        </w:rPr>
        <w:t xml:space="preserve"> </w:t>
      </w:r>
      <w:r w:rsidRPr="00C830AB">
        <w:t>limit</w:t>
      </w:r>
      <w:r w:rsidRPr="00C830AB">
        <w:rPr>
          <w:spacing w:val="-1"/>
        </w:rPr>
        <w:t xml:space="preserve"> </w:t>
      </w:r>
      <w:r w:rsidRPr="00C830AB">
        <w:t>is</w:t>
      </w:r>
      <w:r w:rsidRPr="00C830AB">
        <w:rPr>
          <w:spacing w:val="-3"/>
        </w:rPr>
        <w:t xml:space="preserve"> </w:t>
      </w:r>
      <w:r w:rsidRPr="00C830AB">
        <w:t>6</w:t>
      </w:r>
      <w:r w:rsidRPr="00C830AB">
        <w:rPr>
          <w:spacing w:val="-1"/>
        </w:rPr>
        <w:t xml:space="preserve"> </w:t>
      </w:r>
      <w:r w:rsidRPr="00C830AB">
        <w:t>months</w:t>
      </w:r>
      <w:r w:rsidRPr="00C830AB">
        <w:rPr>
          <w:spacing w:val="-2"/>
        </w:rPr>
        <w:t xml:space="preserve"> </w:t>
      </w:r>
      <w:r w:rsidRPr="00C830AB">
        <w:t>if</w:t>
      </w:r>
      <w:r w:rsidRPr="00C830AB">
        <w:rPr>
          <w:spacing w:val="-1"/>
        </w:rPr>
        <w:t xml:space="preserve"> </w:t>
      </w:r>
      <w:r w:rsidRPr="00C830AB">
        <w:t>your</w:t>
      </w:r>
      <w:r w:rsidRPr="00C830AB">
        <w:rPr>
          <w:spacing w:val="-3"/>
        </w:rPr>
        <w:t xml:space="preserve"> </w:t>
      </w:r>
      <w:r w:rsidRPr="00C830AB">
        <w:t>complaint</w:t>
      </w:r>
      <w:r w:rsidRPr="00C830AB">
        <w:rPr>
          <w:spacing w:val="-1"/>
        </w:rPr>
        <w:t xml:space="preserve"> </w:t>
      </w:r>
      <w:r w:rsidRPr="00C830AB">
        <w:t>is</w:t>
      </w:r>
      <w:r w:rsidRPr="00C830AB">
        <w:rPr>
          <w:spacing w:val="-1"/>
        </w:rPr>
        <w:t xml:space="preserve"> </w:t>
      </w:r>
      <w:r w:rsidRPr="00C830AB">
        <w:t>about</w:t>
      </w:r>
      <w:r w:rsidRPr="00C830AB">
        <w:rPr>
          <w:spacing w:val="-2"/>
        </w:rPr>
        <w:t xml:space="preserve"> discrimination.”</w:t>
      </w:r>
      <w:r w:rsidRPr="00C830AB">
        <w:rPr>
          <w:spacing w:val="-3"/>
        </w:rPr>
        <w:t xml:space="preserve"> </w:t>
      </w:r>
    </w:p>
    <w:p w14:paraId="5CB1055B" w14:textId="77777777" w:rsidR="00E24FDB" w:rsidRPr="00C830AB" w:rsidRDefault="00E24FDB" w:rsidP="009A02E2">
      <w:pPr>
        <w:pStyle w:val="ListParagraph"/>
        <w:tabs>
          <w:tab w:val="left" w:pos="820"/>
        </w:tabs>
        <w:ind w:left="820" w:right="118" w:firstLine="0"/>
        <w:rPr>
          <w:rFonts w:ascii="Times New Roman" w:hAnsi="Times New Roman" w:cs="Times New Roman"/>
          <w:sz w:val="24"/>
          <w:szCs w:val="24"/>
        </w:rPr>
      </w:pPr>
    </w:p>
    <w:p w14:paraId="0E276667" w14:textId="77777777" w:rsidR="00E24FDB" w:rsidRPr="00C830AB" w:rsidRDefault="00E24FDB" w:rsidP="008E34DD">
      <w:pPr>
        <w:pStyle w:val="ListParagraph"/>
        <w:numPr>
          <w:ilvl w:val="0"/>
          <w:numId w:val="17"/>
        </w:numPr>
        <w:tabs>
          <w:tab w:val="left" w:pos="820"/>
        </w:tabs>
        <w:ind w:right="118"/>
        <w:rPr>
          <w:rFonts w:ascii="Times New Roman" w:hAnsi="Times New Roman" w:cs="Times New Roman"/>
          <w:sz w:val="24"/>
          <w:szCs w:val="24"/>
        </w:rPr>
      </w:pPr>
      <w:r w:rsidRPr="00C830AB">
        <w:rPr>
          <w:rFonts w:ascii="Times New Roman" w:hAnsi="Times New Roman" w:cs="Times New Roman"/>
          <w:sz w:val="24"/>
          <w:szCs w:val="24"/>
        </w:rPr>
        <w:t xml:space="preserve">Section 6 of the Form has a heading “Reasons for delay in submitting your complaint (if applicable)”.  There is then guidance to the following effect before a blank box is provided: </w:t>
      </w:r>
    </w:p>
    <w:p w14:paraId="189037F1" w14:textId="77777777" w:rsidR="00E24FDB" w:rsidRPr="00C830AB" w:rsidRDefault="00E24FDB" w:rsidP="009A02E2">
      <w:pPr>
        <w:spacing w:before="138"/>
        <w:ind w:left="1375" w:right="778"/>
        <w:jc w:val="both"/>
      </w:pPr>
      <w:r w:rsidRPr="00C830AB">
        <w:rPr>
          <w:lang w:val="en-US"/>
        </w:rPr>
        <w:t>“Complaints submitted under the Armed Forces (Service Complaints)</w:t>
      </w:r>
      <w:r w:rsidRPr="00C830AB">
        <w:t xml:space="preserve"> Regulations</w:t>
      </w:r>
      <w:r w:rsidRPr="00C830AB">
        <w:rPr>
          <w:spacing w:val="-2"/>
        </w:rPr>
        <w:t xml:space="preserve"> </w:t>
      </w:r>
      <w:r w:rsidRPr="00C830AB">
        <w:t>2015</w:t>
      </w:r>
      <w:r w:rsidRPr="00C830AB">
        <w:rPr>
          <w:spacing w:val="-2"/>
        </w:rPr>
        <w:t xml:space="preserve"> </w:t>
      </w:r>
      <w:r w:rsidRPr="00C830AB">
        <w:t>must</w:t>
      </w:r>
      <w:r w:rsidRPr="00C830AB">
        <w:rPr>
          <w:spacing w:val="-2"/>
        </w:rPr>
        <w:t xml:space="preserve"> </w:t>
      </w:r>
      <w:r w:rsidRPr="00C830AB">
        <w:t>normally</w:t>
      </w:r>
      <w:r w:rsidRPr="00C830AB">
        <w:rPr>
          <w:spacing w:val="-2"/>
        </w:rPr>
        <w:t xml:space="preserve"> </w:t>
      </w:r>
      <w:r w:rsidRPr="00C830AB">
        <w:t>be</w:t>
      </w:r>
      <w:r w:rsidRPr="00C830AB">
        <w:rPr>
          <w:spacing w:val="-2"/>
        </w:rPr>
        <w:t xml:space="preserve"> </w:t>
      </w:r>
      <w:r w:rsidRPr="00C830AB">
        <w:t>submitted</w:t>
      </w:r>
      <w:r w:rsidRPr="00C830AB">
        <w:rPr>
          <w:spacing w:val="-2"/>
        </w:rPr>
        <w:t xml:space="preserve"> </w:t>
      </w:r>
      <w:r w:rsidRPr="00C830AB">
        <w:t>within</w:t>
      </w:r>
      <w:r w:rsidRPr="00C830AB">
        <w:rPr>
          <w:spacing w:val="-2"/>
        </w:rPr>
        <w:t xml:space="preserve"> </w:t>
      </w:r>
      <w:r w:rsidRPr="00C830AB">
        <w:t>3</w:t>
      </w:r>
      <w:r w:rsidRPr="00C830AB">
        <w:rPr>
          <w:spacing w:val="-2"/>
        </w:rPr>
        <w:t xml:space="preserve"> </w:t>
      </w:r>
      <w:r w:rsidRPr="00C830AB">
        <w:t>months</w:t>
      </w:r>
      <w:r w:rsidRPr="00C830AB">
        <w:rPr>
          <w:spacing w:val="-2"/>
        </w:rPr>
        <w:t xml:space="preserve"> </w:t>
      </w:r>
      <w:r w:rsidRPr="00C830AB">
        <w:t>of</w:t>
      </w:r>
      <w:r w:rsidRPr="00C830AB">
        <w:rPr>
          <w:spacing w:val="-2"/>
        </w:rPr>
        <w:t xml:space="preserve"> </w:t>
      </w:r>
      <w:r w:rsidRPr="00C830AB">
        <w:t>the</w:t>
      </w:r>
      <w:r w:rsidRPr="00C830AB">
        <w:rPr>
          <w:spacing w:val="-2"/>
        </w:rPr>
        <w:t xml:space="preserve"> </w:t>
      </w:r>
      <w:r w:rsidRPr="00C830AB">
        <w:t>date that the matter complained of occurred or of the latest in a connected series</w:t>
      </w:r>
      <w:r w:rsidRPr="00C830AB">
        <w:rPr>
          <w:spacing w:val="-1"/>
        </w:rPr>
        <w:t xml:space="preserve"> </w:t>
      </w:r>
      <w:r w:rsidRPr="00C830AB">
        <w:t>of</w:t>
      </w:r>
      <w:r w:rsidRPr="00C830AB">
        <w:rPr>
          <w:spacing w:val="-1"/>
        </w:rPr>
        <w:t xml:space="preserve"> </w:t>
      </w:r>
      <w:r w:rsidRPr="00C830AB">
        <w:t>incidents.</w:t>
      </w:r>
      <w:r w:rsidRPr="00C830AB">
        <w:rPr>
          <w:spacing w:val="-1"/>
        </w:rPr>
        <w:t xml:space="preserve"> </w:t>
      </w:r>
      <w:r w:rsidRPr="00C830AB">
        <w:t>This</w:t>
      </w:r>
      <w:r w:rsidRPr="00C830AB">
        <w:rPr>
          <w:spacing w:val="-1"/>
        </w:rPr>
        <w:t xml:space="preserve"> </w:t>
      </w:r>
      <w:r w:rsidRPr="00C830AB">
        <w:t>time</w:t>
      </w:r>
      <w:r w:rsidRPr="00C830AB">
        <w:rPr>
          <w:spacing w:val="-1"/>
        </w:rPr>
        <w:t xml:space="preserve"> </w:t>
      </w:r>
      <w:r w:rsidRPr="00C830AB">
        <w:t>limit</w:t>
      </w:r>
      <w:r w:rsidRPr="00C830AB">
        <w:rPr>
          <w:spacing w:val="-1"/>
        </w:rPr>
        <w:t xml:space="preserve"> </w:t>
      </w:r>
      <w:r w:rsidRPr="00C830AB">
        <w:t>is</w:t>
      </w:r>
      <w:r w:rsidRPr="00C830AB">
        <w:rPr>
          <w:spacing w:val="-1"/>
        </w:rPr>
        <w:t xml:space="preserve"> </w:t>
      </w:r>
      <w:r w:rsidRPr="00C830AB">
        <w:t>6</w:t>
      </w:r>
      <w:r w:rsidRPr="00C830AB">
        <w:rPr>
          <w:spacing w:val="-1"/>
        </w:rPr>
        <w:t xml:space="preserve"> </w:t>
      </w:r>
      <w:r w:rsidRPr="00C830AB">
        <w:t>months</w:t>
      </w:r>
      <w:r w:rsidRPr="00C830AB">
        <w:rPr>
          <w:spacing w:val="-1"/>
        </w:rPr>
        <w:t xml:space="preserve"> </w:t>
      </w:r>
      <w:r w:rsidRPr="00C830AB">
        <w:t>if</w:t>
      </w:r>
      <w:r w:rsidRPr="00C830AB">
        <w:rPr>
          <w:spacing w:val="-1"/>
        </w:rPr>
        <w:t xml:space="preserve"> </w:t>
      </w:r>
      <w:r w:rsidRPr="00C830AB">
        <w:t>your</w:t>
      </w:r>
      <w:r w:rsidRPr="00C830AB">
        <w:rPr>
          <w:spacing w:val="-1"/>
        </w:rPr>
        <w:t xml:space="preserve"> </w:t>
      </w:r>
      <w:r w:rsidRPr="00C830AB">
        <w:t>complaint</w:t>
      </w:r>
      <w:r w:rsidRPr="00C830AB">
        <w:rPr>
          <w:spacing w:val="-1"/>
        </w:rPr>
        <w:t xml:space="preserve"> </w:t>
      </w:r>
      <w:r w:rsidRPr="00C830AB">
        <w:t>is</w:t>
      </w:r>
      <w:r w:rsidRPr="00C830AB">
        <w:rPr>
          <w:spacing w:val="-1"/>
        </w:rPr>
        <w:t xml:space="preserve"> </w:t>
      </w:r>
      <w:r w:rsidRPr="00C830AB">
        <w:t>about discrimination and 9 months if it is about equal pay. Please provide an explanation if you think that this complaint is made outside the relevant time</w:t>
      </w:r>
      <w:r w:rsidRPr="00C830AB">
        <w:rPr>
          <w:spacing w:val="-6"/>
        </w:rPr>
        <w:t xml:space="preserve"> </w:t>
      </w:r>
      <w:r w:rsidRPr="00C830AB">
        <w:t>limit</w:t>
      </w:r>
      <w:r w:rsidRPr="00C830AB">
        <w:rPr>
          <w:spacing w:val="-6"/>
        </w:rPr>
        <w:t xml:space="preserve"> </w:t>
      </w:r>
      <w:r w:rsidRPr="00C830AB">
        <w:t>and</w:t>
      </w:r>
      <w:r w:rsidRPr="00C830AB">
        <w:rPr>
          <w:spacing w:val="-6"/>
        </w:rPr>
        <w:t xml:space="preserve"> </w:t>
      </w:r>
      <w:r w:rsidRPr="00C830AB">
        <w:t>why</w:t>
      </w:r>
      <w:r w:rsidRPr="00C830AB">
        <w:rPr>
          <w:spacing w:val="-6"/>
        </w:rPr>
        <w:t xml:space="preserve"> </w:t>
      </w:r>
      <w:r w:rsidRPr="00C830AB">
        <w:t>it</w:t>
      </w:r>
      <w:r w:rsidRPr="00C830AB">
        <w:rPr>
          <w:spacing w:val="-6"/>
        </w:rPr>
        <w:t xml:space="preserve"> </w:t>
      </w:r>
      <w:r w:rsidRPr="00C830AB">
        <w:t>should</w:t>
      </w:r>
      <w:r w:rsidRPr="00C830AB">
        <w:rPr>
          <w:spacing w:val="-6"/>
        </w:rPr>
        <w:t xml:space="preserve"> </w:t>
      </w:r>
      <w:r w:rsidRPr="00C830AB">
        <w:t>be</w:t>
      </w:r>
      <w:r w:rsidRPr="00C830AB">
        <w:rPr>
          <w:spacing w:val="-6"/>
        </w:rPr>
        <w:t xml:space="preserve"> </w:t>
      </w:r>
      <w:r w:rsidRPr="00C830AB">
        <w:t>considered</w:t>
      </w:r>
      <w:r w:rsidRPr="00C830AB">
        <w:rPr>
          <w:spacing w:val="-6"/>
        </w:rPr>
        <w:t xml:space="preserve"> </w:t>
      </w:r>
      <w:r w:rsidRPr="00C830AB">
        <w:t>-</w:t>
      </w:r>
      <w:r w:rsidRPr="00C830AB">
        <w:rPr>
          <w:spacing w:val="-6"/>
        </w:rPr>
        <w:t xml:space="preserve"> </w:t>
      </w:r>
      <w:r w:rsidRPr="00C830AB">
        <w:t>see</w:t>
      </w:r>
      <w:r w:rsidRPr="00C830AB">
        <w:rPr>
          <w:spacing w:val="-6"/>
        </w:rPr>
        <w:t xml:space="preserve"> </w:t>
      </w:r>
      <w:r w:rsidRPr="00C830AB">
        <w:t>JSP</w:t>
      </w:r>
      <w:r w:rsidRPr="00C830AB">
        <w:rPr>
          <w:spacing w:val="-6"/>
        </w:rPr>
        <w:t xml:space="preserve"> </w:t>
      </w:r>
      <w:proofErr w:type="gramStart"/>
      <w:r w:rsidRPr="00C830AB">
        <w:t>831</w:t>
      </w:r>
      <w:r w:rsidRPr="00C830AB">
        <w:rPr>
          <w:spacing w:val="-6"/>
        </w:rPr>
        <w:t xml:space="preserve"> </w:t>
      </w:r>
      <w:r w:rsidRPr="00C830AB">
        <w:t>,</w:t>
      </w:r>
      <w:proofErr w:type="gramEnd"/>
      <w:r w:rsidRPr="00C830AB">
        <w:rPr>
          <w:spacing w:val="-6"/>
        </w:rPr>
        <w:t xml:space="preserve"> </w:t>
      </w:r>
      <w:r w:rsidRPr="00C830AB">
        <w:t>Part</w:t>
      </w:r>
      <w:r w:rsidRPr="00C830AB">
        <w:rPr>
          <w:spacing w:val="-6"/>
        </w:rPr>
        <w:t xml:space="preserve"> </w:t>
      </w:r>
      <w:r w:rsidRPr="00C830AB">
        <w:t>2,</w:t>
      </w:r>
      <w:r w:rsidRPr="00C830AB">
        <w:rPr>
          <w:spacing w:val="-6"/>
        </w:rPr>
        <w:t xml:space="preserve"> </w:t>
      </w:r>
      <w:r w:rsidRPr="00C830AB">
        <w:t>Annex</w:t>
      </w:r>
      <w:r w:rsidRPr="00C830AB">
        <w:rPr>
          <w:spacing w:val="-6"/>
        </w:rPr>
        <w:t xml:space="preserve"> </w:t>
      </w:r>
      <w:r w:rsidRPr="00C830AB">
        <w:t xml:space="preserve">R for further guidance on what might constitute just and equitable reasons” </w:t>
      </w:r>
    </w:p>
    <w:p w14:paraId="6FBEC6B4" w14:textId="77777777" w:rsidR="00E24FDB" w:rsidRPr="00C830AB" w:rsidRDefault="00E24FDB" w:rsidP="009A02E2">
      <w:pPr>
        <w:pStyle w:val="ListParagraph"/>
        <w:tabs>
          <w:tab w:val="left" w:pos="820"/>
        </w:tabs>
        <w:ind w:left="820" w:right="118"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04D9E367" w14:textId="77777777" w:rsidR="00E24FDB" w:rsidRPr="00C830AB" w:rsidRDefault="00E24FDB" w:rsidP="008E34DD">
      <w:pPr>
        <w:pStyle w:val="ListParagraph"/>
        <w:numPr>
          <w:ilvl w:val="0"/>
          <w:numId w:val="17"/>
        </w:numPr>
        <w:tabs>
          <w:tab w:val="left" w:pos="820"/>
        </w:tabs>
        <w:ind w:right="118"/>
        <w:rPr>
          <w:rFonts w:ascii="Times New Roman" w:hAnsi="Times New Roman" w:cs="Times New Roman"/>
          <w:sz w:val="24"/>
          <w:szCs w:val="24"/>
        </w:rPr>
      </w:pPr>
      <w:r w:rsidRPr="00C830AB">
        <w:rPr>
          <w:rFonts w:ascii="Times New Roman" w:hAnsi="Times New Roman" w:cs="Times New Roman"/>
          <w:sz w:val="24"/>
          <w:szCs w:val="24"/>
        </w:rPr>
        <w:t>In the blank box the Claimant entered the following:</w:t>
      </w:r>
    </w:p>
    <w:p w14:paraId="35F58B35" w14:textId="77777777" w:rsidR="00E24FDB" w:rsidRPr="00C830AB" w:rsidRDefault="00E24FDB" w:rsidP="009A02E2">
      <w:pPr>
        <w:pStyle w:val="ListParagraph"/>
        <w:tabs>
          <w:tab w:val="left" w:pos="820"/>
        </w:tabs>
        <w:ind w:left="1440" w:right="118" w:firstLine="0"/>
        <w:rPr>
          <w:rFonts w:ascii="Times New Roman" w:hAnsi="Times New Roman" w:cs="Times New Roman"/>
          <w:sz w:val="24"/>
          <w:szCs w:val="24"/>
        </w:rPr>
      </w:pPr>
      <w:r w:rsidRPr="00C830AB">
        <w:rPr>
          <w:rFonts w:ascii="Times New Roman" w:hAnsi="Times New Roman" w:cs="Times New Roman"/>
          <w:sz w:val="24"/>
          <w:szCs w:val="24"/>
        </w:rPr>
        <w:t>“I was still waiting for the appeal outcome which never came through till now.  Also, I did not know of this process as I only depended on the appeal I made against the medical discharge.”</w:t>
      </w:r>
    </w:p>
    <w:p w14:paraId="27EA5137" w14:textId="77777777" w:rsidR="00E24FDB" w:rsidRPr="00C830AB" w:rsidRDefault="00E24FDB" w:rsidP="009A02E2">
      <w:pPr>
        <w:pStyle w:val="ListParagraph"/>
        <w:tabs>
          <w:tab w:val="left" w:pos="820"/>
        </w:tabs>
        <w:ind w:left="820" w:right="118" w:firstLine="0"/>
        <w:rPr>
          <w:rFonts w:ascii="Times New Roman" w:hAnsi="Times New Roman" w:cs="Times New Roman"/>
          <w:sz w:val="24"/>
          <w:szCs w:val="24"/>
        </w:rPr>
      </w:pPr>
    </w:p>
    <w:p w14:paraId="633A601A" w14:textId="77777777" w:rsidR="00E24FDB" w:rsidRPr="00C830AB" w:rsidRDefault="00E24FDB" w:rsidP="008E34DD">
      <w:pPr>
        <w:pStyle w:val="ListParagraph"/>
        <w:numPr>
          <w:ilvl w:val="0"/>
          <w:numId w:val="17"/>
        </w:numPr>
        <w:tabs>
          <w:tab w:val="left" w:pos="820"/>
        </w:tabs>
        <w:ind w:right="118"/>
        <w:rPr>
          <w:rFonts w:ascii="Times New Roman" w:hAnsi="Times New Roman" w:cs="Times New Roman"/>
          <w:sz w:val="24"/>
          <w:szCs w:val="24"/>
        </w:rPr>
      </w:pPr>
      <w:r w:rsidRPr="00C830AB">
        <w:rPr>
          <w:rFonts w:ascii="Times New Roman" w:hAnsi="Times New Roman" w:cs="Times New Roman"/>
          <w:sz w:val="24"/>
          <w:szCs w:val="24"/>
        </w:rPr>
        <w:t xml:space="preserve">On 17 February 2023 the Claimant also </w:t>
      </w:r>
      <w:r w:rsidRPr="00C830AB">
        <w:rPr>
          <w:rFonts w:ascii="Times New Roman" w:hAnsi="Times New Roman" w:cs="Times New Roman"/>
          <w:spacing w:val="-2"/>
          <w:sz w:val="24"/>
          <w:szCs w:val="24"/>
        </w:rPr>
        <w:t>issued</w:t>
      </w:r>
      <w:r w:rsidRPr="00C830AB">
        <w:rPr>
          <w:rFonts w:ascii="Times New Roman" w:hAnsi="Times New Roman" w:cs="Times New Roman"/>
          <w:spacing w:val="-7"/>
          <w:sz w:val="24"/>
          <w:szCs w:val="24"/>
        </w:rPr>
        <w:t xml:space="preserve"> </w:t>
      </w:r>
      <w:r w:rsidRPr="00C830AB">
        <w:rPr>
          <w:rFonts w:ascii="Times New Roman" w:hAnsi="Times New Roman" w:cs="Times New Roman"/>
          <w:spacing w:val="-2"/>
          <w:sz w:val="24"/>
          <w:szCs w:val="24"/>
        </w:rPr>
        <w:t>ET</w:t>
      </w:r>
      <w:r w:rsidRPr="00C830AB">
        <w:rPr>
          <w:rFonts w:ascii="Times New Roman" w:hAnsi="Times New Roman" w:cs="Times New Roman"/>
          <w:spacing w:val="-7"/>
          <w:sz w:val="24"/>
          <w:szCs w:val="24"/>
        </w:rPr>
        <w:t xml:space="preserve"> </w:t>
      </w:r>
      <w:r w:rsidRPr="00C830AB">
        <w:rPr>
          <w:rFonts w:ascii="Times New Roman" w:hAnsi="Times New Roman" w:cs="Times New Roman"/>
          <w:spacing w:val="-2"/>
          <w:sz w:val="24"/>
          <w:szCs w:val="24"/>
        </w:rPr>
        <w:t>proceedings</w:t>
      </w:r>
      <w:r w:rsidRPr="00C830AB">
        <w:rPr>
          <w:rFonts w:ascii="Times New Roman" w:hAnsi="Times New Roman" w:cs="Times New Roman"/>
          <w:spacing w:val="-5"/>
          <w:sz w:val="24"/>
          <w:szCs w:val="24"/>
        </w:rPr>
        <w:t xml:space="preserve"> against the Interested Party in the Newcastle ET alleging disability discrimination. </w:t>
      </w:r>
      <w:r w:rsidRPr="00C830AB">
        <w:rPr>
          <w:rFonts w:ascii="Times New Roman" w:hAnsi="Times New Roman" w:cs="Times New Roman"/>
          <w:spacing w:val="-2"/>
          <w:sz w:val="24"/>
          <w:szCs w:val="24"/>
        </w:rPr>
        <w:t>He is</w:t>
      </w:r>
      <w:r w:rsidRPr="00C830AB">
        <w:rPr>
          <w:rFonts w:ascii="Times New Roman" w:hAnsi="Times New Roman" w:cs="Times New Roman"/>
          <w:sz w:val="24"/>
          <w:szCs w:val="24"/>
        </w:rPr>
        <w:t xml:space="preserve"> legally represented for those proceedings. As noted above, </w:t>
      </w:r>
      <w:proofErr w:type="gramStart"/>
      <w:r w:rsidRPr="00C830AB">
        <w:rPr>
          <w:rFonts w:ascii="Times New Roman" w:hAnsi="Times New Roman" w:cs="Times New Roman"/>
          <w:sz w:val="24"/>
          <w:szCs w:val="24"/>
        </w:rPr>
        <w:t>the  Interested</w:t>
      </w:r>
      <w:proofErr w:type="gramEnd"/>
      <w:r w:rsidRPr="00C830AB">
        <w:rPr>
          <w:rFonts w:ascii="Times New Roman" w:hAnsi="Times New Roman" w:cs="Times New Roman"/>
          <w:sz w:val="24"/>
          <w:szCs w:val="24"/>
        </w:rPr>
        <w:t xml:space="preserve"> Party is contesting those proceedings and has sought to have the proceedings struck out on the grounds identified above.  The hearing of its strike out application was listed for 29-30 January 2024, but the hearing did not go ahead.  There is a further hearing scheduled for late May 2024.</w:t>
      </w:r>
    </w:p>
    <w:p w14:paraId="5185BD54"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 In the meantime, on 28 February 2023 the service complaint officer tasked with </w:t>
      </w:r>
      <w:proofErr w:type="gramStart"/>
      <w:r w:rsidRPr="00C830AB">
        <w:rPr>
          <w:rFonts w:ascii="Times New Roman" w:hAnsi="Times New Roman" w:cs="Times New Roman"/>
          <w:sz w:val="24"/>
          <w:szCs w:val="24"/>
        </w:rPr>
        <w:t>making a decision</w:t>
      </w:r>
      <w:proofErr w:type="gramEnd"/>
      <w:r w:rsidRPr="00C830AB">
        <w:rPr>
          <w:rFonts w:ascii="Times New Roman" w:hAnsi="Times New Roman" w:cs="Times New Roman"/>
          <w:sz w:val="24"/>
          <w:szCs w:val="24"/>
        </w:rPr>
        <w:t xml:space="preserve"> on admissibility sought further</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information</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from</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Claimant.  Amongst other things, the officer sought confirmation that the following accurately summarised his statement of complaint in terms of Heads of Complaint (“</w:t>
      </w:r>
      <w:proofErr w:type="spellStart"/>
      <w:r w:rsidRPr="00C830AB">
        <w:rPr>
          <w:rFonts w:ascii="Times New Roman" w:hAnsi="Times New Roman" w:cs="Times New Roman"/>
          <w:sz w:val="24"/>
          <w:szCs w:val="24"/>
        </w:rPr>
        <w:t>HoC</w:t>
      </w:r>
      <w:proofErr w:type="spellEnd"/>
      <w:r w:rsidRPr="00C830AB">
        <w:rPr>
          <w:rFonts w:ascii="Times New Roman" w:hAnsi="Times New Roman" w:cs="Times New Roman"/>
          <w:sz w:val="24"/>
          <w:szCs w:val="24"/>
        </w:rPr>
        <w:t>”):</w:t>
      </w:r>
    </w:p>
    <w:p w14:paraId="12BD3156" w14:textId="77777777"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t>“a.</w:t>
      </w:r>
      <w:r w:rsidRPr="00C830AB">
        <w:rPr>
          <w:rFonts w:ascii="Times New Roman" w:hAnsi="Times New Roman" w:cs="Times New Roman"/>
          <w:sz w:val="24"/>
          <w:szCs w:val="24"/>
        </w:rPr>
        <w:tab/>
        <w:t xml:space="preserve">HoC1. You alleged that your CO </w:t>
      </w:r>
      <w:proofErr w:type="gramStart"/>
      <w:r w:rsidRPr="00C830AB">
        <w:rPr>
          <w:rFonts w:ascii="Times New Roman" w:hAnsi="Times New Roman" w:cs="Times New Roman"/>
          <w:sz w:val="24"/>
          <w:szCs w:val="24"/>
        </w:rPr>
        <w:t>made a recommendation that</w:t>
      </w:r>
      <w:proofErr w:type="gramEnd"/>
      <w:r w:rsidRPr="00C830AB">
        <w:rPr>
          <w:rFonts w:ascii="Times New Roman" w:hAnsi="Times New Roman" w:cs="Times New Roman"/>
          <w:sz w:val="24"/>
          <w:szCs w:val="24"/>
        </w:rPr>
        <w:t xml:space="preserve"> you are discharged without considering properly, the opinion of your medical specialist.</w:t>
      </w:r>
    </w:p>
    <w:p w14:paraId="7F1A6058" w14:textId="77777777"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t>b.</w:t>
      </w:r>
      <w:r w:rsidRPr="00C830AB">
        <w:rPr>
          <w:rFonts w:ascii="Times New Roman" w:hAnsi="Times New Roman" w:cs="Times New Roman"/>
          <w:sz w:val="24"/>
          <w:szCs w:val="24"/>
        </w:rPr>
        <w:tab/>
        <w:t>HoC2.  You allege that the MO unfairly did not medically upgrade you despite your medical specialist’s recommendation.</w:t>
      </w:r>
    </w:p>
    <w:p w14:paraId="31EF0156" w14:textId="77777777"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t>Can you also please answer the following:</w:t>
      </w:r>
    </w:p>
    <w:p w14:paraId="39131357" w14:textId="77777777"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Are you also ultimately complaining that you have been unfairly medically discharged?</w:t>
      </w:r>
    </w:p>
    <w:p w14:paraId="2BD9B4F1" w14:textId="77777777"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t>…</w:t>
      </w:r>
    </w:p>
    <w:p w14:paraId="59FF4E33" w14:textId="28EB7C16"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lastRenderedPageBreak/>
        <w:t>5.</w:t>
      </w:r>
      <w:r w:rsidRPr="00C830AB">
        <w:rPr>
          <w:rFonts w:ascii="Times New Roman" w:hAnsi="Times New Roman" w:cs="Times New Roman"/>
          <w:sz w:val="24"/>
          <w:szCs w:val="24"/>
        </w:rPr>
        <w:tab/>
        <w:t xml:space="preserve">What redress do you seek, </w:t>
      </w:r>
      <w:proofErr w:type="spellStart"/>
      <w:proofErr w:type="gramStart"/>
      <w:r w:rsidRPr="00C830AB">
        <w:rPr>
          <w:rFonts w:ascii="Times New Roman" w:hAnsi="Times New Roman" w:cs="Times New Roman"/>
          <w:sz w:val="24"/>
          <w:szCs w:val="24"/>
        </w:rPr>
        <w:t>ie</w:t>
      </w:r>
      <w:proofErr w:type="spellEnd"/>
      <w:proofErr w:type="gramEnd"/>
      <w:r w:rsidRPr="00C830AB">
        <w:rPr>
          <w:rFonts w:ascii="Times New Roman" w:hAnsi="Times New Roman" w:cs="Times New Roman"/>
          <w:sz w:val="24"/>
          <w:szCs w:val="24"/>
        </w:rPr>
        <w:t xml:space="preserve"> what do you ultimately want if your SC were to be upheld (please note this is not an indication that it is or will be but the redress listed on you</w:t>
      </w:r>
      <w:r w:rsidR="00D71970">
        <w:rPr>
          <w:rFonts w:ascii="Times New Roman" w:hAnsi="Times New Roman" w:cs="Times New Roman"/>
          <w:sz w:val="24"/>
          <w:szCs w:val="24"/>
        </w:rPr>
        <w:t>r</w:t>
      </w:r>
      <w:r w:rsidRPr="00C830AB">
        <w:rPr>
          <w:rFonts w:ascii="Times New Roman" w:hAnsi="Times New Roman" w:cs="Times New Roman"/>
          <w:sz w:val="24"/>
          <w:szCs w:val="24"/>
        </w:rPr>
        <w:t xml:space="preserve"> Annex F is not a redress?”</w:t>
      </w:r>
    </w:p>
    <w:p w14:paraId="3267F3C3"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The Claimant responded to these questions on the same date, answering respectively:</w:t>
      </w:r>
    </w:p>
    <w:p w14:paraId="58FF55A2" w14:textId="77777777" w:rsidR="00E24FDB" w:rsidRPr="00C830AB" w:rsidRDefault="00E24FDB" w:rsidP="009A02E2">
      <w:pPr>
        <w:pStyle w:val="ListParagraph"/>
        <w:tabs>
          <w:tab w:val="left" w:pos="820"/>
        </w:tabs>
        <w:spacing w:before="138"/>
        <w:ind w:right="119" w:firstLine="0"/>
        <w:rPr>
          <w:rFonts w:ascii="Times New Roman" w:hAnsi="Times New Roman" w:cs="Times New Roman"/>
          <w:sz w:val="24"/>
          <w:szCs w:val="24"/>
        </w:rPr>
      </w:pPr>
      <w:r w:rsidRPr="00C830AB">
        <w:rPr>
          <w:rFonts w:ascii="Times New Roman" w:hAnsi="Times New Roman" w:cs="Times New Roman"/>
          <w:sz w:val="24"/>
          <w:szCs w:val="24"/>
        </w:rPr>
        <w:t>“a.</w:t>
      </w:r>
      <w:r w:rsidRPr="00C830AB">
        <w:rPr>
          <w:rFonts w:ascii="Times New Roman" w:hAnsi="Times New Roman" w:cs="Times New Roman"/>
          <w:sz w:val="24"/>
          <w:szCs w:val="24"/>
        </w:rPr>
        <w:tab/>
        <w:t xml:space="preserve">… </w:t>
      </w:r>
      <w:proofErr w:type="gramStart"/>
      <w:r w:rsidRPr="00C830AB">
        <w:rPr>
          <w:rFonts w:ascii="Times New Roman" w:hAnsi="Times New Roman" w:cs="Times New Roman"/>
          <w:sz w:val="24"/>
          <w:szCs w:val="24"/>
        </w:rPr>
        <w:t>Yes</w:t>
      </w:r>
      <w:proofErr w:type="gramEnd"/>
      <w:r w:rsidRPr="00C830AB">
        <w:rPr>
          <w:rFonts w:ascii="Times New Roman" w:hAnsi="Times New Roman" w:cs="Times New Roman"/>
          <w:sz w:val="24"/>
          <w:szCs w:val="24"/>
        </w:rPr>
        <w:t xml:space="preserve"> the decision was made without considering the MOD medical specialists team recommendation.</w:t>
      </w:r>
    </w:p>
    <w:p w14:paraId="568500DE" w14:textId="77777777" w:rsidR="00E24FDB" w:rsidRPr="00C830AB" w:rsidRDefault="00E24FDB" w:rsidP="009A02E2">
      <w:pPr>
        <w:pStyle w:val="ListParagraph"/>
        <w:tabs>
          <w:tab w:val="left" w:pos="820"/>
        </w:tabs>
        <w:spacing w:before="138"/>
        <w:ind w:right="119" w:firstLine="0"/>
        <w:rPr>
          <w:rFonts w:ascii="Times New Roman" w:hAnsi="Times New Roman" w:cs="Times New Roman"/>
          <w:sz w:val="24"/>
          <w:szCs w:val="24"/>
        </w:rPr>
      </w:pPr>
      <w:r w:rsidRPr="00C830AB">
        <w:rPr>
          <w:rFonts w:ascii="Times New Roman" w:hAnsi="Times New Roman" w:cs="Times New Roman"/>
          <w:sz w:val="24"/>
          <w:szCs w:val="24"/>
        </w:rPr>
        <w:t>b.</w:t>
      </w:r>
      <w:r w:rsidRPr="00C830AB">
        <w:rPr>
          <w:rFonts w:ascii="Times New Roman" w:hAnsi="Times New Roman" w:cs="Times New Roman"/>
          <w:sz w:val="24"/>
          <w:szCs w:val="24"/>
        </w:rPr>
        <w:tab/>
        <w:t>… Correct</w:t>
      </w:r>
    </w:p>
    <w:p w14:paraId="477F1665" w14:textId="77777777" w:rsidR="00E24FDB" w:rsidRPr="00C830AB" w:rsidRDefault="00E24FDB" w:rsidP="009A02E2">
      <w:pPr>
        <w:pStyle w:val="ListParagraph"/>
        <w:tabs>
          <w:tab w:val="left" w:pos="820"/>
        </w:tabs>
        <w:spacing w:before="138"/>
        <w:ind w:right="119" w:firstLine="0"/>
        <w:rPr>
          <w:rFonts w:ascii="Times New Roman" w:hAnsi="Times New Roman" w:cs="Times New Roman"/>
          <w:sz w:val="24"/>
          <w:szCs w:val="24"/>
        </w:rPr>
      </w:pPr>
      <w:r w:rsidRPr="00C830AB">
        <w:rPr>
          <w:rFonts w:ascii="Times New Roman" w:hAnsi="Times New Roman" w:cs="Times New Roman"/>
          <w:sz w:val="24"/>
          <w:szCs w:val="24"/>
        </w:rPr>
        <w:t>…</w:t>
      </w:r>
    </w:p>
    <w:p w14:paraId="718B010C" w14:textId="77777777" w:rsidR="00E24FDB" w:rsidRPr="00C830AB" w:rsidRDefault="00E24FDB" w:rsidP="009A02E2">
      <w:pPr>
        <w:pStyle w:val="ListParagraph"/>
        <w:tabs>
          <w:tab w:val="left" w:pos="820"/>
        </w:tabs>
        <w:spacing w:before="138"/>
        <w:ind w:right="119" w:firstLine="0"/>
        <w:rPr>
          <w:rFonts w:ascii="Times New Roman" w:hAnsi="Times New Roman" w:cs="Times New Roman"/>
          <w:sz w:val="24"/>
          <w:szCs w:val="24"/>
        </w:rPr>
      </w:pPr>
      <w:r w:rsidRPr="00C830AB">
        <w:rPr>
          <w:rFonts w:ascii="Times New Roman" w:hAnsi="Times New Roman" w:cs="Times New Roman"/>
          <w:sz w:val="24"/>
          <w:szCs w:val="24"/>
        </w:rPr>
        <w:t>1.</w:t>
      </w:r>
      <w:r w:rsidRPr="00C830AB">
        <w:rPr>
          <w:rFonts w:ascii="Times New Roman" w:hAnsi="Times New Roman" w:cs="Times New Roman"/>
          <w:sz w:val="24"/>
          <w:szCs w:val="24"/>
        </w:rPr>
        <w:tab/>
        <w:t>…Totally.</w:t>
      </w:r>
    </w:p>
    <w:p w14:paraId="7CB419D3" w14:textId="77777777" w:rsidR="00E24FDB" w:rsidRPr="00C830AB" w:rsidRDefault="00E24FDB" w:rsidP="009A02E2">
      <w:pPr>
        <w:pStyle w:val="ListParagraph"/>
        <w:tabs>
          <w:tab w:val="left" w:pos="820"/>
        </w:tabs>
        <w:spacing w:before="138"/>
        <w:ind w:right="119" w:firstLine="0"/>
        <w:rPr>
          <w:rFonts w:ascii="Times New Roman" w:hAnsi="Times New Roman" w:cs="Times New Roman"/>
          <w:sz w:val="24"/>
          <w:szCs w:val="24"/>
        </w:rPr>
      </w:pPr>
      <w:r w:rsidRPr="00C830AB">
        <w:rPr>
          <w:rFonts w:ascii="Times New Roman" w:hAnsi="Times New Roman" w:cs="Times New Roman"/>
          <w:sz w:val="24"/>
          <w:szCs w:val="24"/>
        </w:rPr>
        <w:t>…</w:t>
      </w:r>
    </w:p>
    <w:p w14:paraId="244FA638" w14:textId="77777777" w:rsidR="00E24FDB" w:rsidRPr="00C830AB" w:rsidRDefault="00E24FDB" w:rsidP="009A02E2">
      <w:pPr>
        <w:pStyle w:val="ListParagraph"/>
        <w:tabs>
          <w:tab w:val="left" w:pos="820"/>
        </w:tabs>
        <w:spacing w:before="138"/>
        <w:ind w:left="1440" w:right="119" w:hanging="620"/>
        <w:rPr>
          <w:rFonts w:ascii="Times New Roman" w:hAnsi="Times New Roman" w:cs="Times New Roman"/>
          <w:sz w:val="24"/>
          <w:szCs w:val="24"/>
        </w:rPr>
      </w:pPr>
      <w:r w:rsidRPr="00C830AB">
        <w:rPr>
          <w:rFonts w:ascii="Times New Roman" w:hAnsi="Times New Roman" w:cs="Times New Roman"/>
          <w:sz w:val="24"/>
          <w:szCs w:val="24"/>
        </w:rPr>
        <w:t>5.</w:t>
      </w:r>
      <w:r w:rsidRPr="00C830AB">
        <w:rPr>
          <w:rFonts w:ascii="Times New Roman" w:hAnsi="Times New Roman" w:cs="Times New Roman"/>
          <w:sz w:val="24"/>
          <w:szCs w:val="24"/>
        </w:rPr>
        <w:tab/>
        <w:t>… I want to be compensated for unfairly being discharged and the discrimination I faced.</w:t>
      </w:r>
    </w:p>
    <w:p w14:paraId="1EA881D8" w14:textId="77777777" w:rsidR="00E24FDB" w:rsidRPr="00C830AB" w:rsidRDefault="00E24FDB" w:rsidP="009A02E2">
      <w:pPr>
        <w:pStyle w:val="ListParagraph"/>
        <w:tabs>
          <w:tab w:val="left" w:pos="820"/>
        </w:tabs>
        <w:spacing w:before="138"/>
        <w:ind w:left="820" w:right="119" w:firstLine="0"/>
        <w:rPr>
          <w:rFonts w:ascii="Times New Roman" w:hAnsi="Times New Roman" w:cs="Times New Roman"/>
          <w:sz w:val="24"/>
          <w:szCs w:val="24"/>
        </w:rPr>
      </w:pPr>
      <w:r w:rsidRPr="00C830AB">
        <w:rPr>
          <w:rFonts w:ascii="Times New Roman" w:hAnsi="Times New Roman" w:cs="Times New Roman"/>
          <w:sz w:val="24"/>
          <w:szCs w:val="24"/>
        </w:rPr>
        <w:t>”</w:t>
      </w:r>
    </w:p>
    <w:p w14:paraId="418A0A98" w14:textId="77777777" w:rsidR="00E24FDB" w:rsidRPr="00C830AB" w:rsidRDefault="00E24FDB" w:rsidP="009A02E2">
      <w:pPr>
        <w:tabs>
          <w:tab w:val="left" w:pos="820"/>
        </w:tabs>
        <w:spacing w:before="138"/>
        <w:ind w:right="119"/>
      </w:pPr>
    </w:p>
    <w:p w14:paraId="67C53BDD"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On 19 April 2023 the Claimant spoke to an officer in respect of the service complaint, following which an email setting out a timeline of events was provided to the Claimant.</w:t>
      </w:r>
    </w:p>
    <w:p w14:paraId="1496748A" w14:textId="1536E865"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The Claimant has identified that it was on 24 April 2023</w:t>
      </w:r>
      <w:r w:rsidR="00D71970">
        <w:rPr>
          <w:rFonts w:ascii="Times New Roman" w:hAnsi="Times New Roman" w:cs="Times New Roman"/>
          <w:sz w:val="24"/>
          <w:szCs w:val="24"/>
        </w:rPr>
        <w:t xml:space="preserve"> that</w:t>
      </w:r>
      <w:r w:rsidRPr="00C830AB">
        <w:rPr>
          <w:rFonts w:ascii="Times New Roman" w:hAnsi="Times New Roman" w:cs="Times New Roman"/>
          <w:sz w:val="24"/>
          <w:szCs w:val="24"/>
        </w:rPr>
        <w:t xml:space="preserve"> the Interested Party submitted its application to the ET to strike out the Claimant’s claim.</w:t>
      </w:r>
    </w:p>
    <w:p w14:paraId="6B019125"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By email dated</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5</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May</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2023</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Claimant was provided with a notification that this service complaint had been ruled</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inadmissible</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on</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basis</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it</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5"/>
          <w:sz w:val="24"/>
          <w:szCs w:val="24"/>
        </w:rPr>
        <w:t xml:space="preserve"> </w:t>
      </w:r>
      <w:r w:rsidRPr="00C830AB">
        <w:rPr>
          <w:rFonts w:ascii="Times New Roman" w:hAnsi="Times New Roman" w:cs="Times New Roman"/>
          <w:iCs/>
          <w:sz w:val="24"/>
          <w:szCs w:val="24"/>
        </w:rPr>
        <w:t>out</w:t>
      </w:r>
      <w:r w:rsidRPr="00C830AB">
        <w:rPr>
          <w:rFonts w:ascii="Times New Roman" w:hAnsi="Times New Roman" w:cs="Times New Roman"/>
          <w:iCs/>
          <w:spacing w:val="-5"/>
          <w:sz w:val="24"/>
          <w:szCs w:val="24"/>
        </w:rPr>
        <w:t xml:space="preserve"> </w:t>
      </w:r>
      <w:r w:rsidRPr="00C830AB">
        <w:rPr>
          <w:rFonts w:ascii="Times New Roman" w:hAnsi="Times New Roman" w:cs="Times New Roman"/>
          <w:iCs/>
          <w:sz w:val="24"/>
          <w:szCs w:val="24"/>
        </w:rPr>
        <w:t>of time</w:t>
      </w:r>
      <w:r w:rsidRPr="00C830AB">
        <w:rPr>
          <w:rFonts w:ascii="Times New Roman" w:hAnsi="Times New Roman" w:cs="Times New Roman"/>
          <w:sz w:val="24"/>
          <w:szCs w:val="24"/>
        </w:rPr>
        <w:t xml:space="preserve">. The attached letter of notification set out reasons for that decision.  Having set out a summary of the </w:t>
      </w:r>
      <w:proofErr w:type="spellStart"/>
      <w:r w:rsidRPr="00C830AB">
        <w:rPr>
          <w:rFonts w:ascii="Times New Roman" w:hAnsi="Times New Roman" w:cs="Times New Roman"/>
          <w:sz w:val="24"/>
          <w:szCs w:val="24"/>
        </w:rPr>
        <w:t>HoCs</w:t>
      </w:r>
      <w:proofErr w:type="spellEnd"/>
      <w:r w:rsidRPr="00C830AB">
        <w:rPr>
          <w:rFonts w:ascii="Times New Roman" w:hAnsi="Times New Roman" w:cs="Times New Roman"/>
          <w:sz w:val="24"/>
          <w:szCs w:val="24"/>
        </w:rPr>
        <w:t>, the reasoning continued as follows:</w:t>
      </w:r>
    </w:p>
    <w:p w14:paraId="362A2F6E" w14:textId="77777777" w:rsidR="00E24FDB" w:rsidRPr="00C830AB" w:rsidRDefault="00E24FDB" w:rsidP="009A02E2">
      <w:pPr>
        <w:pStyle w:val="ListParagraph"/>
        <w:rPr>
          <w:rFonts w:ascii="Times New Roman" w:hAnsi="Times New Roman" w:cs="Times New Roman"/>
          <w:sz w:val="24"/>
          <w:szCs w:val="24"/>
        </w:rPr>
      </w:pPr>
    </w:p>
    <w:p w14:paraId="0B6A5386" w14:textId="77777777" w:rsidR="00E24FDB" w:rsidRPr="00C830AB" w:rsidRDefault="00E24FDB" w:rsidP="009A02E2">
      <w:pPr>
        <w:pStyle w:val="ListParagraph"/>
        <w:tabs>
          <w:tab w:val="left" w:pos="820"/>
        </w:tabs>
        <w:spacing w:before="138"/>
        <w:ind w:left="820" w:right="119" w:firstLine="0"/>
        <w:rPr>
          <w:rFonts w:ascii="Times New Roman" w:hAnsi="Times New Roman" w:cs="Times New Roman"/>
          <w:sz w:val="24"/>
          <w:szCs w:val="24"/>
        </w:rPr>
      </w:pPr>
      <w:r w:rsidRPr="00C830AB">
        <w:rPr>
          <w:rFonts w:ascii="Times New Roman" w:hAnsi="Times New Roman" w:cs="Times New Roman"/>
          <w:sz w:val="24"/>
          <w:szCs w:val="24"/>
        </w:rPr>
        <w:t xml:space="preserve">“… The Relevant Day for the purposes of all three </w:t>
      </w:r>
      <w:proofErr w:type="spellStart"/>
      <w:r w:rsidRPr="00C830AB">
        <w:rPr>
          <w:rFonts w:ascii="Times New Roman" w:hAnsi="Times New Roman" w:cs="Times New Roman"/>
          <w:sz w:val="24"/>
          <w:szCs w:val="24"/>
        </w:rPr>
        <w:t>HoCs</w:t>
      </w:r>
      <w:proofErr w:type="spellEnd"/>
      <w:r w:rsidRPr="00C830AB">
        <w:rPr>
          <w:rFonts w:ascii="Times New Roman" w:hAnsi="Times New Roman" w:cs="Times New Roman"/>
          <w:sz w:val="24"/>
          <w:szCs w:val="24"/>
        </w:rPr>
        <w:t xml:space="preserve"> is 3 Oct 2022, the date of your discharge and the date therefore that the above alleged wrongs crystallised. As you submitted your Annex F to the Specified Officer on 14 Feb 2023, these </w:t>
      </w:r>
      <w:proofErr w:type="spellStart"/>
      <w:r w:rsidRPr="00C830AB">
        <w:rPr>
          <w:rFonts w:ascii="Times New Roman" w:hAnsi="Times New Roman" w:cs="Times New Roman"/>
          <w:sz w:val="24"/>
          <w:szCs w:val="24"/>
        </w:rPr>
        <w:t>HoCs</w:t>
      </w:r>
      <w:proofErr w:type="spellEnd"/>
      <w:r w:rsidRPr="00C830AB">
        <w:rPr>
          <w:rFonts w:ascii="Times New Roman" w:hAnsi="Times New Roman" w:cs="Times New Roman"/>
          <w:sz w:val="24"/>
          <w:szCs w:val="24"/>
        </w:rPr>
        <w:t xml:space="preserve"> are outside the three-month statutory time limit of the Relevant Day and therefore </w:t>
      </w:r>
      <w:r w:rsidRPr="00C830AB">
        <w:rPr>
          <w:rFonts w:ascii="Times New Roman" w:hAnsi="Times New Roman" w:cs="Times New Roman"/>
          <w:b/>
          <w:bCs/>
          <w:sz w:val="24"/>
          <w:szCs w:val="24"/>
        </w:rPr>
        <w:t>inadmissible</w:t>
      </w:r>
      <w:r w:rsidRPr="00C830AB">
        <w:rPr>
          <w:rFonts w:ascii="Times New Roman" w:hAnsi="Times New Roman" w:cs="Times New Roman"/>
          <w:sz w:val="24"/>
          <w:szCs w:val="24"/>
        </w:rPr>
        <w:t xml:space="preserve"> as being ‘out of time’.</w:t>
      </w:r>
    </w:p>
    <w:p w14:paraId="0912F6E0" w14:textId="77777777" w:rsidR="00E24FDB" w:rsidRPr="00C830AB" w:rsidRDefault="00E24FDB" w:rsidP="009A02E2">
      <w:pPr>
        <w:tabs>
          <w:tab w:val="left" w:pos="820"/>
        </w:tabs>
        <w:spacing w:before="138"/>
        <w:ind w:right="119"/>
        <w:jc w:val="both"/>
      </w:pPr>
    </w:p>
    <w:p w14:paraId="3795B5E2" w14:textId="77777777" w:rsidR="00E24FDB" w:rsidRPr="00C830AB" w:rsidRDefault="00E24FDB" w:rsidP="009A02E2">
      <w:pPr>
        <w:tabs>
          <w:tab w:val="left" w:pos="820"/>
        </w:tabs>
        <w:spacing w:before="138"/>
        <w:ind w:left="720" w:right="119"/>
        <w:jc w:val="both"/>
      </w:pPr>
      <w:r w:rsidRPr="00C830AB">
        <w:tab/>
        <w:t xml:space="preserve">7. As HoC1-3 are inadmissible out of time, I considered the explanation for the delay that you supplied in your Annex F and in subsequent communication with the Army SC Sec.  However, I do not consider your reasons to be compelling enough to account for the delay between the occurrence of the issue raised (your discharge in Oct 22) and the submission of your SC (14 Feb 2022).  This is a significant period to have elapsed in the context of the alleged wrong (loss of your Army career) and it is reasonable to expect that you should have </w:t>
      </w:r>
      <w:proofErr w:type="gramStart"/>
      <w:r w:rsidRPr="00C830AB">
        <w:t>taken action</w:t>
      </w:r>
      <w:proofErr w:type="gramEnd"/>
      <w:r w:rsidRPr="00C830AB">
        <w:t xml:space="preserve"> sooner to address this.  I note that you submitted your Annex F having stated that </w:t>
      </w:r>
      <w:r w:rsidRPr="00C830AB">
        <w:rPr>
          <w:i/>
          <w:iCs/>
        </w:rPr>
        <w:t>“the appeal never came through till now”</w:t>
      </w:r>
      <w:r w:rsidRPr="00C830AB">
        <w:t xml:space="preserve"> but have not provided any evidence relating to this.  Again, given the severity of the issue, I struggle to understand why you allowed such a significant period of time to pass before taking any action.</w:t>
      </w:r>
    </w:p>
    <w:p w14:paraId="056F7606" w14:textId="77777777" w:rsidR="00E24FDB" w:rsidRPr="00C830AB" w:rsidRDefault="00E24FDB" w:rsidP="009A02E2">
      <w:pPr>
        <w:tabs>
          <w:tab w:val="left" w:pos="820"/>
        </w:tabs>
        <w:spacing w:before="138"/>
        <w:ind w:left="720" w:right="119"/>
        <w:jc w:val="both"/>
      </w:pPr>
      <w:r w:rsidRPr="00C830AB">
        <w:lastRenderedPageBreak/>
        <w:tab/>
        <w:t>8. Time limits for raising SCs are set to ensure a level of fairness for complainants, respondents, and witnesses, to obtain evidence and witness accounts before details are lost due to time.  The Principles of Fairness for the Handling of Service Complaints found at Annex H of JSP 831 says to “follow the Service Complaints policy” and “ensure that investigations are prompt, thorough and establish the facts”. Allowing matters to be included where substantial time has passed does not provide the protections afforded by the time limits or comply with the Principles of Fairness.</w:t>
      </w:r>
    </w:p>
    <w:p w14:paraId="200F6C45" w14:textId="77777777" w:rsidR="00E24FDB" w:rsidRPr="00C830AB" w:rsidRDefault="00E24FDB" w:rsidP="009A02E2">
      <w:pPr>
        <w:tabs>
          <w:tab w:val="left" w:pos="820"/>
        </w:tabs>
        <w:spacing w:before="138"/>
        <w:ind w:left="720" w:right="119"/>
        <w:jc w:val="both"/>
      </w:pPr>
      <w:r w:rsidRPr="00C830AB">
        <w:tab/>
        <w:t xml:space="preserve">9. In summary, I am not persuaded that the explanation you have given for your late submission can be considered just and equitable for me to consider your application outside of the time limit.  I therefore reiterate that these </w:t>
      </w:r>
      <w:proofErr w:type="spellStart"/>
      <w:r w:rsidRPr="00C830AB">
        <w:t>HoCs</w:t>
      </w:r>
      <w:proofErr w:type="spellEnd"/>
      <w:r w:rsidRPr="00C830AB">
        <w:t xml:space="preserve"> are </w:t>
      </w:r>
      <w:r w:rsidRPr="00C830AB">
        <w:rPr>
          <w:b/>
          <w:bCs/>
        </w:rPr>
        <w:t>inadmissible.</w:t>
      </w:r>
      <w:r w:rsidRPr="00C830AB">
        <w:t>”</w:t>
      </w:r>
    </w:p>
    <w:p w14:paraId="0AB94D5D" w14:textId="77777777" w:rsidR="00E24FDB" w:rsidRPr="00C830AB" w:rsidRDefault="00E24FDB" w:rsidP="009A02E2">
      <w:pPr>
        <w:tabs>
          <w:tab w:val="left" w:pos="820"/>
        </w:tabs>
        <w:spacing w:before="138"/>
        <w:ind w:right="119"/>
      </w:pPr>
    </w:p>
    <w:p w14:paraId="01D9A867" w14:textId="767E3A30"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In her oral submissions Ms Braganza pointed out that the letter does not reference the Claimant’s identification of discrimination, nor deal with that characterisation of the service complaint by the Claimant. As to the references to potential prejudice arising from any delay, Ms Braganza submitted that this comes in a context where there were delays occurring in the ET proceedings and, in any event the Claimant’s claim in respect of discrimination does not rely on witness memory, but is based on medical evidence, the decision that was taken and what the Claimant submits was the relevant policy applicable at the time.  She submits that any concern about memories fading is necessarily of much lesser significance than for other types of service compliant, such as a bullying allegation.</w:t>
      </w:r>
    </w:p>
    <w:p w14:paraId="161E3310" w14:textId="638B38EC"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Paragraph 13 of the specified officer’s letter identified that if the Claimant did not agree with the decision, he had the right to contact the SCOAF to seek an independent review and that he must do this within 4 weeks from the date he received the letter.  It referred him to guidance on what an application must include and how to make one on the SCOAF’s website and further information contained in JSP</w:t>
      </w:r>
      <w:r w:rsidR="00D71970">
        <w:rPr>
          <w:rFonts w:ascii="Times New Roman" w:hAnsi="Times New Roman" w:cs="Times New Roman"/>
          <w:sz w:val="24"/>
          <w:szCs w:val="24"/>
        </w:rPr>
        <w:t xml:space="preserve"> </w:t>
      </w:r>
      <w:r w:rsidRPr="00C830AB">
        <w:rPr>
          <w:rFonts w:ascii="Times New Roman" w:hAnsi="Times New Roman" w:cs="Times New Roman"/>
          <w:sz w:val="24"/>
          <w:szCs w:val="24"/>
        </w:rPr>
        <w:t>831.</w:t>
      </w:r>
    </w:p>
    <w:p w14:paraId="1F99B6C5" w14:textId="61239646"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The </w:t>
      </w:r>
      <w:proofErr w:type="gramStart"/>
      <w:r w:rsidRPr="00C830AB">
        <w:rPr>
          <w:rFonts w:ascii="Times New Roman" w:hAnsi="Times New Roman" w:cs="Times New Roman"/>
          <w:sz w:val="24"/>
          <w:szCs w:val="24"/>
        </w:rPr>
        <w:t>four week</w:t>
      </w:r>
      <w:proofErr w:type="gramEnd"/>
      <w:r w:rsidRPr="00C830AB">
        <w:rPr>
          <w:rFonts w:ascii="Times New Roman" w:hAnsi="Times New Roman" w:cs="Times New Roman"/>
          <w:sz w:val="24"/>
          <w:szCs w:val="24"/>
        </w:rPr>
        <w:t xml:space="preserve"> time limit for making such an application expired on or around 6 June 2023. The Claimant submitted his application to the Defendant to review the Interested </w:t>
      </w:r>
      <w:proofErr w:type="gramStart"/>
      <w:r w:rsidRPr="00C830AB">
        <w:rPr>
          <w:rFonts w:ascii="Times New Roman" w:hAnsi="Times New Roman" w:cs="Times New Roman"/>
          <w:sz w:val="24"/>
          <w:szCs w:val="24"/>
        </w:rPr>
        <w:t xml:space="preserve">Party’s </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admissibility</w:t>
      </w:r>
      <w:proofErr w:type="gramEnd"/>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decision</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on</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16</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 xml:space="preserve">June 2023.   The Claimant accepts that this application was made 10 days after the relevant deadline.  </w:t>
      </w:r>
    </w:p>
    <w:p w14:paraId="670578C2"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The template for such an application includes a section on lateness as follows, with the Claimant’s answers to the questions posed:</w:t>
      </w:r>
    </w:p>
    <w:p w14:paraId="57F69878" w14:textId="77777777" w:rsidR="00E24FDB" w:rsidRPr="00C830AB" w:rsidRDefault="00E24FDB" w:rsidP="009A02E2">
      <w:pPr>
        <w:pStyle w:val="ListParagraph"/>
        <w:tabs>
          <w:tab w:val="left" w:pos="820"/>
        </w:tabs>
        <w:spacing w:before="138"/>
        <w:ind w:left="1440" w:right="119" w:firstLine="0"/>
        <w:rPr>
          <w:rFonts w:ascii="Times New Roman" w:hAnsi="Times New Roman" w:cs="Times New Roman"/>
          <w:b/>
          <w:bCs/>
          <w:sz w:val="24"/>
          <w:szCs w:val="24"/>
        </w:rPr>
      </w:pPr>
      <w:r w:rsidRPr="00C830AB">
        <w:rPr>
          <w:rFonts w:ascii="Times New Roman" w:hAnsi="Times New Roman" w:cs="Times New Roman"/>
          <w:sz w:val="24"/>
          <w:szCs w:val="24"/>
        </w:rPr>
        <w:t>‘</w:t>
      </w:r>
      <w:r w:rsidRPr="00C830AB">
        <w:rPr>
          <w:rFonts w:ascii="Times New Roman" w:hAnsi="Times New Roman" w:cs="Times New Roman"/>
          <w:b/>
          <w:bCs/>
          <w:sz w:val="24"/>
          <w:szCs w:val="24"/>
        </w:rPr>
        <w:t>Was the Decision posted or emailed to you more than 4 weeks and 2 days ago?</w:t>
      </w:r>
    </w:p>
    <w:p w14:paraId="2A442650" w14:textId="77777777" w:rsidR="00E24FDB" w:rsidRPr="00C830AB" w:rsidRDefault="00E24FDB" w:rsidP="009A02E2">
      <w:pPr>
        <w:pStyle w:val="ListParagraph"/>
        <w:tabs>
          <w:tab w:val="left" w:pos="820"/>
        </w:tabs>
        <w:spacing w:before="138"/>
        <w:ind w:left="1440" w:right="119" w:firstLine="0"/>
        <w:rPr>
          <w:rFonts w:ascii="Times New Roman" w:hAnsi="Times New Roman" w:cs="Times New Roman"/>
          <w:sz w:val="24"/>
          <w:szCs w:val="24"/>
        </w:rPr>
      </w:pPr>
      <w:r w:rsidRPr="00C830AB">
        <w:rPr>
          <w:rFonts w:ascii="Times New Roman" w:hAnsi="Times New Roman" w:cs="Times New Roman"/>
          <w:sz w:val="24"/>
          <w:szCs w:val="24"/>
        </w:rPr>
        <w:t>Yes</w:t>
      </w:r>
    </w:p>
    <w:p w14:paraId="137E8210" w14:textId="77777777" w:rsidR="00E24FDB" w:rsidRPr="00C830AB" w:rsidRDefault="00E24FDB" w:rsidP="009A02E2">
      <w:pPr>
        <w:pStyle w:val="ListParagraph"/>
        <w:tabs>
          <w:tab w:val="left" w:pos="820"/>
        </w:tabs>
        <w:spacing w:before="138"/>
        <w:ind w:left="1440" w:right="119" w:firstLine="0"/>
        <w:rPr>
          <w:rFonts w:ascii="Times New Roman" w:hAnsi="Times New Roman" w:cs="Times New Roman"/>
          <w:b/>
          <w:bCs/>
          <w:sz w:val="24"/>
          <w:szCs w:val="24"/>
        </w:rPr>
      </w:pPr>
      <w:r w:rsidRPr="00C830AB">
        <w:rPr>
          <w:rFonts w:ascii="Times New Roman" w:hAnsi="Times New Roman" w:cs="Times New Roman"/>
          <w:b/>
          <w:bCs/>
          <w:sz w:val="24"/>
          <w:szCs w:val="24"/>
        </w:rPr>
        <w:t>If yes, why was your application late?</w:t>
      </w:r>
    </w:p>
    <w:p w14:paraId="77505FB9" w14:textId="77777777" w:rsidR="00E24FDB" w:rsidRPr="00C830AB" w:rsidRDefault="00E24FDB" w:rsidP="009A02E2">
      <w:pPr>
        <w:pStyle w:val="ListParagraph"/>
        <w:tabs>
          <w:tab w:val="left" w:pos="820"/>
        </w:tabs>
        <w:spacing w:before="138"/>
        <w:ind w:left="1440" w:right="119" w:firstLine="0"/>
        <w:rPr>
          <w:rFonts w:ascii="Times New Roman" w:hAnsi="Times New Roman" w:cs="Times New Roman"/>
          <w:sz w:val="24"/>
          <w:szCs w:val="24"/>
        </w:rPr>
      </w:pPr>
      <w:r w:rsidRPr="00C830AB">
        <w:rPr>
          <w:rFonts w:ascii="Times New Roman" w:hAnsi="Times New Roman" w:cs="Times New Roman"/>
          <w:sz w:val="24"/>
          <w:szCs w:val="24"/>
        </w:rPr>
        <w:t>My legal representative was seeking way forward from the tribunal</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because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MOD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defence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team</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had</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written</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court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struck off the case entirely.”</w:t>
      </w:r>
    </w:p>
    <w:p w14:paraId="61753A16" w14:textId="77777777" w:rsidR="00E24FDB" w:rsidRPr="00C830AB" w:rsidRDefault="00E24FDB" w:rsidP="009A02E2">
      <w:pPr>
        <w:pStyle w:val="ListParagraph"/>
        <w:tabs>
          <w:tab w:val="left" w:pos="809"/>
        </w:tabs>
        <w:ind w:left="809"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69423DD3"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In his witness statement for these proceedings the Claimant has also stated that two or three days after submitting his application, a woman from SCOAF telephoned him to discuss his application.  In his witness statement the Claimant states:</w:t>
      </w:r>
    </w:p>
    <w:p w14:paraId="2D4AADB5"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24F6BB5E" w14:textId="0EB60415" w:rsidR="00E24FDB" w:rsidRPr="00C830AB" w:rsidRDefault="00E24FDB" w:rsidP="009A02E2">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 xml:space="preserve">“… The woman said that she was calling from the Ombudsman and the </w:t>
      </w:r>
      <w:r w:rsidRPr="00C830AB">
        <w:rPr>
          <w:rFonts w:ascii="Times New Roman" w:hAnsi="Times New Roman" w:cs="Times New Roman"/>
          <w:sz w:val="24"/>
          <w:szCs w:val="24"/>
        </w:rPr>
        <w:lastRenderedPageBreak/>
        <w:t xml:space="preserve">purpose of the call was to get more information about the request for review.  The call lasted around 30 or 40 minutes.  She asked me why I had made a Service Complaint, and I gave her a chronological account of the medical discharge.  I told her about what had happened after I made the Service Complaint, </w:t>
      </w:r>
      <w:proofErr w:type="spellStart"/>
      <w:proofErr w:type="gramStart"/>
      <w:r w:rsidRPr="00C830AB">
        <w:rPr>
          <w:rFonts w:ascii="Times New Roman" w:hAnsi="Times New Roman" w:cs="Times New Roman"/>
          <w:sz w:val="24"/>
          <w:szCs w:val="24"/>
        </w:rPr>
        <w:t>ie</w:t>
      </w:r>
      <w:proofErr w:type="spellEnd"/>
      <w:proofErr w:type="gramEnd"/>
      <w:r w:rsidRPr="00C830AB">
        <w:rPr>
          <w:rFonts w:ascii="Times New Roman" w:hAnsi="Times New Roman" w:cs="Times New Roman"/>
          <w:sz w:val="24"/>
          <w:szCs w:val="24"/>
        </w:rPr>
        <w:t xml:space="preserve"> that it had been deemed inadmissible on the basis that it was out of time.  To the best </w:t>
      </w:r>
      <w:r w:rsidR="00D71970">
        <w:rPr>
          <w:rFonts w:ascii="Times New Roman" w:hAnsi="Times New Roman" w:cs="Times New Roman"/>
          <w:sz w:val="24"/>
          <w:szCs w:val="24"/>
        </w:rPr>
        <w:t xml:space="preserve">of </w:t>
      </w:r>
      <w:r w:rsidRPr="00C830AB">
        <w:rPr>
          <w:rFonts w:ascii="Times New Roman" w:hAnsi="Times New Roman" w:cs="Times New Roman"/>
          <w:sz w:val="24"/>
          <w:szCs w:val="24"/>
        </w:rPr>
        <w:t xml:space="preserve">my </w:t>
      </w:r>
      <w:proofErr w:type="gramStart"/>
      <w:r w:rsidRPr="00C830AB">
        <w:rPr>
          <w:rFonts w:ascii="Times New Roman" w:hAnsi="Times New Roman" w:cs="Times New Roman"/>
          <w:sz w:val="24"/>
          <w:szCs w:val="24"/>
        </w:rPr>
        <w:t>recollection</w:t>
      </w:r>
      <w:proofErr w:type="gramEnd"/>
      <w:r w:rsidRPr="00C830AB">
        <w:rPr>
          <w:rFonts w:ascii="Times New Roman" w:hAnsi="Times New Roman" w:cs="Times New Roman"/>
          <w:sz w:val="24"/>
          <w:szCs w:val="24"/>
        </w:rPr>
        <w:t xml:space="preserve"> she did not ask me about my knowledge of the Service Complaints process or about the Ombudsman process, nor did she ask me to provide reasons for why my request for review had been submitted late.  She also did not ask any questions about my ongoing case in the Employment Tribunal.  She asked me to provide documents, and on 22 June 2023, she follow</w:t>
      </w:r>
      <w:r w:rsidR="00D71970">
        <w:rPr>
          <w:rFonts w:ascii="Times New Roman" w:hAnsi="Times New Roman" w:cs="Times New Roman"/>
          <w:sz w:val="24"/>
          <w:szCs w:val="24"/>
        </w:rPr>
        <w:t>ed</w:t>
      </w:r>
      <w:r w:rsidRPr="00C830AB">
        <w:rPr>
          <w:rFonts w:ascii="Times New Roman" w:hAnsi="Times New Roman" w:cs="Times New Roman"/>
          <w:sz w:val="24"/>
          <w:szCs w:val="24"/>
        </w:rPr>
        <w:t xml:space="preserve"> up this request with an email.  I provided documents on the same day.  My impression after all of this was that the Defendant would be looking into the </w:t>
      </w:r>
      <w:r w:rsidR="00D71970">
        <w:rPr>
          <w:rFonts w:ascii="Times New Roman" w:hAnsi="Times New Roman" w:cs="Times New Roman"/>
          <w:sz w:val="24"/>
          <w:szCs w:val="24"/>
        </w:rPr>
        <w:t>in</w:t>
      </w:r>
      <w:r w:rsidRPr="00C830AB">
        <w:rPr>
          <w:rFonts w:ascii="Times New Roman" w:hAnsi="Times New Roman" w:cs="Times New Roman"/>
          <w:sz w:val="24"/>
          <w:szCs w:val="24"/>
        </w:rPr>
        <w:t xml:space="preserve">admissibility decision.” </w:t>
      </w:r>
    </w:p>
    <w:p w14:paraId="287ECAFC" w14:textId="77777777" w:rsidR="00E24FDB" w:rsidRPr="00C830AB" w:rsidRDefault="00E24FDB" w:rsidP="009A02E2">
      <w:pPr>
        <w:pStyle w:val="ListParagraph"/>
        <w:tabs>
          <w:tab w:val="left" w:pos="820"/>
        </w:tabs>
        <w:spacing w:before="78"/>
        <w:ind w:left="820" w:right="118"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233DE41D"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In the Trial Bundle (and therefore in the material previously available to the Claimant before the Defendant’s latest disclosure) there is an email dated 22 June 2023 from an Enquiries and Referrals Officer of the SCOAF to the Claimant.  It begins:</w:t>
      </w:r>
    </w:p>
    <w:p w14:paraId="1864F9B7" w14:textId="77777777" w:rsidR="00E24FDB" w:rsidRPr="00C830AB" w:rsidRDefault="00E24FDB" w:rsidP="009A02E2">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 xml:space="preserve">“Further to my email dated 16 June 2023, I have noticed that we do not appear to have heard from </w:t>
      </w:r>
      <w:proofErr w:type="gramStart"/>
      <w:r w:rsidRPr="00C830AB">
        <w:rPr>
          <w:rFonts w:ascii="Times New Roman" w:hAnsi="Times New Roman" w:cs="Times New Roman"/>
          <w:sz w:val="24"/>
          <w:szCs w:val="24"/>
        </w:rPr>
        <w:t>you?</w:t>
      </w:r>
      <w:proofErr w:type="gramEnd"/>
      <w:r w:rsidRPr="00C830AB">
        <w:rPr>
          <w:rFonts w:ascii="Times New Roman" w:hAnsi="Times New Roman" w:cs="Times New Roman"/>
          <w:sz w:val="24"/>
          <w:szCs w:val="24"/>
        </w:rPr>
        <w:t xml:space="preserve">  If you have any </w:t>
      </w:r>
      <w:proofErr w:type="gramStart"/>
      <w:r w:rsidRPr="00C830AB">
        <w:rPr>
          <w:rFonts w:ascii="Times New Roman" w:hAnsi="Times New Roman" w:cs="Times New Roman"/>
          <w:sz w:val="24"/>
          <w:szCs w:val="24"/>
        </w:rPr>
        <w:t>questions</w:t>
      </w:r>
      <w:proofErr w:type="gramEnd"/>
      <w:r w:rsidRPr="00C830AB">
        <w:rPr>
          <w:rFonts w:ascii="Times New Roman" w:hAnsi="Times New Roman" w:cs="Times New Roman"/>
          <w:sz w:val="24"/>
          <w:szCs w:val="24"/>
        </w:rPr>
        <w:t xml:space="preserve"> please do not hesitate to contact us.</w:t>
      </w:r>
    </w:p>
    <w:p w14:paraId="74CC9866"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67FF86BA" w14:textId="77777777" w:rsidR="00E24FDB" w:rsidRPr="00C830AB" w:rsidRDefault="00E24FDB" w:rsidP="009A02E2">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In our email we requested the following documents required to process your Application for an Admissibility Review:</w:t>
      </w:r>
    </w:p>
    <w:p w14:paraId="50E06935"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4C30F5B6"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r w:rsidRPr="00C830AB">
        <w:rPr>
          <w:rFonts w:ascii="Times New Roman" w:hAnsi="Times New Roman" w:cs="Times New Roman"/>
          <w:sz w:val="24"/>
          <w:szCs w:val="24"/>
        </w:rPr>
        <w:tab/>
        <w:t>Your written statement of complaint/Annex F</w:t>
      </w:r>
    </w:p>
    <w:p w14:paraId="0D4F30B2" w14:textId="77C75711"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r w:rsidRPr="00C830AB">
        <w:rPr>
          <w:rFonts w:ascii="Times New Roman" w:hAnsi="Times New Roman" w:cs="Times New Roman"/>
          <w:sz w:val="24"/>
          <w:szCs w:val="24"/>
        </w:rPr>
        <w:tab/>
        <w:t>The Admissibil</w:t>
      </w:r>
      <w:r w:rsidR="00D71970">
        <w:rPr>
          <w:rFonts w:ascii="Times New Roman" w:hAnsi="Times New Roman" w:cs="Times New Roman"/>
          <w:sz w:val="24"/>
          <w:szCs w:val="24"/>
        </w:rPr>
        <w:t>i</w:t>
      </w:r>
      <w:r w:rsidRPr="00C830AB">
        <w:rPr>
          <w:rFonts w:ascii="Times New Roman" w:hAnsi="Times New Roman" w:cs="Times New Roman"/>
          <w:sz w:val="24"/>
          <w:szCs w:val="24"/>
        </w:rPr>
        <w:t>ty Decision</w:t>
      </w:r>
    </w:p>
    <w:p w14:paraId="320BCD85"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09D82B48"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r w:rsidRPr="00C830AB">
        <w:rPr>
          <w:rFonts w:ascii="Times New Roman" w:hAnsi="Times New Roman" w:cs="Times New Roman"/>
          <w:sz w:val="24"/>
          <w:szCs w:val="24"/>
        </w:rPr>
        <w:tab/>
        <w:t>…”</w:t>
      </w:r>
      <w:r w:rsidRPr="00C830AB">
        <w:rPr>
          <w:rFonts w:ascii="Times New Roman" w:hAnsi="Times New Roman" w:cs="Times New Roman"/>
          <w:sz w:val="24"/>
          <w:szCs w:val="24"/>
        </w:rPr>
        <w:tab/>
      </w:r>
    </w:p>
    <w:p w14:paraId="450112F7" w14:textId="77777777" w:rsidR="00E24FDB" w:rsidRPr="00C830AB" w:rsidRDefault="00E24FDB" w:rsidP="009A02E2">
      <w:pPr>
        <w:pStyle w:val="ListParagraph"/>
        <w:tabs>
          <w:tab w:val="left" w:pos="820"/>
        </w:tabs>
        <w:spacing w:before="78"/>
        <w:ind w:left="820" w:right="118" w:firstLine="0"/>
        <w:rPr>
          <w:rFonts w:ascii="Times New Roman" w:hAnsi="Times New Roman" w:cs="Times New Roman"/>
          <w:sz w:val="24"/>
          <w:szCs w:val="24"/>
        </w:rPr>
      </w:pPr>
    </w:p>
    <w:p w14:paraId="55417535"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It explained that these documents could be submitted by email.  It went on to refer to the time limits for review applications and next steps as follows:</w:t>
      </w:r>
    </w:p>
    <w:p w14:paraId="4B3A462C"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15A2F09C"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r w:rsidRPr="00C830AB">
        <w:rPr>
          <w:rFonts w:ascii="Times New Roman" w:hAnsi="Times New Roman" w:cs="Times New Roman"/>
          <w:sz w:val="24"/>
          <w:szCs w:val="24"/>
        </w:rPr>
        <w:tab/>
        <w:t>“Please Note:</w:t>
      </w:r>
    </w:p>
    <w:p w14:paraId="26F5565B" w14:textId="77777777" w:rsidR="00E24FDB" w:rsidRPr="00C830AB" w:rsidRDefault="00E24FDB" w:rsidP="009A02E2">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 xml:space="preserve">You have 4 weeks and 2 days from the date your decision was posted or emailed to you to ask the Ombudsman to review it.  You should have been informed of this on the decision letter.  If you do not make your application to the Ombudsman within 4 weeks and 2 days, you need to provide reasons for </w:t>
      </w:r>
      <w:proofErr w:type="gramStart"/>
      <w:r w:rsidRPr="00C830AB">
        <w:rPr>
          <w:rFonts w:ascii="Times New Roman" w:hAnsi="Times New Roman" w:cs="Times New Roman"/>
          <w:sz w:val="24"/>
          <w:szCs w:val="24"/>
        </w:rPr>
        <w:t>this</w:t>
      </w:r>
      <w:proofErr w:type="gramEnd"/>
      <w:r w:rsidRPr="00C830AB">
        <w:rPr>
          <w:rFonts w:ascii="Times New Roman" w:hAnsi="Times New Roman" w:cs="Times New Roman"/>
          <w:sz w:val="24"/>
          <w:szCs w:val="24"/>
        </w:rPr>
        <w:t xml:space="preserve"> and your application might not be accepted.</w:t>
      </w:r>
    </w:p>
    <w:p w14:paraId="2CFEB80D"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42E7A024" w14:textId="77777777" w:rsidR="00E24FDB" w:rsidRPr="00C830AB" w:rsidRDefault="00E24FDB" w:rsidP="009A02E2">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Once the above information has been received, your application will be passed to the Investigations Team and a member of the Investigations Team will aim to contact you within 10 working days.</w:t>
      </w:r>
    </w:p>
    <w:p w14:paraId="4AF7619D" w14:textId="77777777" w:rsidR="00E24FDB" w:rsidRPr="00C830AB" w:rsidRDefault="00E24FDB" w:rsidP="009A02E2">
      <w:pPr>
        <w:pStyle w:val="ListParagraph"/>
        <w:tabs>
          <w:tab w:val="left" w:pos="820"/>
        </w:tabs>
        <w:spacing w:before="78"/>
        <w:ind w:right="118" w:firstLine="0"/>
        <w:rPr>
          <w:rFonts w:ascii="Times New Roman" w:hAnsi="Times New Roman" w:cs="Times New Roman"/>
          <w:sz w:val="24"/>
          <w:szCs w:val="24"/>
        </w:rPr>
      </w:pPr>
    </w:p>
    <w:p w14:paraId="0F68AA64" w14:textId="77777777" w:rsidR="00E24FDB" w:rsidRPr="00C830AB" w:rsidRDefault="00E24FDB" w:rsidP="009A02E2">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 xml:space="preserve">Please also note that each application is treated on its own merits and not all applications to the Ombudsman will be accepted.  If your application is not </w:t>
      </w:r>
      <w:r w:rsidRPr="00C830AB">
        <w:rPr>
          <w:rFonts w:ascii="Times New Roman" w:hAnsi="Times New Roman" w:cs="Times New Roman"/>
          <w:sz w:val="24"/>
          <w:szCs w:val="24"/>
        </w:rPr>
        <w:lastRenderedPageBreak/>
        <w:t>accepted, you will receive a decision letter outlining why.  The decision made by the Ombudsman when determining whether to accept an application is final and binding.”</w:t>
      </w:r>
    </w:p>
    <w:p w14:paraId="3D5D7673" w14:textId="77777777" w:rsidR="00E24FDB" w:rsidRPr="00C830AB" w:rsidRDefault="00E24FDB" w:rsidP="009A02E2">
      <w:pPr>
        <w:pStyle w:val="ListParagraph"/>
        <w:tabs>
          <w:tab w:val="left" w:pos="820"/>
        </w:tabs>
        <w:spacing w:before="78"/>
        <w:ind w:left="820" w:right="118"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595F57D"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 xml:space="preserve">The witness statement provided by the Defendant dated 26 January 2024 refers to its internal records on the missing documentation and the request that was made of the Claimant for its provision.  The Ombudsman identifies that there was also a telephone call by an Enquiries and Referrals Officer to the Claimant on 22 June 2023 to ask for the outstanding documents in response to which the Claimant stated he would provide them straight away.  There is reference to that telephone call in the Defendant’s internal records that have been disclosed. </w:t>
      </w:r>
    </w:p>
    <w:p w14:paraId="24F7A2D7" w14:textId="77777777" w:rsidR="00E24FDB" w:rsidRPr="00C830AB" w:rsidRDefault="00E24FDB" w:rsidP="009A02E2">
      <w:pPr>
        <w:pStyle w:val="ListParagraph"/>
        <w:tabs>
          <w:tab w:val="left" w:pos="820"/>
        </w:tabs>
        <w:spacing w:before="78"/>
        <w:ind w:left="820" w:right="118"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4B2ED132"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 xml:space="preserve">The Claimant duly provided the documents that had been requested, along with a “statement of events” summarising his account of events and dealing with the question of the delay in submitting his service complaint. </w:t>
      </w:r>
    </w:p>
    <w:p w14:paraId="5E1C42C1" w14:textId="77777777" w:rsidR="00E24FDB" w:rsidRPr="00C830AB" w:rsidRDefault="00E24FDB" w:rsidP="009A02E2">
      <w:pPr>
        <w:pStyle w:val="ListParagraph"/>
        <w:rPr>
          <w:rFonts w:ascii="Times New Roman" w:hAnsi="Times New Roman" w:cs="Times New Roman"/>
          <w:sz w:val="24"/>
          <w:szCs w:val="24"/>
        </w:rPr>
      </w:pPr>
    </w:p>
    <w:p w14:paraId="7D39CCE9"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In the most recent disclosure from the Defendant a further email dated 23 June 2023 has been provided.  This was from the same Enquiries and Referrals Officer. It is written to the Claimant thanking him for an email the previous day and for a copy of his Annex F Form.  This therefore confirms that the Claimant had provided the requested documentation on 22 June 2023.  The email of 23 June 2023 continued:</w:t>
      </w:r>
    </w:p>
    <w:p w14:paraId="2D770EF1" w14:textId="77777777" w:rsidR="00E24FDB" w:rsidRPr="00C830AB" w:rsidRDefault="00E24FDB" w:rsidP="009A02E2">
      <w:pPr>
        <w:pStyle w:val="ListParagraph"/>
        <w:ind w:left="1440" w:firstLine="0"/>
        <w:rPr>
          <w:rFonts w:ascii="Times New Roman" w:hAnsi="Times New Roman" w:cs="Times New Roman"/>
          <w:sz w:val="24"/>
          <w:szCs w:val="24"/>
        </w:rPr>
      </w:pPr>
    </w:p>
    <w:p w14:paraId="4B84F69C" w14:textId="77777777" w:rsidR="00E24FDB" w:rsidRPr="00C830AB" w:rsidRDefault="00E24FDB" w:rsidP="009A02E2">
      <w:pPr>
        <w:pStyle w:val="ListParagraph"/>
        <w:ind w:left="1440" w:firstLine="0"/>
        <w:rPr>
          <w:rFonts w:ascii="Times New Roman" w:hAnsi="Times New Roman" w:cs="Times New Roman"/>
          <w:sz w:val="24"/>
          <w:szCs w:val="24"/>
        </w:rPr>
      </w:pPr>
      <w:r w:rsidRPr="00C830AB">
        <w:rPr>
          <w:rFonts w:ascii="Times New Roman" w:hAnsi="Times New Roman" w:cs="Times New Roman"/>
          <w:sz w:val="24"/>
          <w:szCs w:val="24"/>
        </w:rPr>
        <w:t>“Your application will be passed to the Investigations Team and a member of the Investigations Team will aim to contact you within 10 working days.</w:t>
      </w:r>
    </w:p>
    <w:p w14:paraId="46F5AE51" w14:textId="77777777" w:rsidR="00E24FDB" w:rsidRPr="00C830AB" w:rsidRDefault="00E24FDB" w:rsidP="009A02E2">
      <w:pPr>
        <w:pStyle w:val="ListParagraph"/>
        <w:ind w:left="1440" w:firstLine="0"/>
        <w:rPr>
          <w:rFonts w:ascii="Times New Roman" w:hAnsi="Times New Roman" w:cs="Times New Roman"/>
          <w:b/>
          <w:bCs/>
          <w:sz w:val="24"/>
          <w:szCs w:val="24"/>
        </w:rPr>
      </w:pPr>
    </w:p>
    <w:p w14:paraId="5A2D25A0" w14:textId="77777777" w:rsidR="00E24FDB" w:rsidRPr="00C830AB" w:rsidRDefault="00E24FDB" w:rsidP="009A02E2">
      <w:pPr>
        <w:pStyle w:val="ListParagraph"/>
        <w:ind w:left="1440" w:firstLine="0"/>
        <w:rPr>
          <w:rFonts w:ascii="Times New Roman" w:hAnsi="Times New Roman" w:cs="Times New Roman"/>
          <w:b/>
          <w:bCs/>
          <w:sz w:val="24"/>
          <w:szCs w:val="24"/>
        </w:rPr>
      </w:pPr>
      <w:r w:rsidRPr="00C830AB">
        <w:rPr>
          <w:rFonts w:ascii="Times New Roman" w:hAnsi="Times New Roman" w:cs="Times New Roman"/>
          <w:b/>
          <w:bCs/>
          <w:sz w:val="24"/>
          <w:szCs w:val="24"/>
        </w:rPr>
        <w:t>Please also note that each application is treated on its own merits and not all applications to the Ombudsman will be accepted.  If your application is not accepted, you will receive a decision letter outlining why.  The decision made by the Ombudsman when determining whether to accept an application is final and binding.</w:t>
      </w:r>
    </w:p>
    <w:p w14:paraId="110960EA" w14:textId="77777777" w:rsidR="00E24FDB" w:rsidRPr="00C830AB" w:rsidRDefault="00E24FDB" w:rsidP="009A02E2">
      <w:pPr>
        <w:pStyle w:val="ListParagraph"/>
        <w:ind w:left="1440" w:firstLine="0"/>
        <w:rPr>
          <w:rFonts w:ascii="Times New Roman" w:hAnsi="Times New Roman" w:cs="Times New Roman"/>
          <w:sz w:val="24"/>
          <w:szCs w:val="24"/>
        </w:rPr>
      </w:pPr>
      <w:r w:rsidRPr="00C830AB">
        <w:rPr>
          <w:rFonts w:ascii="Times New Roman" w:hAnsi="Times New Roman" w:cs="Times New Roman"/>
          <w:sz w:val="24"/>
          <w:szCs w:val="24"/>
        </w:rPr>
        <w:t>…”</w:t>
      </w:r>
    </w:p>
    <w:p w14:paraId="2FD7B92A" w14:textId="32C66CB6"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 xml:space="preserve">At the hearing the Claimant sought to place particular reliance on the late disclosure of this email in support of its late application to include the new Ground 3. The Claimant submitted that this disclosed email sets out that the Claimant would be contacted by a member of the Investigations Team, but that this did not happen.  The Claimant relies on the timing of the provision of this email to support the timing of his very late application to amend. In resisting the lateness of the amendment application, the Defendant points out that the email dated 23 June 2023 was in very similar terms to the email dated 22 June 2023, which the Claimant already had available to him.  The Defendant submits that the Claimant had the ability to advance the sort of ground </w:t>
      </w:r>
      <w:r w:rsidR="00D71970">
        <w:rPr>
          <w:rFonts w:ascii="Times New Roman" w:hAnsi="Times New Roman" w:cs="Times New Roman"/>
          <w:sz w:val="24"/>
          <w:szCs w:val="24"/>
        </w:rPr>
        <w:t>he</w:t>
      </w:r>
      <w:r w:rsidRPr="00C830AB">
        <w:rPr>
          <w:rFonts w:ascii="Times New Roman" w:hAnsi="Times New Roman" w:cs="Times New Roman"/>
          <w:sz w:val="24"/>
          <w:szCs w:val="24"/>
        </w:rPr>
        <w:t xml:space="preserve"> is now attempting to advance at the outset of his claim, or certainly much earlier.  </w:t>
      </w:r>
    </w:p>
    <w:p w14:paraId="01E75707" w14:textId="77777777" w:rsidR="00E24FDB" w:rsidRPr="00C830AB" w:rsidRDefault="00E24FDB" w:rsidP="009A02E2">
      <w:pPr>
        <w:pStyle w:val="ListParagraph"/>
        <w:rPr>
          <w:rFonts w:ascii="Times New Roman" w:hAnsi="Times New Roman" w:cs="Times New Roman"/>
          <w:sz w:val="24"/>
          <w:szCs w:val="24"/>
        </w:rPr>
      </w:pPr>
    </w:p>
    <w:p w14:paraId="2302680F" w14:textId="77777777" w:rsidR="00E24FDB" w:rsidRPr="00C830AB" w:rsidRDefault="00E24FDB" w:rsidP="008E34DD">
      <w:pPr>
        <w:pStyle w:val="ListParagraph"/>
        <w:numPr>
          <w:ilvl w:val="0"/>
          <w:numId w:val="17"/>
        </w:numPr>
        <w:tabs>
          <w:tab w:val="left" w:pos="820"/>
        </w:tabs>
        <w:spacing w:before="78"/>
        <w:ind w:right="118"/>
        <w:rPr>
          <w:rFonts w:ascii="Times New Roman" w:hAnsi="Times New Roman" w:cs="Times New Roman"/>
          <w:sz w:val="24"/>
          <w:szCs w:val="24"/>
        </w:rPr>
      </w:pPr>
      <w:r w:rsidRPr="00C830AB">
        <w:rPr>
          <w:rFonts w:ascii="Times New Roman" w:hAnsi="Times New Roman" w:cs="Times New Roman"/>
          <w:sz w:val="24"/>
          <w:szCs w:val="24"/>
        </w:rPr>
        <w:t>In this context, however, the Claimant also refers to the Section 5.3.1 of the Defendant’s Operations Manual on ‘Admissibility Decisions’ recently disclosed by the Defendant.  It states (amongst other things):</w:t>
      </w:r>
    </w:p>
    <w:p w14:paraId="2E5EC9FD" w14:textId="77777777" w:rsidR="00E24FDB" w:rsidRPr="00C830AB" w:rsidRDefault="00E24FDB" w:rsidP="009A02E2">
      <w:pPr>
        <w:pStyle w:val="ListParagraph"/>
        <w:rPr>
          <w:rFonts w:ascii="Times New Roman" w:hAnsi="Times New Roman" w:cs="Times New Roman"/>
          <w:sz w:val="24"/>
          <w:szCs w:val="24"/>
        </w:rPr>
      </w:pPr>
    </w:p>
    <w:p w14:paraId="0577C4C8" w14:textId="77777777" w:rsidR="00E24FDB" w:rsidRPr="00C830AB" w:rsidRDefault="00E24FDB" w:rsidP="00D71970">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 xml:space="preserve">“The following process outlines how reviews of Admissibility Decisions are </w:t>
      </w:r>
      <w:r w:rsidRPr="00C830AB">
        <w:rPr>
          <w:rFonts w:ascii="Times New Roman" w:hAnsi="Times New Roman" w:cs="Times New Roman"/>
          <w:sz w:val="24"/>
          <w:szCs w:val="24"/>
        </w:rPr>
        <w:lastRenderedPageBreak/>
        <w:t>handled, from initial application to completion.</w:t>
      </w:r>
    </w:p>
    <w:p w14:paraId="5EC4E646" w14:textId="77777777" w:rsidR="00E24FDB" w:rsidRPr="00C830AB" w:rsidRDefault="00E24FDB" w:rsidP="00D71970">
      <w:pPr>
        <w:pStyle w:val="ListParagraph"/>
        <w:tabs>
          <w:tab w:val="left" w:pos="820"/>
        </w:tabs>
        <w:spacing w:before="78"/>
        <w:ind w:right="118" w:firstLine="0"/>
        <w:rPr>
          <w:rFonts w:ascii="Times New Roman" w:hAnsi="Times New Roman" w:cs="Times New Roman"/>
          <w:sz w:val="24"/>
          <w:szCs w:val="24"/>
        </w:rPr>
      </w:pPr>
      <w:r w:rsidRPr="00C830AB">
        <w:rPr>
          <w:rFonts w:ascii="Times New Roman" w:hAnsi="Times New Roman" w:cs="Times New Roman"/>
          <w:sz w:val="24"/>
          <w:szCs w:val="24"/>
        </w:rPr>
        <w:tab/>
      </w:r>
    </w:p>
    <w:p w14:paraId="42C2FF6B" w14:textId="77777777" w:rsidR="00E24FDB" w:rsidRPr="00C830AB" w:rsidRDefault="00E24FDB" w:rsidP="00D71970">
      <w:pPr>
        <w:pStyle w:val="ListParagraph"/>
        <w:tabs>
          <w:tab w:val="left" w:pos="820"/>
        </w:tabs>
        <w:spacing w:before="78"/>
        <w:ind w:left="1440" w:right="118" w:firstLine="0"/>
        <w:rPr>
          <w:rFonts w:ascii="Times New Roman" w:hAnsi="Times New Roman" w:cs="Times New Roman"/>
          <w:sz w:val="24"/>
          <w:szCs w:val="24"/>
        </w:rPr>
      </w:pPr>
      <w:r w:rsidRPr="00C830AB">
        <w:rPr>
          <w:rFonts w:ascii="Times New Roman" w:hAnsi="Times New Roman" w:cs="Times New Roman"/>
          <w:sz w:val="24"/>
          <w:szCs w:val="24"/>
        </w:rPr>
        <w:t>After all required information has been obtained, the Enquiries and Referrals Officer will release the case to the Head of Investigations on CMS who will then allocate it to an investigator.</w:t>
      </w:r>
    </w:p>
    <w:p w14:paraId="4DCD8C9A" w14:textId="77777777" w:rsidR="00E24FDB" w:rsidRPr="00C830AB" w:rsidRDefault="00E24FDB" w:rsidP="00D71970">
      <w:pPr>
        <w:pStyle w:val="ListParagraph"/>
        <w:tabs>
          <w:tab w:val="left" w:pos="820"/>
        </w:tabs>
        <w:spacing w:before="78"/>
        <w:ind w:left="820" w:right="118" w:firstLine="0"/>
        <w:rPr>
          <w:rFonts w:ascii="Times New Roman" w:hAnsi="Times New Roman" w:cs="Times New Roman"/>
          <w:sz w:val="24"/>
          <w:szCs w:val="24"/>
        </w:rPr>
      </w:pPr>
    </w:p>
    <w:p w14:paraId="6197DCE4" w14:textId="77777777" w:rsidR="00E24FDB" w:rsidRPr="00C830AB" w:rsidRDefault="00E24FDB" w:rsidP="00D71970">
      <w:pPr>
        <w:pStyle w:val="ListParagraph"/>
        <w:rPr>
          <w:rFonts w:ascii="Times New Roman" w:hAnsi="Times New Roman" w:cs="Times New Roman"/>
          <w:sz w:val="24"/>
          <w:szCs w:val="24"/>
        </w:rPr>
      </w:pPr>
      <w:r w:rsidRPr="00C830AB">
        <w:rPr>
          <w:rFonts w:ascii="Times New Roman" w:hAnsi="Times New Roman" w:cs="Times New Roman"/>
          <w:sz w:val="24"/>
          <w:szCs w:val="24"/>
        </w:rPr>
        <w:tab/>
      </w:r>
      <w:r w:rsidRPr="00C830AB">
        <w:rPr>
          <w:rFonts w:ascii="Times New Roman" w:hAnsi="Times New Roman" w:cs="Times New Roman"/>
          <w:sz w:val="24"/>
          <w:szCs w:val="24"/>
        </w:rPr>
        <w:tab/>
        <w:t>…</w:t>
      </w:r>
    </w:p>
    <w:p w14:paraId="1A01F4B7" w14:textId="77777777" w:rsidR="00E24FDB" w:rsidRPr="00C830AB" w:rsidRDefault="00E24FDB" w:rsidP="00D71970">
      <w:pPr>
        <w:pStyle w:val="ListParagraph"/>
        <w:rPr>
          <w:rFonts w:ascii="Times New Roman" w:hAnsi="Times New Roman" w:cs="Times New Roman"/>
          <w:sz w:val="24"/>
          <w:szCs w:val="24"/>
        </w:rPr>
      </w:pPr>
      <w:r w:rsidRPr="00C830AB">
        <w:rPr>
          <w:rFonts w:ascii="Times New Roman" w:hAnsi="Times New Roman" w:cs="Times New Roman"/>
          <w:sz w:val="24"/>
          <w:szCs w:val="24"/>
        </w:rPr>
        <w:tab/>
      </w:r>
      <w:r w:rsidRPr="00C830AB">
        <w:rPr>
          <w:rFonts w:ascii="Times New Roman" w:hAnsi="Times New Roman" w:cs="Times New Roman"/>
          <w:sz w:val="24"/>
          <w:szCs w:val="24"/>
        </w:rPr>
        <w:tab/>
        <w:t>1. Clarification of Issues</w:t>
      </w:r>
    </w:p>
    <w:p w14:paraId="5815DACF" w14:textId="77777777" w:rsidR="00E24FDB" w:rsidRPr="00C830AB" w:rsidRDefault="00E24FDB" w:rsidP="00D71970">
      <w:pPr>
        <w:pStyle w:val="ListParagraph"/>
        <w:rPr>
          <w:rFonts w:ascii="Times New Roman" w:hAnsi="Times New Roman" w:cs="Times New Roman"/>
          <w:sz w:val="24"/>
          <w:szCs w:val="24"/>
        </w:rPr>
      </w:pPr>
      <w:r w:rsidRPr="00C830AB">
        <w:rPr>
          <w:rFonts w:ascii="Times New Roman" w:hAnsi="Times New Roman" w:cs="Times New Roman"/>
          <w:sz w:val="24"/>
          <w:szCs w:val="24"/>
        </w:rPr>
        <w:tab/>
      </w:r>
      <w:r w:rsidRPr="00C830AB">
        <w:rPr>
          <w:rFonts w:ascii="Times New Roman" w:hAnsi="Times New Roman" w:cs="Times New Roman"/>
          <w:sz w:val="24"/>
          <w:szCs w:val="24"/>
        </w:rPr>
        <w:tab/>
      </w:r>
    </w:p>
    <w:p w14:paraId="5978183B" w14:textId="77777777" w:rsidR="00E24FDB" w:rsidRPr="00C830AB" w:rsidRDefault="00E24FDB" w:rsidP="00D71970">
      <w:pPr>
        <w:pStyle w:val="ListParagraph"/>
        <w:ind w:left="820" w:firstLine="620"/>
        <w:rPr>
          <w:rFonts w:ascii="Times New Roman" w:hAnsi="Times New Roman" w:cs="Times New Roman"/>
          <w:sz w:val="24"/>
          <w:szCs w:val="24"/>
        </w:rPr>
      </w:pPr>
      <w:r w:rsidRPr="00C830AB">
        <w:rPr>
          <w:rFonts w:ascii="Times New Roman" w:hAnsi="Times New Roman" w:cs="Times New Roman"/>
          <w:sz w:val="24"/>
          <w:szCs w:val="24"/>
        </w:rPr>
        <w:t>Investigators must contact the complainant when they receive a new case and:</w:t>
      </w:r>
    </w:p>
    <w:p w14:paraId="6F4671E3" w14:textId="77777777" w:rsidR="00E24FDB" w:rsidRPr="00C830AB" w:rsidRDefault="00E24FDB" w:rsidP="00D71970">
      <w:pPr>
        <w:pStyle w:val="ListParagraph"/>
        <w:numPr>
          <w:ilvl w:val="0"/>
          <w:numId w:val="16"/>
        </w:numPr>
        <w:ind w:right="117"/>
        <w:rPr>
          <w:rFonts w:ascii="Times New Roman" w:hAnsi="Times New Roman" w:cs="Times New Roman"/>
          <w:sz w:val="24"/>
          <w:szCs w:val="24"/>
        </w:rPr>
      </w:pPr>
      <w:r w:rsidRPr="00C830AB">
        <w:rPr>
          <w:rFonts w:ascii="Times New Roman" w:hAnsi="Times New Roman" w:cs="Times New Roman"/>
          <w:sz w:val="24"/>
          <w:szCs w:val="24"/>
        </w:rPr>
        <w:t xml:space="preserve">clarify the nature of their complaint and request any additional information </w:t>
      </w:r>
      <w:proofErr w:type="gramStart"/>
      <w:r w:rsidRPr="00C830AB">
        <w:rPr>
          <w:rFonts w:ascii="Times New Roman" w:hAnsi="Times New Roman" w:cs="Times New Roman"/>
          <w:sz w:val="24"/>
          <w:szCs w:val="24"/>
        </w:rPr>
        <w:t>required;</w:t>
      </w:r>
      <w:proofErr w:type="gramEnd"/>
    </w:p>
    <w:p w14:paraId="7C8C053A" w14:textId="77777777" w:rsidR="00E24FDB" w:rsidRPr="00C830AB" w:rsidRDefault="00E24FDB" w:rsidP="00D71970">
      <w:pPr>
        <w:pStyle w:val="ListParagraph"/>
        <w:numPr>
          <w:ilvl w:val="0"/>
          <w:numId w:val="16"/>
        </w:numPr>
        <w:ind w:right="117"/>
        <w:rPr>
          <w:rFonts w:ascii="Times New Roman" w:hAnsi="Times New Roman" w:cs="Times New Roman"/>
          <w:sz w:val="24"/>
          <w:szCs w:val="24"/>
        </w:rPr>
      </w:pPr>
      <w:r w:rsidRPr="00C830AB">
        <w:rPr>
          <w:rFonts w:ascii="Times New Roman" w:hAnsi="Times New Roman" w:cs="Times New Roman"/>
          <w:sz w:val="24"/>
          <w:szCs w:val="24"/>
        </w:rPr>
        <w:t xml:space="preserve">provide clear information on the process, the role of the Ombudsman and the role of the Investigator, explaining that they will act as the Ombudsman’s point of contact until the final decision is </w:t>
      </w:r>
      <w:proofErr w:type="gramStart"/>
      <w:r w:rsidRPr="00C830AB">
        <w:rPr>
          <w:rFonts w:ascii="Times New Roman" w:hAnsi="Times New Roman" w:cs="Times New Roman"/>
          <w:sz w:val="24"/>
          <w:szCs w:val="24"/>
        </w:rPr>
        <w:t>issued;</w:t>
      </w:r>
      <w:proofErr w:type="gramEnd"/>
    </w:p>
    <w:p w14:paraId="22B17457" w14:textId="77777777" w:rsidR="00E24FDB" w:rsidRPr="00C830AB" w:rsidRDefault="00E24FDB" w:rsidP="00D71970">
      <w:pPr>
        <w:pStyle w:val="ListParagraph"/>
        <w:numPr>
          <w:ilvl w:val="0"/>
          <w:numId w:val="16"/>
        </w:numPr>
        <w:ind w:right="117"/>
        <w:rPr>
          <w:rFonts w:ascii="Times New Roman" w:hAnsi="Times New Roman" w:cs="Times New Roman"/>
          <w:sz w:val="24"/>
          <w:szCs w:val="24"/>
        </w:rPr>
      </w:pPr>
      <w:r w:rsidRPr="00C830AB">
        <w:rPr>
          <w:rFonts w:ascii="Times New Roman" w:hAnsi="Times New Roman" w:cs="Times New Roman"/>
          <w:sz w:val="24"/>
          <w:szCs w:val="24"/>
        </w:rPr>
        <w:t>obtain reasons for the late submission of any application (</w:t>
      </w:r>
      <w:proofErr w:type="spellStart"/>
      <w:proofErr w:type="gramStart"/>
      <w:r w:rsidRPr="00C830AB">
        <w:rPr>
          <w:rFonts w:ascii="Times New Roman" w:hAnsi="Times New Roman" w:cs="Times New Roman"/>
          <w:sz w:val="24"/>
          <w:szCs w:val="24"/>
        </w:rPr>
        <w:t>ie</w:t>
      </w:r>
      <w:proofErr w:type="spellEnd"/>
      <w:proofErr w:type="gramEnd"/>
      <w:r w:rsidRPr="00C830AB">
        <w:rPr>
          <w:rFonts w:ascii="Times New Roman" w:hAnsi="Times New Roman" w:cs="Times New Roman"/>
          <w:sz w:val="24"/>
          <w:szCs w:val="24"/>
        </w:rPr>
        <w:t xml:space="preserve"> where the application is submitted more than four weeks from the date the complainant </w:t>
      </w:r>
      <w:r w:rsidRPr="00C830AB">
        <w:rPr>
          <w:rFonts w:ascii="Times New Roman" w:hAnsi="Times New Roman" w:cs="Times New Roman"/>
          <w:sz w:val="24"/>
          <w:szCs w:val="24"/>
          <w:u w:val="single"/>
        </w:rPr>
        <w:t>received notification</w:t>
      </w:r>
      <w:r w:rsidRPr="00C830AB">
        <w:rPr>
          <w:rFonts w:ascii="Times New Roman" w:hAnsi="Times New Roman" w:cs="Times New Roman"/>
          <w:sz w:val="24"/>
          <w:szCs w:val="24"/>
        </w:rPr>
        <w:t xml:space="preserve"> of the admissibility decision or the decision to not accept their appeal).</w:t>
      </w:r>
    </w:p>
    <w:p w14:paraId="585F2BCB" w14:textId="77777777" w:rsidR="00D71970" w:rsidRDefault="00D71970" w:rsidP="00D71970">
      <w:pPr>
        <w:ind w:left="1440"/>
        <w:jc w:val="both"/>
      </w:pPr>
    </w:p>
    <w:p w14:paraId="0CC8E13C" w14:textId="57CAD0B3" w:rsidR="00E24FDB" w:rsidRPr="00C830AB" w:rsidRDefault="00E24FDB" w:rsidP="00D71970">
      <w:pPr>
        <w:ind w:left="1440"/>
        <w:jc w:val="both"/>
      </w:pPr>
      <w:r w:rsidRPr="00C830AB">
        <w:t>Investigators should make this contact within 2 working days of being allocated the case and should do so by phone or email noting any preferences as set out in the complainant’s application form, unless reasonable adjustment or other issues prevent this. This is to ensure the Investigator properly understands the issues and to minimise the number of times the complainant needs to be contacted to obtain the information required.  However, a written record of any phone conversation should be sent to the complainant to confirm their agreement and understanding of the issues</w:t>
      </w:r>
      <w:r w:rsidR="00D71970">
        <w:t xml:space="preserve"> discussed</w:t>
      </w:r>
      <w:r w:rsidRPr="00C830AB">
        <w:t>.</w:t>
      </w:r>
    </w:p>
    <w:p w14:paraId="1175740C" w14:textId="77777777" w:rsidR="00E24FDB" w:rsidRPr="00C830AB" w:rsidRDefault="00E24FDB" w:rsidP="00D71970">
      <w:pPr>
        <w:ind w:left="1440"/>
        <w:jc w:val="both"/>
      </w:pPr>
    </w:p>
    <w:p w14:paraId="61F19B24" w14:textId="77777777" w:rsidR="00E24FDB" w:rsidRPr="00C830AB" w:rsidRDefault="00E24FDB" w:rsidP="00D71970">
      <w:pPr>
        <w:ind w:left="1440"/>
        <w:jc w:val="both"/>
      </w:pPr>
      <w:r w:rsidRPr="00C830AB">
        <w:t>2. Decision to conduct review</w:t>
      </w:r>
    </w:p>
    <w:p w14:paraId="0CD9A96B" w14:textId="77777777" w:rsidR="00E24FDB" w:rsidRPr="00C830AB" w:rsidRDefault="00E24FDB" w:rsidP="00D71970">
      <w:pPr>
        <w:ind w:left="1440"/>
        <w:jc w:val="both"/>
      </w:pPr>
      <w:r w:rsidRPr="00C830AB">
        <w:t>…</w:t>
      </w:r>
    </w:p>
    <w:p w14:paraId="15453295" w14:textId="539C82CC" w:rsidR="00E24FDB" w:rsidRPr="00C830AB" w:rsidRDefault="00E24FDB" w:rsidP="00D71970">
      <w:pPr>
        <w:ind w:left="1440"/>
        <w:jc w:val="both"/>
      </w:pPr>
      <w:r w:rsidRPr="00C830AB">
        <w:t xml:space="preserve">When application is made outside of this [four </w:t>
      </w:r>
      <w:proofErr w:type="gramStart"/>
      <w:r w:rsidRPr="00C830AB">
        <w:t>week</w:t>
      </w:r>
      <w:proofErr w:type="gramEnd"/>
      <w:r w:rsidRPr="00C830AB">
        <w:t xml:space="preserve">] timeframe, it can only be accepted if the Investigator determines it is </w:t>
      </w:r>
      <w:r w:rsidRPr="00C830AB">
        <w:rPr>
          <w:u w:val="single"/>
        </w:rPr>
        <w:t>just and equitable</w:t>
      </w:r>
      <w:r w:rsidRPr="00C830AB">
        <w:t xml:space="preserve"> to do so.  To make this determination, Investigators must obtain sufficient information from the complainant to determine why the application has been made late.  Any decision to accept a late application on “just and equitable” grounds must be recorded on the CMS and documented in the final decision letter.  All decisions must be recorded in a </w:t>
      </w:r>
      <w:r w:rsidR="00D71970">
        <w:t xml:space="preserve">case </w:t>
      </w:r>
      <w:r w:rsidRPr="00C830AB">
        <w:t>decision log.</w:t>
      </w:r>
    </w:p>
    <w:p w14:paraId="1AB24743" w14:textId="77777777" w:rsidR="00E24FDB" w:rsidRPr="00C830AB" w:rsidRDefault="00E24FDB" w:rsidP="00D71970">
      <w:pPr>
        <w:ind w:left="1440"/>
        <w:jc w:val="both"/>
      </w:pPr>
    </w:p>
    <w:p w14:paraId="4464939B" w14:textId="77777777" w:rsidR="00E24FDB" w:rsidRPr="00C830AB" w:rsidRDefault="00E24FDB" w:rsidP="00D71970">
      <w:pPr>
        <w:ind w:left="1440"/>
        <w:jc w:val="both"/>
        <w:rPr>
          <w:b/>
          <w:bCs/>
        </w:rPr>
      </w:pPr>
      <w:r w:rsidRPr="00C830AB">
        <w:rPr>
          <w:b/>
          <w:bCs/>
        </w:rPr>
        <w:t>If the Investigator determines that there are not just and equitable grounds to accept a late application, the review process will end at this stage and a final decision letter will be sent to both the complainant and the Defence Council, via the Single Service Secretariat, outlining the decision not to accept the application and the reasons for this.</w:t>
      </w:r>
    </w:p>
    <w:p w14:paraId="617F78F9" w14:textId="77777777" w:rsidR="00E24FDB" w:rsidRPr="00C830AB" w:rsidRDefault="00E24FDB" w:rsidP="00D71970">
      <w:pPr>
        <w:ind w:left="1440"/>
        <w:jc w:val="both"/>
      </w:pPr>
      <w:r w:rsidRPr="00C830AB">
        <w:rPr>
          <w:b/>
          <w:bCs/>
        </w:rPr>
        <w:t>…</w:t>
      </w:r>
      <w:r w:rsidRPr="00C830AB">
        <w:t>”</w:t>
      </w:r>
    </w:p>
    <w:p w14:paraId="7250D639" w14:textId="36529C49"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In respect of his proposed new Ground 3, the Claimant submits that the Operations Manual was not followed because no investigator contacted the Claimant to obtain reasons for the late submission of the application and the Defendant herself </w:t>
      </w:r>
      <w:r w:rsidR="00D71970">
        <w:rPr>
          <w:rFonts w:ascii="Times New Roman" w:hAnsi="Times New Roman" w:cs="Times New Roman"/>
          <w:sz w:val="24"/>
          <w:szCs w:val="24"/>
        </w:rPr>
        <w:t>h</w:t>
      </w:r>
      <w:r w:rsidRPr="00C830AB">
        <w:rPr>
          <w:rFonts w:ascii="Times New Roman" w:hAnsi="Times New Roman" w:cs="Times New Roman"/>
          <w:sz w:val="24"/>
          <w:szCs w:val="24"/>
        </w:rPr>
        <w:t xml:space="preserve">as explained that the only contact was by an Enquiries and Referrals Officer.  In resisting </w:t>
      </w:r>
      <w:r w:rsidRPr="00C830AB">
        <w:rPr>
          <w:rFonts w:ascii="Times New Roman" w:hAnsi="Times New Roman" w:cs="Times New Roman"/>
          <w:sz w:val="24"/>
          <w:szCs w:val="24"/>
        </w:rPr>
        <w:lastRenderedPageBreak/>
        <w:t xml:space="preserve">the late amendment, the Defendant submits that the Defendant would have filed evidence dealing further with this allegation if the application to amend had been made promptly. It would have explained that the Operations Manual is out of date in the respect identified, as the form that an applicant has to complete requires reasons for any lateness to be submitted.  The Defendant also submits that no prejudice can have arisen from any technical breach of the Operations Manual as the Claimant did provide his reasons for the delay in any </w:t>
      </w:r>
      <w:proofErr w:type="gramStart"/>
      <w:r w:rsidRPr="00C830AB">
        <w:rPr>
          <w:rFonts w:ascii="Times New Roman" w:hAnsi="Times New Roman" w:cs="Times New Roman"/>
          <w:sz w:val="24"/>
          <w:szCs w:val="24"/>
        </w:rPr>
        <w:t>event, and</w:t>
      </w:r>
      <w:proofErr w:type="gramEnd"/>
      <w:r w:rsidRPr="00C830AB">
        <w:rPr>
          <w:rFonts w:ascii="Times New Roman" w:hAnsi="Times New Roman" w:cs="Times New Roman"/>
          <w:sz w:val="24"/>
          <w:szCs w:val="24"/>
        </w:rPr>
        <w:t xml:space="preserve"> has not offered any further substantive explanation beyond that he had advanced in the form at the time. </w:t>
      </w:r>
    </w:p>
    <w:p w14:paraId="22374CE2" w14:textId="7944E730"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 xml:space="preserve">On 26 June 2023 the Ombudsman wrote to the Defendant setting out her decision not </w:t>
      </w:r>
      <w:r w:rsidR="00D71970">
        <w:rPr>
          <w:rFonts w:ascii="Times New Roman" w:hAnsi="Times New Roman" w:cs="Times New Roman"/>
          <w:sz w:val="24"/>
          <w:szCs w:val="24"/>
        </w:rPr>
        <w:t xml:space="preserve">to </w:t>
      </w:r>
      <w:r w:rsidRPr="00C830AB">
        <w:rPr>
          <w:rFonts w:ascii="Times New Roman" w:hAnsi="Times New Roman" w:cs="Times New Roman"/>
          <w:sz w:val="24"/>
          <w:szCs w:val="24"/>
        </w:rPr>
        <w:t>review the admissibility decision.  The reasons given in that letter were:</w:t>
      </w:r>
    </w:p>
    <w:p w14:paraId="3E8D3D76" w14:textId="6366088F"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“Having considered all the information available to me, we have decided not to review the admissibility decision because your application to SCOAF has been made outside the statutory four weeks and two-day time frame.  You</w:t>
      </w:r>
      <w:r w:rsidR="00D71970">
        <w:rPr>
          <w:rFonts w:ascii="Times New Roman" w:hAnsi="Times New Roman" w:cs="Times New Roman"/>
          <w:sz w:val="24"/>
          <w:szCs w:val="24"/>
        </w:rPr>
        <w:t>r</w:t>
      </w:r>
      <w:r w:rsidRPr="00C830AB">
        <w:rPr>
          <w:rFonts w:ascii="Times New Roman" w:hAnsi="Times New Roman" w:cs="Times New Roman"/>
          <w:sz w:val="24"/>
          <w:szCs w:val="24"/>
        </w:rPr>
        <w:t xml:space="preserve"> reasons for the late application have been carefully considered.</w:t>
      </w:r>
    </w:p>
    <w:p w14:paraId="4B7BBD05"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 xml:space="preserve">Your admissibility decision letter was issued on 5 May 2023, so the deadline to </w:t>
      </w:r>
      <w:proofErr w:type="gramStart"/>
      <w:r w:rsidRPr="00C830AB">
        <w:rPr>
          <w:rFonts w:ascii="Times New Roman" w:hAnsi="Times New Roman" w:cs="Times New Roman"/>
          <w:sz w:val="24"/>
          <w:szCs w:val="24"/>
        </w:rPr>
        <w:t>submit an application</w:t>
      </w:r>
      <w:proofErr w:type="gramEnd"/>
      <w:r w:rsidRPr="00C830AB">
        <w:rPr>
          <w:rFonts w:ascii="Times New Roman" w:hAnsi="Times New Roman" w:cs="Times New Roman"/>
          <w:sz w:val="24"/>
          <w:szCs w:val="24"/>
        </w:rPr>
        <w:t xml:space="preserve"> to SCOAF was 6 June 2023.  However, you submitted your application to SCOAF on 16 June 2023, which was ten days out of time.  I have taken into consideration that in your application you stated the date of the admissibility letter was 11 May 2023, but irrespective of this, your SCOAF application was still submitted out of time.</w:t>
      </w:r>
    </w:p>
    <w:p w14:paraId="650F4AE5" w14:textId="531A5E5A"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 xml:space="preserve">When considering the submission of applications to SCOAF outside the statutory time frame, I must consider whether there are just and equitable reasons for the late submission. I note you said your application was submitted late because, ‘My legal representative was seeking way forward from the tribunal because the MOD defence team had written to the court to struck off the case entirely.”  However, it is unclear how or why the tribunal case impacted you submitting your application </w:t>
      </w:r>
      <w:r w:rsidR="00D71970">
        <w:rPr>
          <w:rFonts w:ascii="Times New Roman" w:hAnsi="Times New Roman" w:cs="Times New Roman"/>
          <w:sz w:val="24"/>
          <w:szCs w:val="24"/>
        </w:rPr>
        <w:t xml:space="preserve">to </w:t>
      </w:r>
      <w:r w:rsidRPr="00C830AB">
        <w:rPr>
          <w:rFonts w:ascii="Times New Roman" w:hAnsi="Times New Roman" w:cs="Times New Roman"/>
          <w:sz w:val="24"/>
          <w:szCs w:val="24"/>
        </w:rPr>
        <w:t>SCOAF in time, and you have also not provided any supporting evidence for this.</w:t>
      </w:r>
    </w:p>
    <w:p w14:paraId="16B92A7B"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I have considered the information provided in your ‘statement of events’, but I am not persuaded that this contains any information to support the reason for the delay in your application to SCOAF.  I note you were aware of the different avenues open to you, so it remains unclear why you felt the need to wait for progress on your tribunal before applying to SCOAF as well.  In addition, the admissibility decision letter you received clearly stated that you had four weeks from the date of the letter to apply to SCOAF. As such, I deduce that you would have been aware of the avenues and associated time frames open to you immediately following the original admissibility decision.</w:t>
      </w:r>
    </w:p>
    <w:p w14:paraId="589F6AC0" w14:textId="344042AC"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You also added: “I strongly feel that I am being unfairly treated and that the MOD wants block me from being heard using time fact</w:t>
      </w:r>
      <w:r w:rsidR="00D71970">
        <w:rPr>
          <w:rFonts w:ascii="Times New Roman" w:hAnsi="Times New Roman" w:cs="Times New Roman"/>
          <w:sz w:val="24"/>
          <w:szCs w:val="24"/>
        </w:rPr>
        <w:t>ors</w:t>
      </w:r>
      <w:r w:rsidRPr="00C830AB">
        <w:rPr>
          <w:rFonts w:ascii="Times New Roman" w:hAnsi="Times New Roman" w:cs="Times New Roman"/>
          <w:sz w:val="24"/>
          <w:szCs w:val="24"/>
        </w:rPr>
        <w:t>.’, and therefore it remains unclear why you did not submit your application to SCOAF within the statutory four weeks and two-day time fra</w:t>
      </w:r>
      <w:r w:rsidR="00D71970">
        <w:rPr>
          <w:rFonts w:ascii="Times New Roman" w:hAnsi="Times New Roman" w:cs="Times New Roman"/>
          <w:sz w:val="24"/>
          <w:szCs w:val="24"/>
        </w:rPr>
        <w:t>m</w:t>
      </w:r>
      <w:r w:rsidRPr="00C830AB">
        <w:rPr>
          <w:rFonts w:ascii="Times New Roman" w:hAnsi="Times New Roman" w:cs="Times New Roman"/>
          <w:sz w:val="24"/>
          <w:szCs w:val="24"/>
        </w:rPr>
        <w:t>e to prevent any risk of a late application being a factor in its consideration by us as well.</w:t>
      </w:r>
    </w:p>
    <w:p w14:paraId="76CF3F2F"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In summary, I am not persuaded that the explanation you have given for your late application can be considered just and equitable for me to exercise my discretion to consider your application outside of the time limit. I will therefore be taking no further action on your case.”</w:t>
      </w:r>
    </w:p>
    <w:p w14:paraId="07B7DC73" w14:textId="77777777" w:rsidR="00E24FDB" w:rsidRPr="00C830AB" w:rsidRDefault="00E24FDB" w:rsidP="009A02E2">
      <w:pPr>
        <w:pStyle w:val="ListParagraph"/>
        <w:tabs>
          <w:tab w:val="left" w:pos="820"/>
        </w:tabs>
        <w:spacing w:before="138"/>
        <w:ind w:firstLine="0"/>
        <w:rPr>
          <w:rFonts w:ascii="Times New Roman" w:hAnsi="Times New Roman" w:cs="Times New Roman"/>
          <w:sz w:val="24"/>
          <w:szCs w:val="24"/>
        </w:rPr>
      </w:pPr>
    </w:p>
    <w:p w14:paraId="3390CA52"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 letter referred to the decision being final and subject only to the remedy of judicial review.</w:t>
      </w:r>
    </w:p>
    <w:p w14:paraId="54AE7B83"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 xml:space="preserve">The Defendant has disclosed an internal form entitled “Eligibility Assessment” which was completed by an Investigator prior to the issue of the Ombudsman’s decision.  It identifies that the application for review was made out of time and in response to the question of “If it is just and equitable, why? And if not, why not?”, the Investigator has stated “No J+E reasons”. </w:t>
      </w:r>
    </w:p>
    <w:p w14:paraId="44C5349F" w14:textId="5C23B7EC"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By email dated 12 September 2023 the Claimant’s solicitor acting for him in the ET proceedings wrote to the Defendant requesting that the Defendant reopen the issue and setting out reasons why it invited the Defendant to do so. These included that on the face of the papers the Claimant had been fundamentally wronged in his initial discharge for having HIV though</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being</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fit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for</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service,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he</w:t>
      </w:r>
      <w:r w:rsidR="00D71970">
        <w:rPr>
          <w:rFonts w:ascii="Times New Roman" w:hAnsi="Times New Roman" w:cs="Times New Roman"/>
          <w:sz w:val="24"/>
          <w:szCs w:val="24"/>
        </w:rPr>
        <w:t xml:space="preserve"> made a discrimination service complaint which was brought within the </w:t>
      </w:r>
      <w:proofErr w:type="spellStart"/>
      <w:r w:rsidRPr="00C830AB">
        <w:rPr>
          <w:rFonts w:ascii="Times New Roman" w:hAnsi="Times New Roman" w:cs="Times New Roman"/>
          <w:sz w:val="24"/>
          <w:szCs w:val="24"/>
        </w:rPr>
        <w:t>the</w:t>
      </w:r>
      <w:proofErr w:type="spellEnd"/>
      <w:r w:rsidRPr="00C830AB">
        <w:rPr>
          <w:rFonts w:ascii="Times New Roman" w:hAnsi="Times New Roman" w:cs="Times New Roman"/>
          <w:sz w:val="24"/>
          <w:szCs w:val="24"/>
        </w:rPr>
        <w:t xml:space="preserve"> specified</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6</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month</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time</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limit</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for</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discrimination</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complaints,</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as</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notified</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on</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Annex</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F form and therefore the wrong time period had been applied to the service complaint and the potential consequences for the ET proceedings.</w:t>
      </w:r>
    </w:p>
    <w:p w14:paraId="5C807E0B" w14:textId="77777777" w:rsidR="00E24FDB" w:rsidRPr="00C830AB" w:rsidRDefault="00E24FDB" w:rsidP="009A02E2">
      <w:pPr>
        <w:pStyle w:val="ListParagraph"/>
        <w:rPr>
          <w:rFonts w:ascii="Times New Roman" w:hAnsi="Times New Roman" w:cs="Times New Roman"/>
          <w:sz w:val="24"/>
          <w:szCs w:val="24"/>
        </w:rPr>
      </w:pPr>
    </w:p>
    <w:p w14:paraId="4870545F" w14:textId="77777777" w:rsidR="00E24FDB" w:rsidRPr="00C830AB" w:rsidRDefault="00E24FDB" w:rsidP="008E34DD">
      <w:pPr>
        <w:pStyle w:val="ListParagraph"/>
        <w:numPr>
          <w:ilvl w:val="0"/>
          <w:numId w:val="17"/>
        </w:numPr>
        <w:tabs>
          <w:tab w:val="left" w:pos="820"/>
        </w:tabs>
        <w:spacing w:before="138"/>
        <w:ind w:right="119"/>
        <w:rPr>
          <w:rFonts w:ascii="Times New Roman" w:hAnsi="Times New Roman" w:cs="Times New Roman"/>
          <w:sz w:val="24"/>
          <w:szCs w:val="24"/>
        </w:rPr>
      </w:pPr>
      <w:r w:rsidRPr="00C830AB">
        <w:rPr>
          <w:rFonts w:ascii="Times New Roman" w:hAnsi="Times New Roman" w:cs="Times New Roman"/>
          <w:sz w:val="24"/>
          <w:szCs w:val="24"/>
        </w:rPr>
        <w:t xml:space="preserve"> By email on the same day, a Senior Investigator of the Defendant responded refusing the request. In so doing, the Senior Investigator stated:</w:t>
      </w:r>
    </w:p>
    <w:p w14:paraId="18619B54" w14:textId="1E59126C" w:rsidR="00E24FDB" w:rsidRPr="00C830AB" w:rsidRDefault="00E24FDB" w:rsidP="009A02E2">
      <w:pPr>
        <w:spacing w:before="276"/>
        <w:ind w:left="1180" w:right="638"/>
        <w:jc w:val="both"/>
        <w:rPr>
          <w:iCs/>
        </w:rPr>
      </w:pPr>
      <w:r w:rsidRPr="00C830AB">
        <w:rPr>
          <w:iCs/>
        </w:rPr>
        <w:t xml:space="preserve">“As explained in our letter dated 26 June 2023, we did not review Mr </w:t>
      </w:r>
      <w:r w:rsidR="00D71970">
        <w:rPr>
          <w:iCs/>
        </w:rPr>
        <w:t xml:space="preserve">L’s </w:t>
      </w:r>
      <w:r w:rsidRPr="00C830AB">
        <w:rPr>
          <w:iCs/>
        </w:rPr>
        <w:t>admissibility decision because he submitted his application to SCOAF out of time and we did not consider there were just and equitable reasons to accept it out of time.</w:t>
      </w:r>
    </w:p>
    <w:p w14:paraId="73909EAF" w14:textId="77777777" w:rsidR="00E24FDB" w:rsidRPr="00C830AB" w:rsidRDefault="00E24FDB" w:rsidP="009A02E2">
      <w:pPr>
        <w:spacing w:before="276"/>
        <w:ind w:left="1180" w:right="638"/>
        <w:jc w:val="both"/>
        <w:rPr>
          <w:iCs/>
        </w:rPr>
      </w:pPr>
      <w:r w:rsidRPr="00C830AB">
        <w:rPr>
          <w:iCs/>
        </w:rPr>
        <w:t>Whilst I acknowledge the seriousness of Mr L… s allegations, our decision was not based on the potential merits of his Service Complaint. All Service Persons are subject to the same time limits when applying to SCOAF and I do not consider it would be appropriate to make an exception based on Mr L…’s decision to proceed with an Employment Tribunal.”</w:t>
      </w:r>
    </w:p>
    <w:p w14:paraId="0E24901F" w14:textId="77777777" w:rsidR="00E24FDB" w:rsidRPr="00C830AB" w:rsidRDefault="00E24FDB" w:rsidP="008E34DD">
      <w:pPr>
        <w:pStyle w:val="ListParagraph"/>
        <w:numPr>
          <w:ilvl w:val="0"/>
          <w:numId w:val="17"/>
        </w:numPr>
        <w:tabs>
          <w:tab w:val="left" w:pos="820"/>
        </w:tabs>
        <w:spacing w:before="276"/>
        <w:ind w:right="118"/>
        <w:rPr>
          <w:rFonts w:ascii="Times New Roman" w:hAnsi="Times New Roman" w:cs="Times New Roman"/>
          <w:sz w:val="24"/>
          <w:szCs w:val="24"/>
        </w:rPr>
      </w:pPr>
      <w:r w:rsidRPr="00C830AB">
        <w:rPr>
          <w:rFonts w:ascii="Times New Roman" w:hAnsi="Times New Roman" w:cs="Times New Roman"/>
          <w:sz w:val="24"/>
          <w:szCs w:val="24"/>
        </w:rPr>
        <w:t>One of the submissions made by the Claimant under Ground 2 in respect of the decision of 26 June 2023 and the response on 12 September 2023 is that the SCOAF applied the just and equitable test to the reasons for the delay, rather than the question whether it would be just and equitable to consider the application.</w:t>
      </w:r>
    </w:p>
    <w:p w14:paraId="2BB9A225" w14:textId="77777777" w:rsidR="00E24FDB" w:rsidRPr="00C830AB" w:rsidRDefault="00E24FDB" w:rsidP="008E34DD">
      <w:pPr>
        <w:pStyle w:val="ListParagraph"/>
        <w:numPr>
          <w:ilvl w:val="0"/>
          <w:numId w:val="17"/>
        </w:numPr>
        <w:tabs>
          <w:tab w:val="left" w:pos="820"/>
        </w:tabs>
        <w:spacing w:before="138"/>
        <w:ind w:right="117"/>
        <w:rPr>
          <w:rFonts w:ascii="Times New Roman" w:hAnsi="Times New Roman" w:cs="Times New Roman"/>
          <w:sz w:val="24"/>
          <w:szCs w:val="24"/>
        </w:rPr>
      </w:pPr>
      <w:r w:rsidRPr="00C830AB">
        <w:rPr>
          <w:rFonts w:ascii="Times New Roman" w:hAnsi="Times New Roman" w:cs="Times New Roman"/>
          <w:sz w:val="24"/>
          <w:szCs w:val="24"/>
        </w:rPr>
        <w:t>The Claimant has also referred to guidance document published by the Defendant “Just and equitable – what does it actually mean” dated 31 July 2018.  In that document it is stated (amongst other things):</w:t>
      </w:r>
    </w:p>
    <w:p w14:paraId="0B8E37B7" w14:textId="467BE4F9"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“The time limits are important because the more time that passes after an event occurs, the more difficult it is to investigate properly and come to a clear and correct decision about what did and did not happen.  Documents or other essential evidence might only be kept for a certain period of time.  People’s memories o</w:t>
      </w:r>
      <w:r w:rsidR="00D71970">
        <w:rPr>
          <w:rFonts w:ascii="Times New Roman" w:hAnsi="Times New Roman" w:cs="Times New Roman"/>
          <w:sz w:val="24"/>
          <w:szCs w:val="24"/>
        </w:rPr>
        <w:t>f</w:t>
      </w:r>
      <w:r w:rsidRPr="00C830AB">
        <w:rPr>
          <w:rFonts w:ascii="Times New Roman" w:hAnsi="Times New Roman" w:cs="Times New Roman"/>
          <w:sz w:val="24"/>
          <w:szCs w:val="24"/>
        </w:rPr>
        <w:t xml:space="preserve"> events fade and are no longer reliable.  Witnesses may be difficult to locate, unable to engage in the process for health reasons or have even passed away.</w:t>
      </w:r>
    </w:p>
    <w:p w14:paraId="69FC2BE3" w14:textId="77777777" w:rsidR="00E24FDB" w:rsidRPr="00C830AB" w:rsidRDefault="00E24FDB" w:rsidP="009A02E2">
      <w:pPr>
        <w:pStyle w:val="ListParagraph"/>
        <w:tabs>
          <w:tab w:val="left" w:pos="820"/>
        </w:tabs>
        <w:spacing w:before="138"/>
        <w:ind w:firstLine="0"/>
        <w:rPr>
          <w:rFonts w:ascii="Times New Roman" w:hAnsi="Times New Roman" w:cs="Times New Roman"/>
          <w:sz w:val="24"/>
          <w:szCs w:val="24"/>
        </w:rPr>
      </w:pPr>
    </w:p>
    <w:p w14:paraId="0A2C9D74"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lastRenderedPageBreak/>
        <w:t>However, there are times when not accepting a complaint outside these time limits would be unfair.  That is why there is some flexibility built into the process.</w:t>
      </w:r>
    </w:p>
    <w:p w14:paraId="6CA11386"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The law allows Service complaints and applications to my office to be accepted out of time if it is considered “just and equitable in all the circumstances.”</w:t>
      </w:r>
    </w:p>
    <w:p w14:paraId="7A76F835" w14:textId="77777777" w:rsidR="00E24FDB" w:rsidRPr="00C830AB" w:rsidRDefault="00E24FDB" w:rsidP="009A02E2">
      <w:pPr>
        <w:pStyle w:val="ListParagraph"/>
        <w:tabs>
          <w:tab w:val="left" w:pos="820"/>
        </w:tabs>
        <w:spacing w:before="138"/>
        <w:ind w:firstLine="0"/>
        <w:rPr>
          <w:rFonts w:ascii="Times New Roman" w:hAnsi="Times New Roman" w:cs="Times New Roman"/>
          <w:sz w:val="24"/>
          <w:szCs w:val="24"/>
        </w:rPr>
      </w:pPr>
    </w:p>
    <w:p w14:paraId="411D0543"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What does that mean in plain English?  It means that the time limit can be extended in individual cases where it is considered to be right and fair to do so.</w:t>
      </w:r>
    </w:p>
    <w:p w14:paraId="115FA67F" w14:textId="77777777" w:rsidR="00E24FDB" w:rsidRPr="00C830AB" w:rsidRDefault="00E24FDB" w:rsidP="009A02E2">
      <w:pPr>
        <w:pStyle w:val="ListParagraph"/>
        <w:tabs>
          <w:tab w:val="left" w:pos="820"/>
        </w:tabs>
        <w:spacing w:before="138"/>
        <w:ind w:firstLine="0"/>
        <w:rPr>
          <w:rFonts w:ascii="Times New Roman" w:hAnsi="Times New Roman" w:cs="Times New Roman"/>
          <w:sz w:val="24"/>
          <w:szCs w:val="24"/>
        </w:rPr>
      </w:pPr>
    </w:p>
    <w:p w14:paraId="1D8310BC"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That might seem confusing. After all, how could it not be right and fair to investigate a complaint?  The answer to that question depends on the circumstances of each individual case.</w:t>
      </w:r>
    </w:p>
    <w:p w14:paraId="4825B16C" w14:textId="77777777" w:rsidR="00E24FDB" w:rsidRPr="00C830AB" w:rsidRDefault="00E24FDB" w:rsidP="009A02E2">
      <w:pPr>
        <w:pStyle w:val="ListParagraph"/>
        <w:tabs>
          <w:tab w:val="left" w:pos="820"/>
        </w:tabs>
        <w:spacing w:before="138"/>
        <w:ind w:left="1440" w:firstLine="0"/>
        <w:rPr>
          <w:rFonts w:ascii="Times New Roman" w:hAnsi="Times New Roman" w:cs="Times New Roman"/>
          <w:sz w:val="24"/>
          <w:szCs w:val="24"/>
        </w:rPr>
      </w:pPr>
      <w:r w:rsidRPr="00C830AB">
        <w:rPr>
          <w:rFonts w:ascii="Times New Roman" w:hAnsi="Times New Roman" w:cs="Times New Roman"/>
          <w:sz w:val="24"/>
          <w:szCs w:val="24"/>
        </w:rPr>
        <w:t>The “just and equitable” discretion is quite wide.  In terms of the work my office does, it allows us to consider any relevant factors.  This can include, but is not limited to:</w:t>
      </w:r>
    </w:p>
    <w:p w14:paraId="69144DC1" w14:textId="77B51DEA" w:rsidR="00E24FDB" w:rsidRPr="00C830AB" w:rsidRDefault="00E24FDB" w:rsidP="009A02E2">
      <w:pPr>
        <w:pStyle w:val="ListParagraph"/>
        <w:tabs>
          <w:tab w:val="left" w:pos="820"/>
        </w:tabs>
        <w:spacing w:before="138"/>
        <w:ind w:firstLine="0"/>
        <w:rPr>
          <w:rFonts w:ascii="Times New Roman" w:hAnsi="Times New Roman" w:cs="Times New Roman"/>
          <w:sz w:val="24"/>
          <w:szCs w:val="24"/>
        </w:rPr>
      </w:pPr>
      <w:r w:rsidRPr="00C830AB">
        <w:rPr>
          <w:rFonts w:ascii="Times New Roman" w:hAnsi="Times New Roman" w:cs="Times New Roman"/>
          <w:sz w:val="24"/>
          <w:szCs w:val="24"/>
        </w:rPr>
        <w:tab/>
      </w:r>
      <w:r w:rsidR="00522CF8">
        <w:rPr>
          <w:rFonts w:ascii="Times New Roman" w:hAnsi="Times New Roman" w:cs="Times New Roman"/>
          <w:sz w:val="24"/>
          <w:szCs w:val="24"/>
        </w:rPr>
        <w:tab/>
      </w:r>
      <w:r w:rsidR="00522CF8">
        <w:rPr>
          <w:rFonts w:ascii="Times New Roman" w:hAnsi="Times New Roman" w:cs="Times New Roman"/>
          <w:sz w:val="24"/>
          <w:szCs w:val="24"/>
        </w:rPr>
        <w:tab/>
      </w:r>
      <w:r w:rsidRPr="00C830AB">
        <w:rPr>
          <w:rFonts w:ascii="Times New Roman" w:hAnsi="Times New Roman" w:cs="Times New Roman"/>
          <w:sz w:val="24"/>
          <w:szCs w:val="24"/>
        </w:rPr>
        <w:t>-How far outside the time limit it is</w:t>
      </w:r>
    </w:p>
    <w:p w14:paraId="4AF7D6EE" w14:textId="73BF4605" w:rsidR="00E24FDB" w:rsidRPr="00C830AB" w:rsidRDefault="00E24FDB" w:rsidP="009A02E2">
      <w:pPr>
        <w:pStyle w:val="ListParagraph"/>
        <w:tabs>
          <w:tab w:val="left" w:pos="820"/>
        </w:tabs>
        <w:spacing w:before="138"/>
        <w:ind w:firstLine="0"/>
        <w:rPr>
          <w:rFonts w:ascii="Times New Roman" w:hAnsi="Times New Roman" w:cs="Times New Roman"/>
          <w:sz w:val="24"/>
          <w:szCs w:val="24"/>
        </w:rPr>
      </w:pPr>
      <w:r w:rsidRPr="00C830AB">
        <w:rPr>
          <w:rFonts w:ascii="Times New Roman" w:hAnsi="Times New Roman" w:cs="Times New Roman"/>
          <w:sz w:val="24"/>
          <w:szCs w:val="24"/>
        </w:rPr>
        <w:tab/>
      </w:r>
      <w:r w:rsidR="00522CF8">
        <w:rPr>
          <w:rFonts w:ascii="Times New Roman" w:hAnsi="Times New Roman" w:cs="Times New Roman"/>
          <w:sz w:val="24"/>
          <w:szCs w:val="24"/>
        </w:rPr>
        <w:tab/>
      </w:r>
      <w:r w:rsidR="00522CF8">
        <w:rPr>
          <w:rFonts w:ascii="Times New Roman" w:hAnsi="Times New Roman" w:cs="Times New Roman"/>
          <w:sz w:val="24"/>
          <w:szCs w:val="24"/>
        </w:rPr>
        <w:tab/>
      </w:r>
      <w:r w:rsidRPr="00C830AB">
        <w:rPr>
          <w:rFonts w:ascii="Times New Roman" w:hAnsi="Times New Roman" w:cs="Times New Roman"/>
          <w:sz w:val="24"/>
          <w:szCs w:val="24"/>
        </w:rPr>
        <w:t>-The reason for the delay</w:t>
      </w:r>
    </w:p>
    <w:p w14:paraId="20FD3EEE" w14:textId="20321954" w:rsidR="00E24FDB" w:rsidRPr="00C830AB" w:rsidRDefault="00522CF8" w:rsidP="009A02E2">
      <w:pPr>
        <w:pStyle w:val="ListParagraph"/>
        <w:tabs>
          <w:tab w:val="left" w:pos="820"/>
        </w:tabs>
        <w:spacing w:before="138"/>
        <w:ind w:left="1701" w:firstLine="0"/>
        <w:rPr>
          <w:rFonts w:ascii="Times New Roman" w:hAnsi="Times New Roman" w:cs="Times New Roman"/>
          <w:sz w:val="24"/>
          <w:szCs w:val="24"/>
        </w:rPr>
      </w:pPr>
      <w:r>
        <w:rPr>
          <w:rFonts w:ascii="Times New Roman" w:hAnsi="Times New Roman" w:cs="Times New Roman"/>
          <w:sz w:val="24"/>
          <w:szCs w:val="24"/>
        </w:rPr>
        <w:tab/>
      </w:r>
      <w:r w:rsidR="00E24FDB" w:rsidRPr="00C830AB">
        <w:rPr>
          <w:rFonts w:ascii="Times New Roman" w:hAnsi="Times New Roman" w:cs="Times New Roman"/>
          <w:sz w:val="24"/>
          <w:szCs w:val="24"/>
        </w:rPr>
        <w:t>-If it is still possible to conduct a fair and reliable investigation given the delay</w:t>
      </w:r>
    </w:p>
    <w:p w14:paraId="2E63FB77" w14:textId="1A71FA50" w:rsidR="00E24FDB" w:rsidRPr="00C830AB" w:rsidRDefault="00522CF8" w:rsidP="009A02E2">
      <w:pPr>
        <w:tabs>
          <w:tab w:val="left" w:pos="820"/>
        </w:tabs>
        <w:spacing w:before="138"/>
        <w:ind w:left="1701"/>
        <w:jc w:val="both"/>
      </w:pPr>
      <w:r>
        <w:tab/>
      </w:r>
      <w:r w:rsidR="00E24FDB" w:rsidRPr="00C830AB">
        <w:t xml:space="preserve">-Whether the individual had information about the time </w:t>
      </w:r>
      <w:proofErr w:type="gramStart"/>
      <w:r w:rsidR="00E24FDB" w:rsidRPr="00C830AB">
        <w:t>limits ,</w:t>
      </w:r>
      <w:proofErr w:type="gramEnd"/>
      <w:r w:rsidR="00E24FDB" w:rsidRPr="00C830AB">
        <w:t xml:space="preserve"> or is reasonably expected to have known about them</w:t>
      </w:r>
    </w:p>
    <w:p w14:paraId="4CB2D740" w14:textId="0855241E" w:rsidR="00E24FDB" w:rsidRPr="00C830AB" w:rsidRDefault="00E24FDB" w:rsidP="009A02E2">
      <w:pPr>
        <w:tabs>
          <w:tab w:val="left" w:pos="820"/>
        </w:tabs>
        <w:spacing w:before="138"/>
        <w:ind w:left="1701"/>
        <w:jc w:val="both"/>
      </w:pPr>
      <w:r w:rsidRPr="00C830AB">
        <w:tab/>
        <w:t xml:space="preserve">-Whether the individual has </w:t>
      </w:r>
      <w:proofErr w:type="gramStart"/>
      <w:r w:rsidRPr="00C830AB">
        <w:t>acted  unreasonably</w:t>
      </w:r>
      <w:proofErr w:type="gramEnd"/>
      <w:r w:rsidRPr="00C830AB">
        <w:t xml:space="preserve"> in making the</w:t>
      </w:r>
      <w:r w:rsidR="00522CF8">
        <w:t xml:space="preserve">ir </w:t>
      </w:r>
      <w:r w:rsidRPr="00C830AB">
        <w:t>application.</w:t>
      </w:r>
    </w:p>
    <w:p w14:paraId="03F895FC" w14:textId="77777777" w:rsidR="00E24FDB" w:rsidRPr="00C830AB" w:rsidRDefault="00E24FDB" w:rsidP="009A02E2">
      <w:pPr>
        <w:tabs>
          <w:tab w:val="left" w:pos="820"/>
        </w:tabs>
        <w:spacing w:before="138"/>
        <w:jc w:val="both"/>
      </w:pPr>
    </w:p>
    <w:p w14:paraId="729E8EF4" w14:textId="77777777" w:rsidR="00E24FDB" w:rsidRPr="00C830AB" w:rsidRDefault="00E24FDB" w:rsidP="009A02E2">
      <w:pPr>
        <w:tabs>
          <w:tab w:val="left" w:pos="820"/>
        </w:tabs>
        <w:spacing w:before="138"/>
        <w:ind w:left="1440"/>
        <w:jc w:val="both"/>
      </w:pPr>
      <w:r w:rsidRPr="00C830AB">
        <w:t>Although we have this discretion, accepting the applications outside of the time limit is the exception and not the rule.</w:t>
      </w:r>
    </w:p>
    <w:p w14:paraId="47DF1F80" w14:textId="77777777" w:rsidR="00E24FDB" w:rsidRPr="00C830AB" w:rsidRDefault="00E24FDB" w:rsidP="009A02E2">
      <w:pPr>
        <w:tabs>
          <w:tab w:val="left" w:pos="820"/>
        </w:tabs>
        <w:spacing w:before="138"/>
        <w:ind w:left="1440"/>
        <w:jc w:val="both"/>
      </w:pPr>
      <w:r w:rsidRPr="00C830AB">
        <w:t xml:space="preserve">If you are making an application to our office outside of the time limit, you will be asked to include on the form reasons why it is late.  There is no set response that will ensure a late application is accepted.  You simply need to provide an honest explanation of why you were unable to make the application in time.  If further information or clarification is needed, my investigators will ask you for this.  They will also seek information from other sources if required.  They will then </w:t>
      </w:r>
      <w:proofErr w:type="gramStart"/>
      <w:r w:rsidRPr="00C830AB">
        <w:t>make a decision</w:t>
      </w:r>
      <w:proofErr w:type="gramEnd"/>
      <w:r w:rsidRPr="00C830AB">
        <w:t>, under my delegation, taking into account all of the relevant factors …”</w:t>
      </w:r>
    </w:p>
    <w:p w14:paraId="55C84AE3" w14:textId="77777777" w:rsidR="00E24FDB" w:rsidRPr="00C830AB" w:rsidRDefault="00E24FDB" w:rsidP="008E34DD">
      <w:pPr>
        <w:pStyle w:val="ListParagraph"/>
        <w:numPr>
          <w:ilvl w:val="0"/>
          <w:numId w:val="17"/>
        </w:numPr>
        <w:tabs>
          <w:tab w:val="left" w:pos="820"/>
        </w:tabs>
        <w:spacing w:before="276"/>
        <w:ind w:right="118"/>
        <w:rPr>
          <w:rFonts w:ascii="Times New Roman" w:hAnsi="Times New Roman" w:cs="Times New Roman"/>
          <w:sz w:val="24"/>
          <w:szCs w:val="24"/>
        </w:rPr>
      </w:pPr>
      <w:r w:rsidRPr="00C830AB">
        <w:rPr>
          <w:rFonts w:ascii="Times New Roman" w:hAnsi="Times New Roman" w:cs="Times New Roman"/>
          <w:sz w:val="24"/>
          <w:szCs w:val="24"/>
        </w:rPr>
        <w:t>The Claimant refers to the guidance identifying the width of the discretion and the absence of any express articulation on an inability to consider, for example, the merits of the underlying service complaint.</w:t>
      </w:r>
    </w:p>
    <w:p w14:paraId="7FEDDB0D" w14:textId="1A0C0232"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The Claimant has also referred to the</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SCOAF</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Review</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Admissibility</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decisions</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pamphlet,</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the SCOAF Annual Report and the SCOAF Customer Charter, and a House of Commons Defence Committee report ‘Fairness without Fear: the work of the Service Complaints Ombudsman’, 16</w:t>
      </w:r>
      <w:r w:rsidRPr="00C830AB">
        <w:rPr>
          <w:rFonts w:ascii="Times New Roman" w:hAnsi="Times New Roman" w:cs="Times New Roman"/>
          <w:sz w:val="24"/>
          <w:szCs w:val="24"/>
          <w:vertAlign w:val="superscript"/>
        </w:rPr>
        <w:t>th</w:t>
      </w:r>
      <w:r w:rsidRPr="00C830AB">
        <w:rPr>
          <w:rFonts w:ascii="Times New Roman" w:hAnsi="Times New Roman" w:cs="Times New Roman"/>
          <w:sz w:val="24"/>
          <w:szCs w:val="24"/>
        </w:rPr>
        <w:t xml:space="preserve"> report of Session 2017-19 dated 9 July 2019.   The Claimant’s main reliance on these documents is to support a submission </w:t>
      </w:r>
      <w:r w:rsidRPr="00C830AB">
        <w:rPr>
          <w:rFonts w:ascii="Times New Roman" w:hAnsi="Times New Roman" w:cs="Times New Roman"/>
          <w:sz w:val="24"/>
          <w:szCs w:val="24"/>
        </w:rPr>
        <w:lastRenderedPageBreak/>
        <w:t>that the SCOAF commits itself to transparency.  However, it is not clear to me how any of these documents can materially affect the correct interpretation of the Regulations with which I am faced under Ground 1, nor how a notion of transparency could alter the lawfulness of the Ombudsman’s decision if, as the Defendant and Interested Party contend, the Ombudsman is not entitled to consider the underlying merits of a service complaint when considering the discretion under Regulation17(2) of the 2015 Regulations</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w:t>
      </w:r>
    </w:p>
    <w:p w14:paraId="62F973D6" w14:textId="77777777" w:rsidR="00E24FDB" w:rsidRPr="00C830AB" w:rsidRDefault="00E24FDB" w:rsidP="009A02E2">
      <w:pPr>
        <w:pStyle w:val="BodyText"/>
        <w:rPr>
          <w:rFonts w:ascii="Times New Roman" w:hAnsi="Times New Roman" w:cs="Times New Roman"/>
          <w:sz w:val="24"/>
          <w:szCs w:val="24"/>
        </w:rPr>
      </w:pPr>
    </w:p>
    <w:p w14:paraId="16DDCB29" w14:textId="77777777" w:rsidR="00E24FDB" w:rsidRPr="00C830AB" w:rsidRDefault="00E24FDB" w:rsidP="009A02E2">
      <w:pPr>
        <w:pStyle w:val="Heading1"/>
        <w:tabs>
          <w:tab w:val="left" w:pos="819"/>
        </w:tabs>
        <w:rPr>
          <w:rFonts w:ascii="Times New Roman" w:hAnsi="Times New Roman" w:cs="Times New Roman"/>
          <w:sz w:val="24"/>
          <w:szCs w:val="24"/>
        </w:rPr>
      </w:pPr>
      <w:r w:rsidRPr="00C830AB">
        <w:rPr>
          <w:rFonts w:ascii="Times New Roman" w:hAnsi="Times New Roman" w:cs="Times New Roman"/>
          <w:sz w:val="24"/>
          <w:szCs w:val="24"/>
        </w:rPr>
        <w:tab/>
        <w:t>THE GROUNDS</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3"/>
          <w:sz w:val="24"/>
          <w:szCs w:val="24"/>
        </w:rPr>
        <w:t xml:space="preserve"> </w:t>
      </w:r>
      <w:r w:rsidRPr="00C830AB">
        <w:rPr>
          <w:rFonts w:ascii="Times New Roman" w:hAnsi="Times New Roman" w:cs="Times New Roman"/>
          <w:spacing w:val="-2"/>
          <w:sz w:val="24"/>
          <w:szCs w:val="24"/>
        </w:rPr>
        <w:t>CHALLENGE</w:t>
      </w:r>
    </w:p>
    <w:p w14:paraId="55C7A561" w14:textId="77777777" w:rsidR="00E24FDB" w:rsidRPr="00522CF8" w:rsidRDefault="00E24FDB" w:rsidP="009A02E2">
      <w:pPr>
        <w:pStyle w:val="Heading2"/>
        <w:ind w:left="253" w:firstLine="567"/>
        <w:rPr>
          <w:rFonts w:ascii="Times New Roman" w:hAnsi="Times New Roman" w:cs="Times New Roman"/>
          <w:color w:val="000000" w:themeColor="text1"/>
          <w:sz w:val="24"/>
          <w:szCs w:val="24"/>
        </w:rPr>
      </w:pPr>
      <w:r w:rsidRPr="00522CF8">
        <w:rPr>
          <w:rFonts w:ascii="Times New Roman" w:hAnsi="Times New Roman" w:cs="Times New Roman"/>
          <w:color w:val="000000" w:themeColor="text1"/>
          <w:sz w:val="24"/>
          <w:szCs w:val="24"/>
          <w:u w:val="single"/>
        </w:rPr>
        <w:t>Ground</w:t>
      </w:r>
      <w:r w:rsidRPr="00522CF8">
        <w:rPr>
          <w:rFonts w:ascii="Times New Roman" w:hAnsi="Times New Roman" w:cs="Times New Roman"/>
          <w:color w:val="000000" w:themeColor="text1"/>
          <w:spacing w:val="-3"/>
          <w:sz w:val="24"/>
          <w:szCs w:val="24"/>
          <w:u w:val="single"/>
        </w:rPr>
        <w:t xml:space="preserve"> </w:t>
      </w:r>
      <w:r w:rsidRPr="00522CF8">
        <w:rPr>
          <w:rFonts w:ascii="Times New Roman" w:hAnsi="Times New Roman" w:cs="Times New Roman"/>
          <w:color w:val="000000" w:themeColor="text1"/>
          <w:sz w:val="24"/>
          <w:szCs w:val="24"/>
          <w:u w:val="single"/>
        </w:rPr>
        <w:t>1</w:t>
      </w:r>
      <w:r w:rsidRPr="00522CF8">
        <w:rPr>
          <w:rFonts w:ascii="Times New Roman" w:hAnsi="Times New Roman" w:cs="Times New Roman"/>
          <w:color w:val="000000" w:themeColor="text1"/>
          <w:spacing w:val="-2"/>
          <w:sz w:val="24"/>
          <w:szCs w:val="24"/>
          <w:u w:val="single"/>
        </w:rPr>
        <w:t xml:space="preserve"> </w:t>
      </w:r>
      <w:r w:rsidRPr="00522CF8">
        <w:rPr>
          <w:rFonts w:ascii="Times New Roman" w:hAnsi="Times New Roman" w:cs="Times New Roman"/>
          <w:color w:val="000000" w:themeColor="text1"/>
          <w:sz w:val="24"/>
          <w:szCs w:val="24"/>
          <w:u w:val="single"/>
        </w:rPr>
        <w:t>–</w:t>
      </w:r>
      <w:r w:rsidRPr="00522CF8">
        <w:rPr>
          <w:rFonts w:ascii="Times New Roman" w:hAnsi="Times New Roman" w:cs="Times New Roman"/>
          <w:color w:val="000000" w:themeColor="text1"/>
          <w:spacing w:val="-1"/>
          <w:sz w:val="24"/>
          <w:szCs w:val="24"/>
          <w:u w:val="single"/>
        </w:rPr>
        <w:t xml:space="preserve"> </w:t>
      </w:r>
      <w:r w:rsidRPr="00522CF8">
        <w:rPr>
          <w:rFonts w:ascii="Times New Roman" w:hAnsi="Times New Roman" w:cs="Times New Roman"/>
          <w:color w:val="000000" w:themeColor="text1"/>
          <w:spacing w:val="-2"/>
          <w:sz w:val="24"/>
          <w:szCs w:val="24"/>
          <w:u w:val="single"/>
        </w:rPr>
        <w:t>Irrationality</w:t>
      </w:r>
    </w:p>
    <w:p w14:paraId="629BE304" w14:textId="77777777"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 xml:space="preserve">Under Ground 1, the Claimant states that he is challenging the rationality of the SCOAF’s decision, but the details of the claim as articulated are not strictly confined to an assertion that the decisions were irrational in the </w:t>
      </w:r>
      <w:r w:rsidRPr="00C830AB">
        <w:rPr>
          <w:rFonts w:ascii="Times New Roman" w:hAnsi="Times New Roman" w:cs="Times New Roman"/>
          <w:i/>
          <w:iCs/>
          <w:sz w:val="24"/>
          <w:szCs w:val="24"/>
        </w:rPr>
        <w:t>Wednesbury</w:t>
      </w:r>
      <w:r w:rsidRPr="00C830AB">
        <w:rPr>
          <w:rFonts w:ascii="Times New Roman" w:hAnsi="Times New Roman" w:cs="Times New Roman"/>
          <w:sz w:val="24"/>
          <w:szCs w:val="24"/>
        </w:rPr>
        <w:t xml:space="preserve"> sense, as the Claimant is also alleging, for example, that the Ombudsman failed to take into account material considerations and the Defendant and Interested Party have responded to such allegations.  As already noted, their principal contention is that the merits of the underlying service complaint </w:t>
      </w:r>
      <w:proofErr w:type="gramStart"/>
      <w:r w:rsidRPr="00C830AB">
        <w:rPr>
          <w:rFonts w:ascii="Times New Roman" w:hAnsi="Times New Roman" w:cs="Times New Roman"/>
          <w:sz w:val="24"/>
          <w:szCs w:val="24"/>
        </w:rPr>
        <w:t>was</w:t>
      </w:r>
      <w:proofErr w:type="gramEnd"/>
      <w:r w:rsidRPr="00C830AB">
        <w:rPr>
          <w:rFonts w:ascii="Times New Roman" w:hAnsi="Times New Roman" w:cs="Times New Roman"/>
          <w:sz w:val="24"/>
          <w:szCs w:val="24"/>
        </w:rPr>
        <w:t xml:space="preserve"> necessarily an irrelevant consideration on the correct interpretation of Regulation 7(2) of the 2015 Regulations.   </w:t>
      </w:r>
    </w:p>
    <w:p w14:paraId="1160FE60" w14:textId="1F9B3DEF"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Under this ground, the Claimant first submits that the SCOAF has conceded that in considering whether to grant the extension of time, she did</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not consider</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facts, and so the potential merits,</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Claimant’s</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case,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beyond</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7"/>
          <w:sz w:val="24"/>
          <w:szCs w:val="24"/>
        </w:rPr>
        <w:t xml:space="preserve"> </w:t>
      </w:r>
      <w:r w:rsidRPr="00C830AB">
        <w:rPr>
          <w:rFonts w:ascii="Times New Roman" w:hAnsi="Times New Roman" w:cs="Times New Roman"/>
          <w:sz w:val="24"/>
          <w:szCs w:val="24"/>
        </w:rPr>
        <w:t>pure reasons</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for</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delay.</w:t>
      </w:r>
      <w:r w:rsidRPr="00C830AB">
        <w:rPr>
          <w:rFonts w:ascii="Times New Roman" w:hAnsi="Times New Roman" w:cs="Times New Roman"/>
          <w:spacing w:val="40"/>
          <w:sz w:val="24"/>
          <w:szCs w:val="24"/>
        </w:rPr>
        <w:t xml:space="preserve"> </w:t>
      </w:r>
      <w:r w:rsidRPr="00C830AB">
        <w:rPr>
          <w:rFonts w:ascii="Times New Roman" w:hAnsi="Times New Roman" w:cs="Times New Roman"/>
          <w:sz w:val="24"/>
          <w:szCs w:val="24"/>
        </w:rPr>
        <w:t>The Claimant argues that is</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irrational and contends that the</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merits</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details</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case,</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by</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reason</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5"/>
          <w:sz w:val="24"/>
          <w:szCs w:val="24"/>
        </w:rPr>
        <w:t xml:space="preserve"> </w:t>
      </w:r>
      <w:r w:rsidRPr="00C830AB">
        <w:rPr>
          <w:rFonts w:ascii="Times New Roman" w:hAnsi="Times New Roman" w:cs="Times New Roman"/>
          <w:sz w:val="24"/>
          <w:szCs w:val="24"/>
        </w:rPr>
        <w:t xml:space="preserve">the starkness of the discrimination </w:t>
      </w:r>
      <w:r w:rsidR="00D71970">
        <w:rPr>
          <w:rFonts w:ascii="Times New Roman" w:hAnsi="Times New Roman" w:cs="Times New Roman"/>
          <w:sz w:val="24"/>
          <w:szCs w:val="24"/>
        </w:rPr>
        <w:t xml:space="preserve">and </w:t>
      </w:r>
      <w:r w:rsidRPr="00C830AB">
        <w:rPr>
          <w:rFonts w:ascii="Times New Roman" w:hAnsi="Times New Roman" w:cs="Times New Roman"/>
          <w:sz w:val="24"/>
          <w:szCs w:val="24"/>
        </w:rPr>
        <w:t xml:space="preserve">the terms of the new MoD policy, warranted </w:t>
      </w:r>
      <w:r w:rsidRPr="00C830AB">
        <w:rPr>
          <w:rFonts w:ascii="Times New Roman" w:hAnsi="Times New Roman" w:cs="Times New Roman"/>
          <w:spacing w:val="-2"/>
          <w:sz w:val="24"/>
          <w:szCs w:val="24"/>
        </w:rPr>
        <w:t>consideration.</w:t>
      </w:r>
      <w:r w:rsidRPr="00C830AB">
        <w:rPr>
          <w:rFonts w:ascii="Times New Roman" w:hAnsi="Times New Roman" w:cs="Times New Roman"/>
          <w:sz w:val="24"/>
          <w:szCs w:val="24"/>
        </w:rPr>
        <w:t xml:space="preserve"> </w:t>
      </w:r>
    </w:p>
    <w:p w14:paraId="510B6E42" w14:textId="77777777" w:rsidR="00E24FDB" w:rsidRPr="00C830AB" w:rsidRDefault="00E24FDB" w:rsidP="008E34DD">
      <w:pPr>
        <w:pStyle w:val="ListParagraph"/>
        <w:numPr>
          <w:ilvl w:val="0"/>
          <w:numId w:val="17"/>
        </w:numPr>
        <w:tabs>
          <w:tab w:val="left" w:pos="820"/>
        </w:tabs>
        <w:spacing w:before="138"/>
        <w:ind w:right="118"/>
        <w:rPr>
          <w:rFonts w:ascii="Times New Roman" w:hAnsi="Times New Roman" w:cs="Times New Roman"/>
          <w:sz w:val="24"/>
          <w:szCs w:val="24"/>
        </w:rPr>
      </w:pPr>
      <w:r w:rsidRPr="00C830AB">
        <w:rPr>
          <w:rFonts w:ascii="Times New Roman" w:hAnsi="Times New Roman" w:cs="Times New Roman"/>
          <w:sz w:val="24"/>
          <w:szCs w:val="24"/>
        </w:rPr>
        <w:t>Secondly, the Claimant submits that there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no</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consideration</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fact</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12"/>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Annex</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form</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specifically</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identified a time limit of “</w:t>
      </w:r>
      <w:r w:rsidRPr="00C830AB">
        <w:rPr>
          <w:rFonts w:ascii="Times New Roman" w:hAnsi="Times New Roman" w:cs="Times New Roman"/>
          <w:i/>
          <w:sz w:val="24"/>
          <w:szCs w:val="24"/>
        </w:rPr>
        <w:t>6 months for discrimination complaints</w:t>
      </w:r>
      <w:r w:rsidRPr="00C830AB">
        <w:rPr>
          <w:rFonts w:ascii="Times New Roman" w:hAnsi="Times New Roman" w:cs="Times New Roman"/>
          <w:sz w:val="24"/>
          <w:szCs w:val="24"/>
        </w:rPr>
        <w:t>” and that the Claimant had headed that part of his form dealing with the wrong he was identified as “DISCRIMINATION – MEDICAL”.  He submits that, in itself, should have raised alarm bells for the SCOAF’s consideration of the circumstances.</w:t>
      </w:r>
    </w:p>
    <w:p w14:paraId="3E91BB75" w14:textId="77777777" w:rsidR="00E24FDB" w:rsidRPr="00C830AB" w:rsidRDefault="00E24FDB" w:rsidP="009A02E2">
      <w:pPr>
        <w:pStyle w:val="ListParagraph"/>
        <w:rPr>
          <w:rFonts w:ascii="Times New Roman" w:hAnsi="Times New Roman" w:cs="Times New Roman"/>
          <w:sz w:val="24"/>
          <w:szCs w:val="24"/>
        </w:rPr>
      </w:pPr>
    </w:p>
    <w:p w14:paraId="77D15D67" w14:textId="77777777" w:rsidR="00E24FDB" w:rsidRPr="00C830AB" w:rsidRDefault="00E24FDB" w:rsidP="008E34DD">
      <w:pPr>
        <w:pStyle w:val="ListParagraph"/>
        <w:numPr>
          <w:ilvl w:val="0"/>
          <w:numId w:val="17"/>
        </w:numPr>
        <w:tabs>
          <w:tab w:val="left" w:pos="820"/>
        </w:tabs>
        <w:spacing w:before="62"/>
        <w:ind w:right="117"/>
        <w:rPr>
          <w:rFonts w:ascii="Times New Roman" w:hAnsi="Times New Roman" w:cs="Times New Roman"/>
          <w:sz w:val="24"/>
          <w:szCs w:val="24"/>
        </w:rPr>
      </w:pPr>
      <w:r w:rsidRPr="00C830AB">
        <w:rPr>
          <w:rFonts w:ascii="Times New Roman" w:hAnsi="Times New Roman" w:cs="Times New Roman"/>
          <w:sz w:val="24"/>
          <w:szCs w:val="24"/>
        </w:rPr>
        <w:t>Thirdly,</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the Claimant submits that there was</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no</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consideration</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balance</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prejudice by the SCOAF.</w:t>
      </w:r>
      <w:r w:rsidRPr="00C830AB">
        <w:rPr>
          <w:rFonts w:ascii="Times New Roman" w:hAnsi="Times New Roman" w:cs="Times New Roman"/>
          <w:spacing w:val="-3"/>
          <w:sz w:val="24"/>
          <w:szCs w:val="24"/>
        </w:rPr>
        <w:t xml:space="preserve"> He submits that </w:t>
      </w:r>
      <w:r w:rsidRPr="00C830AB">
        <w:rPr>
          <w:rFonts w:ascii="Times New Roman" w:hAnsi="Times New Roman" w:cs="Times New Roman"/>
          <w:sz w:val="24"/>
          <w:szCs w:val="24"/>
        </w:rPr>
        <w:t>denial</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3"/>
          <w:sz w:val="24"/>
          <w:szCs w:val="24"/>
        </w:rPr>
        <w:t xml:space="preserve"> </w:t>
      </w:r>
      <w:r w:rsidRPr="00C830AB">
        <w:rPr>
          <w:rFonts w:ascii="Times New Roman" w:hAnsi="Times New Roman" w:cs="Times New Roman"/>
          <w:sz w:val="24"/>
          <w:szCs w:val="24"/>
        </w:rPr>
        <w:t>review of the admissibility decision brought the entire service complaints’ process to an end for the Claimant, who had also attempted through other internal processes to prevent his</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medical</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discharge.</w:t>
      </w:r>
      <w:r w:rsidRPr="00C830AB">
        <w:rPr>
          <w:rFonts w:ascii="Times New Roman" w:hAnsi="Times New Roman" w:cs="Times New Roman"/>
          <w:spacing w:val="-10"/>
          <w:sz w:val="24"/>
          <w:szCs w:val="24"/>
        </w:rPr>
        <w:t xml:space="preserve"> The Claimant refers to his </w:t>
      </w:r>
      <w:r w:rsidRPr="00C830AB">
        <w:rPr>
          <w:rFonts w:ascii="Times New Roman" w:hAnsi="Times New Roman" w:cs="Times New Roman"/>
          <w:sz w:val="24"/>
          <w:szCs w:val="24"/>
        </w:rPr>
        <w:t>reliance on</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medical</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evidence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supporting</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the case he was making to the army. He submits that, by contrast, there was no prejudice at all to the service complaint system, or</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SCOAF,</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agreeing</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his</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request</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for</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review</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by</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reason</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6"/>
          <w:sz w:val="24"/>
          <w:szCs w:val="24"/>
        </w:rPr>
        <w:t xml:space="preserve"> </w:t>
      </w:r>
      <w:r w:rsidRPr="00C830AB">
        <w:rPr>
          <w:rFonts w:ascii="Times New Roman" w:hAnsi="Times New Roman" w:cs="Times New Roman"/>
          <w:sz w:val="24"/>
          <w:szCs w:val="24"/>
        </w:rPr>
        <w:t xml:space="preserve">a </w:t>
      </w:r>
      <w:proofErr w:type="gramStart"/>
      <w:r w:rsidRPr="00C830AB">
        <w:rPr>
          <w:rFonts w:ascii="Times New Roman" w:hAnsi="Times New Roman" w:cs="Times New Roman"/>
          <w:sz w:val="24"/>
          <w:szCs w:val="24"/>
        </w:rPr>
        <w:t>10 day</w:t>
      </w:r>
      <w:proofErr w:type="gramEnd"/>
      <w:r w:rsidRPr="00C830AB">
        <w:rPr>
          <w:rFonts w:ascii="Times New Roman" w:hAnsi="Times New Roman" w:cs="Times New Roman"/>
          <w:sz w:val="24"/>
          <w:szCs w:val="24"/>
        </w:rPr>
        <w:t xml:space="preserve"> delay.</w:t>
      </w:r>
    </w:p>
    <w:p w14:paraId="35F939D2" w14:textId="77777777" w:rsidR="00E24FDB" w:rsidRPr="00C830AB" w:rsidRDefault="00E24FDB" w:rsidP="008E34DD">
      <w:pPr>
        <w:pStyle w:val="ListParagraph"/>
        <w:numPr>
          <w:ilvl w:val="0"/>
          <w:numId w:val="17"/>
        </w:numPr>
        <w:tabs>
          <w:tab w:val="left" w:pos="820"/>
        </w:tabs>
        <w:spacing w:before="276"/>
        <w:ind w:right="118"/>
        <w:rPr>
          <w:rFonts w:ascii="Times New Roman" w:hAnsi="Times New Roman" w:cs="Times New Roman"/>
          <w:sz w:val="24"/>
          <w:szCs w:val="24"/>
        </w:rPr>
      </w:pPr>
      <w:r w:rsidRPr="00C830AB">
        <w:rPr>
          <w:rFonts w:ascii="Times New Roman" w:hAnsi="Times New Roman" w:cs="Times New Roman"/>
          <w:sz w:val="24"/>
          <w:szCs w:val="24"/>
        </w:rPr>
        <w:t>Fourthly, the Claimant</w:t>
      </w:r>
      <w:r w:rsidRPr="00C830AB">
        <w:rPr>
          <w:rFonts w:ascii="Times New Roman" w:hAnsi="Times New Roman" w:cs="Times New Roman"/>
          <w:spacing w:val="-4"/>
          <w:sz w:val="24"/>
          <w:szCs w:val="24"/>
        </w:rPr>
        <w:t xml:space="preserve"> submits that </w:t>
      </w:r>
      <w:r w:rsidRPr="00C830AB">
        <w:rPr>
          <w:rFonts w:ascii="Times New Roman" w:hAnsi="Times New Roman" w:cs="Times New Roman"/>
          <w:sz w:val="24"/>
          <w:szCs w:val="24"/>
        </w:rPr>
        <w:t>the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wider</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prejudice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the SCOAF’s decision potentially</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putting</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an</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end</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his</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ET</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claim</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 xml:space="preserve">not </w:t>
      </w:r>
      <w:r w:rsidRPr="00C830AB">
        <w:rPr>
          <w:rFonts w:ascii="Times New Roman" w:hAnsi="Times New Roman" w:cs="Times New Roman"/>
          <w:spacing w:val="-2"/>
          <w:sz w:val="24"/>
          <w:szCs w:val="24"/>
        </w:rPr>
        <w:t>considered.</w:t>
      </w:r>
    </w:p>
    <w:p w14:paraId="352BFB71"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Fifthly,</w:t>
      </w:r>
      <w:r w:rsidRPr="00C830AB">
        <w:rPr>
          <w:rFonts w:ascii="Times New Roman" w:hAnsi="Times New Roman" w:cs="Times New Roman"/>
          <w:spacing w:val="-10"/>
          <w:sz w:val="24"/>
          <w:szCs w:val="24"/>
        </w:rPr>
        <w:t xml:space="preserve"> he submits </w:t>
      </w:r>
      <w:r w:rsidRPr="00C830AB">
        <w:rPr>
          <w:rFonts w:ascii="Times New Roman" w:hAnsi="Times New Roman" w:cs="Times New Roman"/>
          <w:sz w:val="24"/>
          <w:szCs w:val="24"/>
        </w:rPr>
        <w:t>there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failure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act</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with</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transparency.</w:t>
      </w:r>
      <w:r w:rsidRPr="00C830AB">
        <w:rPr>
          <w:rFonts w:ascii="Times New Roman" w:hAnsi="Times New Roman" w:cs="Times New Roman"/>
          <w:spacing w:val="-10"/>
          <w:sz w:val="24"/>
          <w:szCs w:val="24"/>
        </w:rPr>
        <w:t xml:space="preserve"> He relies on the fact </w:t>
      </w:r>
      <w:r w:rsidRPr="00C830AB">
        <w:rPr>
          <w:rFonts w:ascii="Times New Roman" w:hAnsi="Times New Roman" w:cs="Times New Roman"/>
          <w:sz w:val="24"/>
          <w:szCs w:val="24"/>
        </w:rPr>
        <w:t>he</w:t>
      </w:r>
      <w:r w:rsidRPr="00C830AB">
        <w:rPr>
          <w:rFonts w:ascii="Times New Roman" w:hAnsi="Times New Roman" w:cs="Times New Roman"/>
          <w:spacing w:val="-10"/>
          <w:sz w:val="24"/>
          <w:szCs w:val="24"/>
        </w:rPr>
        <w:t xml:space="preserve"> </w:t>
      </w:r>
      <w:r w:rsidRPr="00C830AB">
        <w:rPr>
          <w:rFonts w:ascii="Times New Roman" w:hAnsi="Times New Roman" w:cs="Times New Roman"/>
          <w:sz w:val="24"/>
          <w:szCs w:val="24"/>
        </w:rPr>
        <w:t>was contacted and interviewed by the SCOAF, but no reference was made to that within the decisions.  He notes that the SCOAF defends</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this part of the</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challenge</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by</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lastRenderedPageBreak/>
        <w:t>reference</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admissibility</w:t>
      </w:r>
      <w:r w:rsidRPr="00C830AB">
        <w:rPr>
          <w:rFonts w:ascii="Times New Roman" w:hAnsi="Times New Roman" w:cs="Times New Roman"/>
          <w:spacing w:val="-14"/>
          <w:sz w:val="24"/>
          <w:szCs w:val="24"/>
        </w:rPr>
        <w:t xml:space="preserve"> </w:t>
      </w:r>
      <w:r w:rsidRPr="00C830AB">
        <w:rPr>
          <w:rFonts w:ascii="Times New Roman" w:hAnsi="Times New Roman" w:cs="Times New Roman"/>
          <w:sz w:val="24"/>
          <w:szCs w:val="24"/>
        </w:rPr>
        <w:t>decision being a filter and gateway to any consideration of the merits, but the Claimant submits that he was asked in the phone call he had about the merits of his case. He says that demonstrates that the SCOAF did go on to seek information as to the wider circumstances,</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which</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case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these were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plainly</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relevant</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exercise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discretion</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in balancing up all relevant factors.</w:t>
      </w:r>
    </w:p>
    <w:p w14:paraId="7359E2D5"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Finally, the Claimant argues that there</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failure</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all</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relevant</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considerations,</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whether</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refusal</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grant the extension as out of time, or in the refusal to consider whether to review that decision. He contends that to deny</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Claimant</w:t>
      </w:r>
      <w:r w:rsidRPr="00C830AB">
        <w:rPr>
          <w:rFonts w:ascii="Times New Roman" w:hAnsi="Times New Roman" w:cs="Times New Roman"/>
          <w:spacing w:val="-9"/>
          <w:sz w:val="24"/>
          <w:szCs w:val="24"/>
        </w:rPr>
        <w:t xml:space="preserve"> access to </w:t>
      </w:r>
      <w:r w:rsidRPr="00C830AB">
        <w:rPr>
          <w:rFonts w:ascii="Times New Roman" w:hAnsi="Times New Roman" w:cs="Times New Roman"/>
          <w:sz w:val="24"/>
          <w:szCs w:val="24"/>
        </w:rPr>
        <w:t>a</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process</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which</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he</w:t>
      </w:r>
      <w:r w:rsidRPr="00C830AB">
        <w:rPr>
          <w:rFonts w:ascii="Times New Roman" w:hAnsi="Times New Roman" w:cs="Times New Roman"/>
          <w:spacing w:val="-9"/>
          <w:sz w:val="24"/>
          <w:szCs w:val="24"/>
        </w:rPr>
        <w:t xml:space="preserve"> considers he </w:t>
      </w:r>
      <w:r w:rsidRPr="00C830AB">
        <w:rPr>
          <w:rFonts w:ascii="Times New Roman" w:hAnsi="Times New Roman" w:cs="Times New Roman"/>
          <w:sz w:val="24"/>
          <w:szCs w:val="24"/>
        </w:rPr>
        <w:t>should</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not</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be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within</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in</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first</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place,</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9"/>
          <w:sz w:val="24"/>
          <w:szCs w:val="24"/>
        </w:rPr>
        <w:t xml:space="preserve"> </w:t>
      </w:r>
      <w:r w:rsidRPr="00C830AB">
        <w:rPr>
          <w:rFonts w:ascii="Times New Roman" w:hAnsi="Times New Roman" w:cs="Times New Roman"/>
          <w:sz w:val="24"/>
          <w:szCs w:val="24"/>
        </w:rPr>
        <w:t xml:space="preserve">for the SCOAF to refuse to recognise this and to perpetuate the fundamental procedural wrong despite the Claimant’s submissions, was irrational, </w:t>
      </w:r>
      <w:proofErr w:type="gramStart"/>
      <w:r w:rsidRPr="00C830AB">
        <w:rPr>
          <w:rFonts w:ascii="Times New Roman" w:hAnsi="Times New Roman" w:cs="Times New Roman"/>
          <w:sz w:val="24"/>
          <w:szCs w:val="24"/>
        </w:rPr>
        <w:t>unreasonable</w:t>
      </w:r>
      <w:proofErr w:type="gramEnd"/>
      <w:r w:rsidRPr="00C830AB">
        <w:rPr>
          <w:rFonts w:ascii="Times New Roman" w:hAnsi="Times New Roman" w:cs="Times New Roman"/>
          <w:sz w:val="24"/>
          <w:szCs w:val="24"/>
        </w:rPr>
        <w:t xml:space="preserve"> and unfair. He also claims that it fundamentally undermines the aims of the SCOAF of providing overview, and of ensuring the fairness of the service complaint system. He argues this was an obvious case of plain unfairness and unlawfulness to the Claimant, and in refusing an extension of 10 days, the SCOAF acted contrary to its own commitments. In short, he contends that by reason of a procedural technicality of time, the SCOAF refused to consider a far greater potential injustice to the </w:t>
      </w:r>
      <w:r w:rsidRPr="00C830AB">
        <w:rPr>
          <w:rFonts w:ascii="Times New Roman" w:hAnsi="Times New Roman" w:cs="Times New Roman"/>
          <w:spacing w:val="-2"/>
          <w:sz w:val="24"/>
          <w:szCs w:val="24"/>
        </w:rPr>
        <w:t>Claimant.</w:t>
      </w:r>
    </w:p>
    <w:p w14:paraId="5A5FFBD7" w14:textId="234FA5B4"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pacing w:val="-2"/>
          <w:sz w:val="24"/>
          <w:szCs w:val="24"/>
        </w:rPr>
        <w:t xml:space="preserve">In response, the </w:t>
      </w:r>
      <w:proofErr w:type="gramStart"/>
      <w:r w:rsidRPr="00C830AB">
        <w:rPr>
          <w:rFonts w:ascii="Times New Roman" w:hAnsi="Times New Roman" w:cs="Times New Roman"/>
          <w:spacing w:val="-2"/>
          <w:sz w:val="24"/>
          <w:szCs w:val="24"/>
        </w:rPr>
        <w:t>Defendant</w:t>
      </w:r>
      <w:proofErr w:type="gramEnd"/>
      <w:r w:rsidRPr="00C830AB">
        <w:rPr>
          <w:rFonts w:ascii="Times New Roman" w:hAnsi="Times New Roman" w:cs="Times New Roman"/>
          <w:spacing w:val="-2"/>
          <w:sz w:val="24"/>
          <w:szCs w:val="24"/>
        </w:rPr>
        <w:t xml:space="preserve"> and Interested Party focus on the terms of Regulation 7(2) in support of their submission that the Ombudsman did not err in any of the ways alleged.  The Defendant’s principal argument (developed with conspicuous clarity and succinctness by Mr Cohen at the hearing) is a short and straightforward one.  The Defendant submits that the words used in Regulation 7(2) do not entitle her to consider the merits of the putative application for review as part of any assessment of whether it would be just and equitable to allow an application out of time. The Defendant submits that the wording of Regulation 7(2) means that the consideration of whether it would be just and equitable to allow the application to proceed “is logically prior to considering the application” and argues that Regulation 7(2) contains a deliberate inversion in contrast to other statutory regimes which are not so limited.   On this basis, so the Defendant submits, the Ombudsman did not err in law in not considering the merits of the Claimant’s application for review of the admissibility decision because she was precluded in law from doing so.</w:t>
      </w:r>
    </w:p>
    <w:p w14:paraId="2F4D47B0"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pacing w:val="-2"/>
          <w:sz w:val="24"/>
          <w:szCs w:val="24"/>
        </w:rPr>
        <w:t xml:space="preserve">In this regard, the Defendant focuses specifically on the structure of the wording and approach in Regulation 7(2) (in contrast to other discretions such as that in section 123 of the EA 2010 on which the Claimant relies).  It begins with a prohibition: the Ombudsman “must not consider an application under paragraph (1)” if it is made out of time.  It is only after this prohibition is imposed that the qualification appears “unless the Ombudsman considers it is just and equitable to allow the complainant to apply after that period”.  The Defendant submits that on this basis, any consideration of what is “just and equitable”, does not involve any consideration of the merits of the application itself and the Ombudsman is not entitled to take those into account. </w:t>
      </w:r>
    </w:p>
    <w:p w14:paraId="42C409F2"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pacing w:val="-2"/>
          <w:sz w:val="24"/>
          <w:szCs w:val="24"/>
        </w:rPr>
        <w:t>As I have already noted, the Defendant submitted that this interpretation of the provision was inferentially supported by the adoption of this structure in contrast to that which appears in other legislation, like s.123 of the EA 2010, where no such prohibition is imposed subject to a qualification, but instead provision is made for a tribunal to extend time where it considers it just and equitable in all the circumstances.</w:t>
      </w:r>
    </w:p>
    <w:p w14:paraId="75BE6F0A"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pacing w:val="-2"/>
          <w:sz w:val="24"/>
          <w:szCs w:val="24"/>
        </w:rPr>
        <w:lastRenderedPageBreak/>
        <w:t xml:space="preserve">The Interested Party adopted these submissions and supported that interpretation as the body responsible for the legislation.  The Interested Party also sought to draw attention to the Ombudsman’s limited function of review of admissibility decisions under this part of the statutory scheme, in contrast to the Ombudsman’s other investigation functions and powers expressed elsewhere. </w:t>
      </w:r>
    </w:p>
    <w:p w14:paraId="25B6C294"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Despite the attractiveness with which these submissions were made, I reject that interpretation of the meaning of Regulation 7(2).  In my judgment, it imposes an artificial limitation on the breadth of the Ombudsman’s discretion that is not articulated in the Regulation itself, nor can it properly be inferred from the language or structure of the Regulation.</w:t>
      </w:r>
    </w:p>
    <w:p w14:paraId="6F5369A0" w14:textId="6BA37CD0"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Applying well-established principles of construction, the basic starting point must be the natural and ordinary meaning of the words used in the Regulation itself.  The Regulation begins by articulating a prohibition on the Ombudsman from considering an application that is made out of time.   That is clear from the mandatory words that the Ombudsman “must not consider an application” which is made outside the </w:t>
      </w:r>
      <w:proofErr w:type="gramStart"/>
      <w:r w:rsidRPr="00C830AB">
        <w:rPr>
          <w:rFonts w:ascii="Times New Roman" w:hAnsi="Times New Roman" w:cs="Times New Roman"/>
          <w:sz w:val="24"/>
          <w:szCs w:val="24"/>
        </w:rPr>
        <w:t>four week</w:t>
      </w:r>
      <w:proofErr w:type="gramEnd"/>
      <w:r w:rsidRPr="00C830AB">
        <w:rPr>
          <w:rFonts w:ascii="Times New Roman" w:hAnsi="Times New Roman" w:cs="Times New Roman"/>
          <w:sz w:val="24"/>
          <w:szCs w:val="24"/>
        </w:rPr>
        <w:t xml:space="preserve"> period identified.  That prohibition, however, is immediately qualified by the word “unless” used in the same sentence.  The qualification is “unless the Ombudsman considers it is just and equitable to allow the complainant to apply after that period.”</w:t>
      </w:r>
    </w:p>
    <w:p w14:paraId="6E08125D" w14:textId="5A0A4173"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The use of the words “just and equitable” themselves immediately connote a broad discretion, given the nature of such concepts.  But the intended breadth of the discretion is put beyond doubt by the fact that the Regulation makes it clear that the question of what is just and equitable is a matter for the Ombudsman.  The qualification is expressed as “unless the Ombudsman considers it is just and equitable”.  The Regulation is therefore affording the Ombudsman a discretion to consider whether it is just and equitable to extend time. These words of themselves indicate the provision of a broad discretion, without needing to draw on other statutory regimes where similar concepts (such as in s.123 of the EA 2010, or s.7(5) of the Human Rights Act 1998 on what is equitable) have been found to give rise to a broad discretion.  Reference to use of similar words giving rise to broad discretions in other context</w:t>
      </w:r>
      <w:r w:rsidR="00D71970">
        <w:rPr>
          <w:rFonts w:ascii="Times New Roman" w:hAnsi="Times New Roman" w:cs="Times New Roman"/>
          <w:sz w:val="24"/>
          <w:szCs w:val="24"/>
        </w:rPr>
        <w:t>s</w:t>
      </w:r>
      <w:r w:rsidRPr="00C830AB">
        <w:rPr>
          <w:rFonts w:ascii="Times New Roman" w:hAnsi="Times New Roman" w:cs="Times New Roman"/>
          <w:sz w:val="24"/>
          <w:szCs w:val="24"/>
        </w:rPr>
        <w:t xml:space="preserve"> potentially reinforce the conclusion I reach on the wording used in Regulation 7(2), but I reach that conclusion simply on the words used in th</w:t>
      </w:r>
      <w:r w:rsidR="002E22A6">
        <w:rPr>
          <w:rFonts w:ascii="Times New Roman" w:hAnsi="Times New Roman" w:cs="Times New Roman"/>
          <w:sz w:val="24"/>
          <w:szCs w:val="24"/>
        </w:rPr>
        <w:t>at</w:t>
      </w:r>
      <w:r w:rsidRPr="00C830AB">
        <w:rPr>
          <w:rFonts w:ascii="Times New Roman" w:hAnsi="Times New Roman" w:cs="Times New Roman"/>
          <w:sz w:val="24"/>
          <w:szCs w:val="24"/>
        </w:rPr>
        <w:t xml:space="preserve"> provision itself.</w:t>
      </w:r>
    </w:p>
    <w:p w14:paraId="46B561B6" w14:textId="7B0C0960"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In my judgment, the natural and ordinary meaning of the words used strongly indicates </w:t>
      </w:r>
      <w:r w:rsidR="002E22A6">
        <w:rPr>
          <w:rFonts w:ascii="Times New Roman" w:hAnsi="Times New Roman" w:cs="Times New Roman"/>
          <w:sz w:val="24"/>
          <w:szCs w:val="24"/>
        </w:rPr>
        <w:t xml:space="preserve">as </w:t>
      </w:r>
      <w:r w:rsidRPr="00C830AB">
        <w:rPr>
          <w:rFonts w:ascii="Times New Roman" w:hAnsi="Times New Roman" w:cs="Times New Roman"/>
          <w:sz w:val="24"/>
          <w:szCs w:val="24"/>
        </w:rPr>
        <w:t xml:space="preserve">a basic starting point that the Ombudsman is being given a broad discretion to </w:t>
      </w:r>
      <w:proofErr w:type="gramStart"/>
      <w:r w:rsidRPr="00C830AB">
        <w:rPr>
          <w:rFonts w:ascii="Times New Roman" w:hAnsi="Times New Roman" w:cs="Times New Roman"/>
          <w:sz w:val="24"/>
          <w:szCs w:val="24"/>
        </w:rPr>
        <w:t>make a decision</w:t>
      </w:r>
      <w:proofErr w:type="gramEnd"/>
      <w:r w:rsidRPr="00C830AB">
        <w:rPr>
          <w:rFonts w:ascii="Times New Roman" w:hAnsi="Times New Roman" w:cs="Times New Roman"/>
          <w:sz w:val="24"/>
          <w:szCs w:val="24"/>
        </w:rPr>
        <w:t xml:space="preserve"> on whether it is just and equitable to allow the complainant to apply </w:t>
      </w:r>
      <w:r w:rsidR="00D71970">
        <w:rPr>
          <w:rFonts w:ascii="Times New Roman" w:hAnsi="Times New Roman" w:cs="Times New Roman"/>
          <w:sz w:val="24"/>
          <w:szCs w:val="24"/>
        </w:rPr>
        <w:t xml:space="preserve">for a review of a specified officer’s admissibility decision </w:t>
      </w:r>
      <w:r w:rsidRPr="00C830AB">
        <w:rPr>
          <w:rFonts w:ascii="Times New Roman" w:hAnsi="Times New Roman" w:cs="Times New Roman"/>
          <w:sz w:val="24"/>
          <w:szCs w:val="24"/>
        </w:rPr>
        <w:t xml:space="preserve">out of time. No express constraints, limits or other words of qualification are applied to what factors the Ombudsman may </w:t>
      </w:r>
      <w:proofErr w:type="gramStart"/>
      <w:r w:rsidRPr="00C830AB">
        <w:rPr>
          <w:rFonts w:ascii="Times New Roman" w:hAnsi="Times New Roman" w:cs="Times New Roman"/>
          <w:sz w:val="24"/>
          <w:szCs w:val="24"/>
        </w:rPr>
        <w:t>take into account</w:t>
      </w:r>
      <w:proofErr w:type="gramEnd"/>
      <w:r w:rsidRPr="00C830AB">
        <w:rPr>
          <w:rFonts w:ascii="Times New Roman" w:hAnsi="Times New Roman" w:cs="Times New Roman"/>
          <w:sz w:val="24"/>
          <w:szCs w:val="24"/>
        </w:rPr>
        <w:t>, or the weight to apply to such factors.  On the basis of this starting point as to the words used, I would conclude that such limits should not be imposed by way of gloss on that discretion</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w:t>
      </w:r>
    </w:p>
    <w:p w14:paraId="37725A8F" w14:textId="718E7CFC"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The Defendant and Interested Party seek to justify a necessary limitation from the way in which the prohibition is expressed first, followed by the qualification.  They suggest that the Ombudsman is not entitled to consider the underlying application at all when </w:t>
      </w:r>
      <w:proofErr w:type="gramStart"/>
      <w:r w:rsidRPr="00C830AB">
        <w:rPr>
          <w:rFonts w:ascii="Times New Roman" w:hAnsi="Times New Roman" w:cs="Times New Roman"/>
          <w:sz w:val="24"/>
          <w:szCs w:val="24"/>
        </w:rPr>
        <w:t>making a decision</w:t>
      </w:r>
      <w:proofErr w:type="gramEnd"/>
      <w:r w:rsidRPr="00C830AB">
        <w:rPr>
          <w:rFonts w:ascii="Times New Roman" w:hAnsi="Times New Roman" w:cs="Times New Roman"/>
          <w:sz w:val="24"/>
          <w:szCs w:val="24"/>
        </w:rPr>
        <w:t xml:space="preserve"> as to whether it is just and equitable to allow the </w:t>
      </w:r>
      <w:r w:rsidRPr="00C830AB">
        <w:rPr>
          <w:rFonts w:ascii="Times New Roman" w:hAnsi="Times New Roman" w:cs="Times New Roman"/>
          <w:sz w:val="24"/>
          <w:szCs w:val="24"/>
        </w:rPr>
        <w:lastRenderedPageBreak/>
        <w:t>complainant to make the application</w:t>
      </w:r>
      <w:r w:rsidR="00D71970">
        <w:rPr>
          <w:rFonts w:ascii="Times New Roman" w:hAnsi="Times New Roman" w:cs="Times New Roman"/>
          <w:sz w:val="24"/>
          <w:szCs w:val="24"/>
        </w:rPr>
        <w:t xml:space="preserve"> outside the identified time period</w:t>
      </w:r>
      <w:r w:rsidRPr="00C830AB">
        <w:rPr>
          <w:rFonts w:ascii="Times New Roman" w:hAnsi="Times New Roman" w:cs="Times New Roman"/>
          <w:sz w:val="24"/>
          <w:szCs w:val="24"/>
        </w:rPr>
        <w:t xml:space="preserve">.  I regard this approach as untenable for at least three reasons. </w:t>
      </w:r>
    </w:p>
    <w:p w14:paraId="3908F8D1" w14:textId="3640B1B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First, I consider it is artificial to break up the sense of the sentence used in the regulation in this way.  To suggest that one cannot consider the underlying application at all because of the preceding prohibition on doing so where it is out of time, in circumstances where the prohibition is being expressed in the very same sentence that contains the qualification to the prohibition is, in my judgment, artificial and unrealistic.  It is artificial to suggest that the intention of a single sentence</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expressed in the way </w:t>
      </w:r>
      <w:r w:rsidR="00D71970">
        <w:rPr>
          <w:rFonts w:ascii="Times New Roman" w:hAnsi="Times New Roman" w:cs="Times New Roman"/>
          <w:sz w:val="24"/>
          <w:szCs w:val="24"/>
        </w:rPr>
        <w:t xml:space="preserve">it </w:t>
      </w:r>
      <w:r w:rsidRPr="00C830AB">
        <w:rPr>
          <w:rFonts w:ascii="Times New Roman" w:hAnsi="Times New Roman" w:cs="Times New Roman"/>
          <w:sz w:val="24"/>
          <w:szCs w:val="24"/>
        </w:rPr>
        <w:t>is</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requires one to shut out any consideration of the application</w:t>
      </w:r>
      <w:r w:rsidR="002E22A6">
        <w:rPr>
          <w:rFonts w:ascii="Times New Roman" w:hAnsi="Times New Roman" w:cs="Times New Roman"/>
          <w:sz w:val="24"/>
          <w:szCs w:val="24"/>
        </w:rPr>
        <w:t xml:space="preserve"> at all</w:t>
      </w:r>
      <w:r w:rsidRPr="00C830AB">
        <w:rPr>
          <w:rFonts w:ascii="Times New Roman" w:hAnsi="Times New Roman" w:cs="Times New Roman"/>
          <w:sz w:val="24"/>
          <w:szCs w:val="24"/>
        </w:rPr>
        <w:t xml:space="preserve"> when </w:t>
      </w:r>
      <w:proofErr w:type="gramStart"/>
      <w:r w:rsidRPr="00C830AB">
        <w:rPr>
          <w:rFonts w:ascii="Times New Roman" w:hAnsi="Times New Roman" w:cs="Times New Roman"/>
          <w:sz w:val="24"/>
          <w:szCs w:val="24"/>
        </w:rPr>
        <w:t>making a decision</w:t>
      </w:r>
      <w:proofErr w:type="gramEnd"/>
      <w:r w:rsidRPr="00C830AB">
        <w:rPr>
          <w:rFonts w:ascii="Times New Roman" w:hAnsi="Times New Roman" w:cs="Times New Roman"/>
          <w:sz w:val="24"/>
          <w:szCs w:val="24"/>
        </w:rPr>
        <w:t xml:space="preserve"> on whether it is just and equitable to allow the complainant to apply after the time limit.  If such a restriction had been intended, it could have been much more clearly expressed</w:t>
      </w:r>
      <w:r w:rsidR="002E22A6">
        <w:rPr>
          <w:rFonts w:ascii="Times New Roman" w:hAnsi="Times New Roman" w:cs="Times New Roman"/>
          <w:sz w:val="24"/>
          <w:szCs w:val="24"/>
        </w:rPr>
        <w:t>,</w:t>
      </w:r>
      <w:r w:rsidRPr="00C830AB">
        <w:rPr>
          <w:rFonts w:ascii="Times New Roman" w:hAnsi="Times New Roman" w:cs="Times New Roman"/>
          <w:sz w:val="24"/>
          <w:szCs w:val="24"/>
        </w:rPr>
        <w:t xml:space="preserve"> and I would expect it to have been done so if imposing restrictions on the discretion afforded.</w:t>
      </w:r>
    </w:p>
    <w:p w14:paraId="283E2DBD" w14:textId="0E4C1DB6"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Second, even </w:t>
      </w:r>
      <w:r w:rsidR="00D71970">
        <w:rPr>
          <w:rFonts w:ascii="Times New Roman" w:hAnsi="Times New Roman" w:cs="Times New Roman"/>
          <w:sz w:val="24"/>
          <w:szCs w:val="24"/>
        </w:rPr>
        <w:t xml:space="preserve">if </w:t>
      </w:r>
      <w:r w:rsidRPr="00C830AB">
        <w:rPr>
          <w:rFonts w:ascii="Times New Roman" w:hAnsi="Times New Roman" w:cs="Times New Roman"/>
          <w:sz w:val="24"/>
          <w:szCs w:val="24"/>
        </w:rPr>
        <w:t xml:space="preserve">there were merit in this artificial approach, I do not consider it ultimately assists the Defendant and Interested </w:t>
      </w:r>
      <w:proofErr w:type="gramStart"/>
      <w:r w:rsidRPr="00C830AB">
        <w:rPr>
          <w:rFonts w:ascii="Times New Roman" w:hAnsi="Times New Roman" w:cs="Times New Roman"/>
          <w:sz w:val="24"/>
          <w:szCs w:val="24"/>
        </w:rPr>
        <w:t>Party, or</w:t>
      </w:r>
      <w:proofErr w:type="gramEnd"/>
      <w:r w:rsidRPr="00C830AB">
        <w:rPr>
          <w:rFonts w:ascii="Times New Roman" w:hAnsi="Times New Roman" w:cs="Times New Roman"/>
          <w:sz w:val="24"/>
          <w:szCs w:val="24"/>
        </w:rPr>
        <w:t xml:space="preserve"> supports their conclusion.  On the hypothesis advanced, the Ombudsman would still be required to consider whether it is just and equitable to allow the complainant to apply after the time limit has expired (before considering the application itself).  But there is nothing in the statutory language used which prevents the Ombudsman from considering the potential merits of the Claimant’s case (without determining any question of admissibility) in </w:t>
      </w:r>
      <w:proofErr w:type="gramStart"/>
      <w:r w:rsidRPr="00C830AB">
        <w:rPr>
          <w:rFonts w:ascii="Times New Roman" w:hAnsi="Times New Roman" w:cs="Times New Roman"/>
          <w:sz w:val="24"/>
          <w:szCs w:val="24"/>
        </w:rPr>
        <w:t>making an assessment of</w:t>
      </w:r>
      <w:proofErr w:type="gramEnd"/>
      <w:r w:rsidRPr="00C830AB">
        <w:rPr>
          <w:rFonts w:ascii="Times New Roman" w:hAnsi="Times New Roman" w:cs="Times New Roman"/>
          <w:sz w:val="24"/>
          <w:szCs w:val="24"/>
        </w:rPr>
        <w:t xml:space="preserve"> whether it is just and equitable to allow the complainant to apply out of time.  Thus, for example, the Ombudsman could, potentially decide it is just and equitable to allow </w:t>
      </w:r>
      <w:r w:rsidR="002E22A6">
        <w:rPr>
          <w:rFonts w:ascii="Times New Roman" w:hAnsi="Times New Roman" w:cs="Times New Roman"/>
          <w:sz w:val="24"/>
          <w:szCs w:val="24"/>
        </w:rPr>
        <w:t>a</w:t>
      </w:r>
      <w:r w:rsidRPr="00C830AB">
        <w:rPr>
          <w:rFonts w:ascii="Times New Roman" w:hAnsi="Times New Roman" w:cs="Times New Roman"/>
          <w:sz w:val="24"/>
          <w:szCs w:val="24"/>
        </w:rPr>
        <w:t xml:space="preserve"> complainant to apply out of time (having regard to the merits of </w:t>
      </w:r>
      <w:r w:rsidR="002E22A6">
        <w:rPr>
          <w:rFonts w:ascii="Times New Roman" w:hAnsi="Times New Roman" w:cs="Times New Roman"/>
          <w:sz w:val="24"/>
          <w:szCs w:val="24"/>
        </w:rPr>
        <w:t>a complaint’s</w:t>
      </w:r>
      <w:r w:rsidRPr="00C830AB">
        <w:rPr>
          <w:rFonts w:ascii="Times New Roman" w:hAnsi="Times New Roman" w:cs="Times New Roman"/>
          <w:sz w:val="24"/>
          <w:szCs w:val="24"/>
        </w:rPr>
        <w:t xml:space="preserve"> case), but then subsequently to </w:t>
      </w:r>
      <w:proofErr w:type="gramStart"/>
      <w:r w:rsidRPr="00C830AB">
        <w:rPr>
          <w:rFonts w:ascii="Times New Roman" w:hAnsi="Times New Roman" w:cs="Times New Roman"/>
          <w:sz w:val="24"/>
          <w:szCs w:val="24"/>
        </w:rPr>
        <w:t>reject  the</w:t>
      </w:r>
      <w:proofErr w:type="gramEnd"/>
      <w:r w:rsidRPr="00C830AB">
        <w:rPr>
          <w:rFonts w:ascii="Times New Roman" w:hAnsi="Times New Roman" w:cs="Times New Roman"/>
          <w:sz w:val="24"/>
          <w:szCs w:val="24"/>
        </w:rPr>
        <w:t xml:space="preserve"> application itself and uphold the inadmissibility decision in due course. </w:t>
      </w:r>
    </w:p>
    <w:p w14:paraId="746D6DE5" w14:textId="79CCDF6E"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Third, in addition to the absence of any express restriction on what the Ombud</w:t>
      </w:r>
      <w:r w:rsidR="00D71970">
        <w:rPr>
          <w:rFonts w:ascii="Times New Roman" w:hAnsi="Times New Roman" w:cs="Times New Roman"/>
          <w:sz w:val="24"/>
          <w:szCs w:val="24"/>
        </w:rPr>
        <w:t>s</w:t>
      </w:r>
      <w:r w:rsidRPr="00C830AB">
        <w:rPr>
          <w:rFonts w:ascii="Times New Roman" w:hAnsi="Times New Roman" w:cs="Times New Roman"/>
          <w:sz w:val="24"/>
          <w:szCs w:val="24"/>
        </w:rPr>
        <w:t>man may consider, I cannot see any other compelling logic for inferring any such restriction.  True it is that the Ombudsman’s review function of admissibility decisions is a more limited one than</w:t>
      </w:r>
      <w:r w:rsidR="002E22A6">
        <w:rPr>
          <w:rFonts w:ascii="Times New Roman" w:hAnsi="Times New Roman" w:cs="Times New Roman"/>
          <w:sz w:val="24"/>
          <w:szCs w:val="24"/>
        </w:rPr>
        <w:t xml:space="preserve"> that of</w:t>
      </w:r>
      <w:r w:rsidRPr="00C830AB">
        <w:rPr>
          <w:rFonts w:ascii="Times New Roman" w:hAnsi="Times New Roman" w:cs="Times New Roman"/>
          <w:sz w:val="24"/>
          <w:szCs w:val="24"/>
        </w:rPr>
        <w:t xml:space="preserve"> carrying out an investigation of the service complaint itself.  But there is no obvious reason why the Ombudsman’s general discretion to allow a complaint out of time is intended to be limited or constrained in the way that the Defendant and Interested Party suggest,</w:t>
      </w:r>
      <w:r w:rsidR="00D71970">
        <w:rPr>
          <w:rFonts w:ascii="Times New Roman" w:hAnsi="Times New Roman" w:cs="Times New Roman"/>
          <w:sz w:val="24"/>
          <w:szCs w:val="24"/>
        </w:rPr>
        <w:t xml:space="preserve"> </w:t>
      </w:r>
      <w:r w:rsidR="002E22A6">
        <w:rPr>
          <w:rFonts w:ascii="Times New Roman" w:hAnsi="Times New Roman" w:cs="Times New Roman"/>
          <w:sz w:val="24"/>
          <w:szCs w:val="24"/>
        </w:rPr>
        <w:t xml:space="preserve">so as to </w:t>
      </w:r>
      <w:r w:rsidRPr="00C830AB">
        <w:rPr>
          <w:rFonts w:ascii="Times New Roman" w:hAnsi="Times New Roman" w:cs="Times New Roman"/>
          <w:sz w:val="24"/>
          <w:szCs w:val="24"/>
        </w:rPr>
        <w:t>preclud</w:t>
      </w:r>
      <w:r w:rsidR="002E22A6">
        <w:rPr>
          <w:rFonts w:ascii="Times New Roman" w:hAnsi="Times New Roman" w:cs="Times New Roman"/>
          <w:sz w:val="24"/>
          <w:szCs w:val="24"/>
        </w:rPr>
        <w:t>e</w:t>
      </w:r>
      <w:r w:rsidRPr="00C830AB">
        <w:rPr>
          <w:rFonts w:ascii="Times New Roman" w:hAnsi="Times New Roman" w:cs="Times New Roman"/>
          <w:sz w:val="24"/>
          <w:szCs w:val="24"/>
        </w:rPr>
        <w:t xml:space="preserve"> any consideration of the merits of a complainant’s case.  That is particularly so where admissibility decisions in this context can have potential significant consequences for a complainant.  There is no reason to think that the Ombudsman cannot be entrusted to exercise a broad “just and equitable” jurisdiction to extend time in a careful manner, with proper regard to the importance of respecting the </w:t>
      </w:r>
      <w:proofErr w:type="gramStart"/>
      <w:r w:rsidRPr="00C830AB">
        <w:rPr>
          <w:rFonts w:ascii="Times New Roman" w:hAnsi="Times New Roman" w:cs="Times New Roman"/>
          <w:sz w:val="24"/>
          <w:szCs w:val="24"/>
        </w:rPr>
        <w:t>four week</w:t>
      </w:r>
      <w:proofErr w:type="gramEnd"/>
      <w:r w:rsidRPr="00C830AB">
        <w:rPr>
          <w:rFonts w:ascii="Times New Roman" w:hAnsi="Times New Roman" w:cs="Times New Roman"/>
          <w:sz w:val="24"/>
          <w:szCs w:val="24"/>
        </w:rPr>
        <w:t xml:space="preserve"> time limit.  In that respect, although I reject the notion that what the Defendant describes as the inverted structure of Regulation 7(2) has the effect for which the Defendant contends, it does lend force to the principle that the starting point is the prohibition on considering complaints made outside the </w:t>
      </w:r>
      <w:proofErr w:type="gramStart"/>
      <w:r w:rsidRPr="00C830AB">
        <w:rPr>
          <w:rFonts w:ascii="Times New Roman" w:hAnsi="Times New Roman" w:cs="Times New Roman"/>
          <w:sz w:val="24"/>
          <w:szCs w:val="24"/>
        </w:rPr>
        <w:t>four week</w:t>
      </w:r>
      <w:proofErr w:type="gramEnd"/>
      <w:r w:rsidRPr="00C830AB">
        <w:rPr>
          <w:rFonts w:ascii="Times New Roman" w:hAnsi="Times New Roman" w:cs="Times New Roman"/>
          <w:sz w:val="24"/>
          <w:szCs w:val="24"/>
        </w:rPr>
        <w:t xml:space="preserve"> period, so that the exercise of the discretion will be the exception rather than the rule.</w:t>
      </w:r>
    </w:p>
    <w:p w14:paraId="251DD9E9"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For these reasons, I reject the Defendant’s principal argument under Ground 1.  I do so without reliance upon section 123 of the EA 2010, and the cases that apply to that jurisdiction. I recognise the force of the submissions from the Defendant and Interested Party that one needs to be very careful in applying principles expressed in </w:t>
      </w:r>
      <w:r w:rsidRPr="00C830AB">
        <w:rPr>
          <w:rFonts w:ascii="Times New Roman" w:hAnsi="Times New Roman" w:cs="Times New Roman"/>
          <w:sz w:val="24"/>
          <w:szCs w:val="24"/>
        </w:rPr>
        <w:lastRenderedPageBreak/>
        <w:t xml:space="preserve">respect of different statutory regimes where the wording is different.  But in my judgment, the words of Regulation 7(2) do articulate a broad discretion afforded to the Ombudsman for the reasons I have identified.  </w:t>
      </w:r>
    </w:p>
    <w:p w14:paraId="053D92E5" w14:textId="1F67AC9C"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Having reached that conclusion on the language used, I consider that the breadth of that discretion afforded to the Ombud</w:t>
      </w:r>
      <w:r w:rsidR="00D71970">
        <w:rPr>
          <w:rFonts w:ascii="Times New Roman" w:hAnsi="Times New Roman" w:cs="Times New Roman"/>
          <w:sz w:val="24"/>
          <w:szCs w:val="24"/>
        </w:rPr>
        <w:t>s</w:t>
      </w:r>
      <w:r w:rsidRPr="00C830AB">
        <w:rPr>
          <w:rFonts w:ascii="Times New Roman" w:hAnsi="Times New Roman" w:cs="Times New Roman"/>
          <w:sz w:val="24"/>
          <w:szCs w:val="24"/>
        </w:rPr>
        <w:t xml:space="preserve">man is in fact subject to </w:t>
      </w:r>
      <w:r w:rsidR="002E22A6">
        <w:rPr>
          <w:rFonts w:ascii="Times New Roman" w:hAnsi="Times New Roman" w:cs="Times New Roman"/>
          <w:sz w:val="24"/>
          <w:szCs w:val="24"/>
        </w:rPr>
        <w:t xml:space="preserve">other </w:t>
      </w:r>
      <w:r w:rsidRPr="00C830AB">
        <w:rPr>
          <w:rFonts w:ascii="Times New Roman" w:hAnsi="Times New Roman" w:cs="Times New Roman"/>
          <w:sz w:val="24"/>
          <w:szCs w:val="24"/>
        </w:rPr>
        <w:t xml:space="preserve">equivalent principles that have been expressed in relation to s.123 of the EA 2010, namely that it is for the Ombudsman (rather than this Court) to exercise such a discretion, where the factors the Ombudsman may take into account, and the weight to be attached to those factors, are for the Ombudsman subject only to general public law principles.  </w:t>
      </w:r>
    </w:p>
    <w:p w14:paraId="2639071A" w14:textId="6F702652"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In this particular case, the SCOAF clarified through its Investigations Officer in September 2023, and this claim was defended on the basis that, the Ombudsman did not consider the merits of the Claimant’s application</w:t>
      </w:r>
      <w:r w:rsidR="002E22A6">
        <w:rPr>
          <w:rFonts w:ascii="Times New Roman" w:hAnsi="Times New Roman" w:cs="Times New Roman"/>
          <w:sz w:val="24"/>
          <w:szCs w:val="24"/>
        </w:rPr>
        <w:t>.  This was</w:t>
      </w:r>
      <w:r w:rsidRPr="00C830AB">
        <w:rPr>
          <w:rFonts w:ascii="Times New Roman" w:hAnsi="Times New Roman" w:cs="Times New Roman"/>
          <w:sz w:val="24"/>
          <w:szCs w:val="24"/>
        </w:rPr>
        <w:t xml:space="preserve"> </w:t>
      </w:r>
      <w:r w:rsidR="002E22A6">
        <w:rPr>
          <w:rFonts w:ascii="Times New Roman" w:hAnsi="Times New Roman" w:cs="Times New Roman"/>
          <w:sz w:val="24"/>
          <w:szCs w:val="24"/>
        </w:rPr>
        <w:t xml:space="preserve">because the Defendant’s position is </w:t>
      </w:r>
      <w:r w:rsidRPr="00C830AB">
        <w:rPr>
          <w:rFonts w:ascii="Times New Roman" w:hAnsi="Times New Roman" w:cs="Times New Roman"/>
          <w:sz w:val="24"/>
          <w:szCs w:val="24"/>
        </w:rPr>
        <w:t xml:space="preserve">that the Ombudsman was precluded from doing so by Regulation 7(2).  The decision was therefore </w:t>
      </w:r>
      <w:r w:rsidRPr="00C830AB">
        <w:rPr>
          <w:rFonts w:ascii="Times New Roman" w:hAnsi="Times New Roman" w:cs="Times New Roman"/>
          <w:sz w:val="24"/>
          <w:szCs w:val="24"/>
          <w:u w:val="single"/>
        </w:rPr>
        <w:t>not</w:t>
      </w:r>
      <w:r w:rsidRPr="00C830AB">
        <w:rPr>
          <w:rFonts w:ascii="Times New Roman" w:hAnsi="Times New Roman" w:cs="Times New Roman"/>
          <w:sz w:val="24"/>
          <w:szCs w:val="24"/>
        </w:rPr>
        <w:t xml:space="preserve"> taken, nor defended, on the basis that the Ombudsman was entitled not to </w:t>
      </w:r>
      <w:proofErr w:type="gramStart"/>
      <w:r w:rsidRPr="00C830AB">
        <w:rPr>
          <w:rFonts w:ascii="Times New Roman" w:hAnsi="Times New Roman" w:cs="Times New Roman"/>
          <w:sz w:val="24"/>
          <w:szCs w:val="24"/>
        </w:rPr>
        <w:t>take into account</w:t>
      </w:r>
      <w:proofErr w:type="gramEnd"/>
      <w:r w:rsidRPr="00C830AB">
        <w:rPr>
          <w:rFonts w:ascii="Times New Roman" w:hAnsi="Times New Roman" w:cs="Times New Roman"/>
          <w:sz w:val="24"/>
          <w:szCs w:val="24"/>
        </w:rPr>
        <w:t xml:space="preserve"> the merits of the Claimant’s application on the facts of this case</w:t>
      </w:r>
      <w:r w:rsidR="002E22A6">
        <w:rPr>
          <w:rFonts w:ascii="Times New Roman" w:hAnsi="Times New Roman" w:cs="Times New Roman"/>
          <w:sz w:val="24"/>
          <w:szCs w:val="24"/>
        </w:rPr>
        <w:t>,</w:t>
      </w:r>
      <w:r w:rsidRPr="00C830AB">
        <w:rPr>
          <w:rFonts w:ascii="Times New Roman" w:hAnsi="Times New Roman" w:cs="Times New Roman"/>
          <w:sz w:val="24"/>
          <w:szCs w:val="24"/>
        </w:rPr>
        <w:t xml:space="preserve"> as a matter of discretionary judgment.  No arguments were advanced on that basis, nor dealing with the correct legal approach to such a decision if it had been made on that basis.  In general, there is now a well-established principle in administrative law that unless a potentially material consideration is a mandatory one required to be taken into account by law or policy, or it is so obviously material that it would be an error of law</w:t>
      </w:r>
      <w:r w:rsidR="002E22A6">
        <w:rPr>
          <w:rFonts w:ascii="Times New Roman" w:hAnsi="Times New Roman" w:cs="Times New Roman"/>
          <w:sz w:val="24"/>
          <w:szCs w:val="24"/>
        </w:rPr>
        <w:t xml:space="preserve"> not to take it into account</w:t>
      </w:r>
      <w:r w:rsidRPr="00C830AB">
        <w:rPr>
          <w:rFonts w:ascii="Times New Roman" w:hAnsi="Times New Roman" w:cs="Times New Roman"/>
          <w:sz w:val="24"/>
          <w:szCs w:val="24"/>
        </w:rPr>
        <w:t xml:space="preserve">, it will be a matter of judgment for the decision-maker as to whether or not it is taken into account in a particular case: see </w:t>
      </w:r>
      <w:proofErr w:type="spellStart"/>
      <w:r w:rsidRPr="00C830AB">
        <w:rPr>
          <w:rFonts w:ascii="Times New Roman" w:hAnsi="Times New Roman" w:cs="Times New Roman"/>
          <w:sz w:val="24"/>
          <w:szCs w:val="24"/>
        </w:rPr>
        <w:t>eg</w:t>
      </w:r>
      <w:proofErr w:type="spellEnd"/>
      <w:r w:rsidRPr="00C830AB">
        <w:rPr>
          <w:rFonts w:ascii="Times New Roman" w:hAnsi="Times New Roman" w:cs="Times New Roman"/>
          <w:sz w:val="24"/>
          <w:szCs w:val="24"/>
        </w:rPr>
        <w:t xml:space="preserve"> </w:t>
      </w:r>
      <w:r w:rsidRPr="00C830AB">
        <w:rPr>
          <w:rFonts w:ascii="Times New Roman" w:hAnsi="Times New Roman" w:cs="Times New Roman"/>
          <w:i/>
          <w:iCs/>
          <w:sz w:val="24"/>
          <w:szCs w:val="24"/>
        </w:rPr>
        <w:t xml:space="preserve">R(Khatun) v Newham LBC </w:t>
      </w:r>
      <w:r w:rsidRPr="00C830AB">
        <w:rPr>
          <w:rFonts w:ascii="Times New Roman" w:hAnsi="Times New Roman" w:cs="Times New Roman"/>
          <w:sz w:val="24"/>
          <w:szCs w:val="24"/>
        </w:rPr>
        <w:t>[2004] EWCA Civ 55 [2005] QB 7</w:t>
      </w:r>
      <w:r w:rsidRPr="00C830AB">
        <w:rPr>
          <w:rFonts w:ascii="Times New Roman" w:hAnsi="Times New Roman" w:cs="Times New Roman"/>
          <w:i/>
          <w:iCs/>
          <w:sz w:val="24"/>
          <w:szCs w:val="24"/>
        </w:rPr>
        <w:t xml:space="preserve"> (</w:t>
      </w:r>
      <w:r w:rsidRPr="00C830AB">
        <w:rPr>
          <w:rFonts w:ascii="Times New Roman" w:hAnsi="Times New Roman" w:cs="Times New Roman"/>
          <w:sz w:val="24"/>
          <w:szCs w:val="24"/>
        </w:rPr>
        <w:t xml:space="preserve">applying the approach expressed in the New Zealand case of </w:t>
      </w:r>
      <w:r w:rsidRPr="00C830AB">
        <w:rPr>
          <w:rFonts w:ascii="Times New Roman" w:hAnsi="Times New Roman" w:cs="Times New Roman"/>
          <w:i/>
          <w:iCs/>
          <w:sz w:val="24"/>
          <w:szCs w:val="24"/>
        </w:rPr>
        <w:t>Creed</w:t>
      </w:r>
      <w:r w:rsidR="00D71970">
        <w:rPr>
          <w:rFonts w:ascii="Times New Roman" w:hAnsi="Times New Roman" w:cs="Times New Roman"/>
          <w:i/>
          <w:iCs/>
          <w:sz w:val="24"/>
          <w:szCs w:val="24"/>
        </w:rPr>
        <w:t xml:space="preserve"> </w:t>
      </w:r>
      <w:r w:rsidRPr="00C830AB">
        <w:rPr>
          <w:rFonts w:ascii="Times New Roman" w:hAnsi="Times New Roman" w:cs="Times New Roman"/>
          <w:i/>
          <w:iCs/>
          <w:sz w:val="24"/>
          <w:szCs w:val="24"/>
        </w:rPr>
        <w:t xml:space="preserve">NZ) </w:t>
      </w:r>
      <w:r w:rsidRPr="00C830AB">
        <w:rPr>
          <w:rFonts w:ascii="Times New Roman" w:hAnsi="Times New Roman" w:cs="Times New Roman"/>
          <w:sz w:val="24"/>
          <w:szCs w:val="24"/>
        </w:rPr>
        <w:t>as applied in a number of other areas of administrative law).</w:t>
      </w:r>
    </w:p>
    <w:p w14:paraId="74D234DA" w14:textId="51868FF6" w:rsidR="00E24FDB" w:rsidRPr="00C830AB" w:rsidRDefault="002E22A6" w:rsidP="008E34DD">
      <w:pPr>
        <w:pStyle w:val="ListParagraph"/>
        <w:numPr>
          <w:ilvl w:val="0"/>
          <w:numId w:val="17"/>
        </w:numPr>
        <w:tabs>
          <w:tab w:val="left" w:pos="820"/>
        </w:tabs>
        <w:spacing w:before="276"/>
        <w:ind w:right="117"/>
        <w:rPr>
          <w:rFonts w:ascii="Times New Roman" w:hAnsi="Times New Roman" w:cs="Times New Roman"/>
          <w:sz w:val="24"/>
          <w:szCs w:val="24"/>
        </w:rPr>
      </w:pPr>
      <w:r>
        <w:rPr>
          <w:rFonts w:ascii="Times New Roman" w:hAnsi="Times New Roman" w:cs="Times New Roman"/>
          <w:sz w:val="24"/>
          <w:szCs w:val="24"/>
        </w:rPr>
        <w:t xml:space="preserve">Given the explanation as to the approach the Ombudsman’s adopted and the position that the Ombudsman was precluded from considering the merits of the Claimant’s application, </w:t>
      </w:r>
      <w:r w:rsidR="00E24FDB" w:rsidRPr="00C830AB">
        <w:rPr>
          <w:rFonts w:ascii="Times New Roman" w:hAnsi="Times New Roman" w:cs="Times New Roman"/>
          <w:sz w:val="24"/>
          <w:szCs w:val="24"/>
        </w:rPr>
        <w:t>I consider that the Claimant’s claim to quash the Ombudsman’s decisions must succeed under Ground 1.  The Ombudsman acted on an erroneous understanding of the effect of Regulation 7(2)</w:t>
      </w:r>
      <w:r>
        <w:rPr>
          <w:rFonts w:ascii="Times New Roman" w:hAnsi="Times New Roman" w:cs="Times New Roman"/>
          <w:sz w:val="24"/>
          <w:szCs w:val="24"/>
        </w:rPr>
        <w:t>. She</w:t>
      </w:r>
      <w:r w:rsidR="00E24FDB" w:rsidRPr="00C830AB">
        <w:rPr>
          <w:rFonts w:ascii="Times New Roman" w:hAnsi="Times New Roman" w:cs="Times New Roman"/>
          <w:sz w:val="24"/>
          <w:szCs w:val="24"/>
        </w:rPr>
        <w:t xml:space="preserve"> treated it as precluding her ability to </w:t>
      </w:r>
      <w:proofErr w:type="gramStart"/>
      <w:r w:rsidR="00E24FDB" w:rsidRPr="00C830AB">
        <w:rPr>
          <w:rFonts w:ascii="Times New Roman" w:hAnsi="Times New Roman" w:cs="Times New Roman"/>
          <w:sz w:val="24"/>
          <w:szCs w:val="24"/>
        </w:rPr>
        <w:t>take into account</w:t>
      </w:r>
      <w:proofErr w:type="gramEnd"/>
      <w:r w:rsidR="00E24FDB" w:rsidRPr="00C830AB">
        <w:rPr>
          <w:rFonts w:ascii="Times New Roman" w:hAnsi="Times New Roman" w:cs="Times New Roman"/>
          <w:sz w:val="24"/>
          <w:szCs w:val="24"/>
        </w:rPr>
        <w:t xml:space="preserve"> the merits of the Claimant’s application for review, suc</w:t>
      </w:r>
      <w:r w:rsidR="00D71970">
        <w:rPr>
          <w:rFonts w:ascii="Times New Roman" w:hAnsi="Times New Roman" w:cs="Times New Roman"/>
          <w:sz w:val="24"/>
          <w:szCs w:val="24"/>
        </w:rPr>
        <w:t>h</w:t>
      </w:r>
      <w:r w:rsidR="00E24FDB" w:rsidRPr="00C830AB">
        <w:rPr>
          <w:rFonts w:ascii="Times New Roman" w:hAnsi="Times New Roman" w:cs="Times New Roman"/>
          <w:sz w:val="24"/>
          <w:szCs w:val="24"/>
        </w:rPr>
        <w:t xml:space="preserve"> that no decision was ever made by her as to whether or not those merits should be taken into account in this particular case.  This is therefore not a case where that error can be said to have made no difference, or that it is highly likely that error was not material to outcome of the decision.  Equally, however, the discretion under Regulation 7(2) is one for the Ombudsman to exercise, rather than this Court</w:t>
      </w:r>
      <w:r>
        <w:rPr>
          <w:rFonts w:ascii="Times New Roman" w:hAnsi="Times New Roman" w:cs="Times New Roman"/>
          <w:sz w:val="24"/>
          <w:szCs w:val="24"/>
        </w:rPr>
        <w:t xml:space="preserve">. </w:t>
      </w:r>
      <w:r w:rsidR="00E24FDB" w:rsidRPr="00C830AB">
        <w:rPr>
          <w:rFonts w:ascii="Times New Roman" w:hAnsi="Times New Roman" w:cs="Times New Roman"/>
          <w:sz w:val="24"/>
          <w:szCs w:val="24"/>
        </w:rPr>
        <w:t>I agree with the Defendant that if the Ombudsman is found to have erred in the way I have identified, then the decision falls to be remitted for the Ombudsman to take in accordance with the law.</w:t>
      </w:r>
    </w:p>
    <w:p w14:paraId="3F42892E" w14:textId="77777777" w:rsidR="00E24FDB" w:rsidRPr="00C830AB" w:rsidRDefault="00E24FDB" w:rsidP="009A02E2">
      <w:pPr>
        <w:pStyle w:val="ListParagraph"/>
        <w:ind w:left="820" w:firstLine="0"/>
        <w:rPr>
          <w:rFonts w:ascii="Times New Roman" w:hAnsi="Times New Roman" w:cs="Times New Roman"/>
          <w:sz w:val="24"/>
          <w:szCs w:val="24"/>
        </w:rPr>
      </w:pPr>
      <w:r w:rsidRPr="00C830AB">
        <w:rPr>
          <w:rFonts w:ascii="Times New Roman" w:hAnsi="Times New Roman" w:cs="Times New Roman"/>
          <w:sz w:val="24"/>
          <w:szCs w:val="24"/>
        </w:rPr>
        <w:t xml:space="preserve"> </w:t>
      </w:r>
    </w:p>
    <w:p w14:paraId="76957875" w14:textId="13599A57" w:rsidR="00E24FDB" w:rsidRPr="00C830AB" w:rsidRDefault="00E24FDB" w:rsidP="008E34DD">
      <w:pPr>
        <w:pStyle w:val="ListParagraph"/>
        <w:numPr>
          <w:ilvl w:val="0"/>
          <w:numId w:val="17"/>
        </w:numPr>
        <w:ind w:right="117"/>
        <w:rPr>
          <w:rFonts w:ascii="Times New Roman" w:hAnsi="Times New Roman" w:cs="Times New Roman"/>
          <w:sz w:val="24"/>
          <w:szCs w:val="24"/>
        </w:rPr>
      </w:pPr>
      <w:r w:rsidRPr="00C830AB">
        <w:rPr>
          <w:rFonts w:ascii="Times New Roman" w:hAnsi="Times New Roman" w:cs="Times New Roman"/>
          <w:sz w:val="24"/>
          <w:szCs w:val="24"/>
        </w:rPr>
        <w:t xml:space="preserve">In my judgment, this conclusion renders it unnecessary and inappropriate to deal with the various alternative ways in which the Claimant sought to articulate Ground 1, in the absence of a decision by the Ombudsman </w:t>
      </w:r>
      <w:r w:rsidR="002E22A6">
        <w:rPr>
          <w:rFonts w:ascii="Times New Roman" w:hAnsi="Times New Roman" w:cs="Times New Roman"/>
          <w:sz w:val="24"/>
          <w:szCs w:val="24"/>
        </w:rPr>
        <w:t>applying</w:t>
      </w:r>
      <w:r w:rsidRPr="00C830AB">
        <w:rPr>
          <w:rFonts w:ascii="Times New Roman" w:hAnsi="Times New Roman" w:cs="Times New Roman"/>
          <w:sz w:val="24"/>
          <w:szCs w:val="24"/>
        </w:rPr>
        <w:t xml:space="preserve"> the correct interpretation of Regulation 7(2). It will be a matter for the Ombudsman to consider </w:t>
      </w:r>
      <w:r w:rsidR="00D71970">
        <w:rPr>
          <w:rFonts w:ascii="Times New Roman" w:hAnsi="Times New Roman" w:cs="Times New Roman"/>
          <w:sz w:val="24"/>
          <w:szCs w:val="24"/>
        </w:rPr>
        <w:t xml:space="preserve">the </w:t>
      </w:r>
      <w:r w:rsidRPr="00C830AB">
        <w:rPr>
          <w:rFonts w:ascii="Times New Roman" w:hAnsi="Times New Roman" w:cs="Times New Roman"/>
          <w:sz w:val="24"/>
          <w:szCs w:val="24"/>
        </w:rPr>
        <w:t>exercise of her discretion under Regulation 7(2)</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without </w:t>
      </w:r>
      <w:r w:rsidR="002E22A6">
        <w:rPr>
          <w:rFonts w:ascii="Times New Roman" w:hAnsi="Times New Roman" w:cs="Times New Roman"/>
          <w:sz w:val="24"/>
          <w:szCs w:val="24"/>
        </w:rPr>
        <w:t>the</w:t>
      </w:r>
      <w:r w:rsidRPr="00C830AB">
        <w:rPr>
          <w:rFonts w:ascii="Times New Roman" w:hAnsi="Times New Roman" w:cs="Times New Roman"/>
          <w:sz w:val="24"/>
          <w:szCs w:val="24"/>
        </w:rPr>
        <w:t xml:space="preserve"> erroneous understanding that she is </w:t>
      </w:r>
      <w:r w:rsidRPr="00C830AB">
        <w:rPr>
          <w:rFonts w:ascii="Times New Roman" w:hAnsi="Times New Roman" w:cs="Times New Roman"/>
          <w:sz w:val="24"/>
          <w:szCs w:val="24"/>
          <w:u w:val="single"/>
        </w:rPr>
        <w:t>precluded</w:t>
      </w:r>
      <w:r w:rsidRPr="00C830AB">
        <w:rPr>
          <w:rFonts w:ascii="Times New Roman" w:hAnsi="Times New Roman" w:cs="Times New Roman"/>
          <w:sz w:val="24"/>
          <w:szCs w:val="24"/>
        </w:rPr>
        <w:t xml:space="preserve"> from considering the merits of the Claimant’s case, and the various related points relating to </w:t>
      </w:r>
      <w:r w:rsidR="00D71970">
        <w:rPr>
          <w:rFonts w:ascii="Times New Roman" w:hAnsi="Times New Roman" w:cs="Times New Roman"/>
          <w:sz w:val="24"/>
          <w:szCs w:val="24"/>
        </w:rPr>
        <w:t xml:space="preserve">the </w:t>
      </w:r>
      <w:r w:rsidRPr="00C830AB">
        <w:rPr>
          <w:rFonts w:ascii="Times New Roman" w:hAnsi="Times New Roman" w:cs="Times New Roman"/>
          <w:sz w:val="24"/>
          <w:szCs w:val="24"/>
        </w:rPr>
        <w:t xml:space="preserve">respective prejudice that the Claimant has sought to articulate, </w:t>
      </w:r>
      <w:r w:rsidRPr="00C830AB">
        <w:rPr>
          <w:rFonts w:ascii="Times New Roman" w:hAnsi="Times New Roman" w:cs="Times New Roman"/>
          <w:sz w:val="24"/>
          <w:szCs w:val="24"/>
        </w:rPr>
        <w:lastRenderedPageBreak/>
        <w:t>in addition to the reasons for the delay and its consequence.  On conventional principles, if the Ombudsman approaches the exercise of that discretion correctly, her exercise of that discretion will only be reviewable on irrationality grounds and the high hurdle that presents</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provided she has correctly directed herself and </w:t>
      </w:r>
      <w:proofErr w:type="gramStart"/>
      <w:r w:rsidRPr="00C830AB">
        <w:rPr>
          <w:rFonts w:ascii="Times New Roman" w:hAnsi="Times New Roman" w:cs="Times New Roman"/>
          <w:sz w:val="24"/>
          <w:szCs w:val="24"/>
        </w:rPr>
        <w:t>taken into account</w:t>
      </w:r>
      <w:proofErr w:type="gramEnd"/>
      <w:r w:rsidRPr="00C830AB">
        <w:rPr>
          <w:rFonts w:ascii="Times New Roman" w:hAnsi="Times New Roman" w:cs="Times New Roman"/>
          <w:sz w:val="24"/>
          <w:szCs w:val="24"/>
        </w:rPr>
        <w:t xml:space="preserve"> all required considerations and ignored irrelevant ones.  It is not appropriate for this Court to arrogate for itself that statutory function which belongs to the Ombudsman.   As to the arguments based on procedural failings that were expressed under Ground 1, but also pursued under the new Ground 3, I will deal with those under Ground 3.</w:t>
      </w:r>
    </w:p>
    <w:p w14:paraId="5F3B1D08" w14:textId="77777777" w:rsidR="00E24FDB" w:rsidRPr="00C830AB" w:rsidRDefault="00E24FDB" w:rsidP="009A02E2">
      <w:pPr>
        <w:pStyle w:val="ListParagraph"/>
        <w:rPr>
          <w:rFonts w:ascii="Times New Roman" w:hAnsi="Times New Roman" w:cs="Times New Roman"/>
          <w:sz w:val="24"/>
          <w:szCs w:val="24"/>
        </w:rPr>
      </w:pPr>
    </w:p>
    <w:p w14:paraId="79D5B7E9" w14:textId="1A1D966C" w:rsidR="00E24FDB" w:rsidRPr="0026549A" w:rsidRDefault="00E24FDB" w:rsidP="009A02E2">
      <w:pPr>
        <w:pStyle w:val="Heading2"/>
        <w:spacing w:before="276"/>
        <w:ind w:left="820" w:right="119"/>
        <w:rPr>
          <w:rFonts w:ascii="Times New Roman" w:hAnsi="Times New Roman" w:cs="Times New Roman"/>
          <w:color w:val="000000" w:themeColor="text1"/>
          <w:sz w:val="24"/>
          <w:szCs w:val="24"/>
          <w:u w:val="single"/>
        </w:rPr>
      </w:pPr>
      <w:r w:rsidRPr="0026549A">
        <w:rPr>
          <w:rFonts w:ascii="Times New Roman" w:hAnsi="Times New Roman" w:cs="Times New Roman"/>
          <w:color w:val="000000" w:themeColor="text1"/>
          <w:sz w:val="24"/>
          <w:szCs w:val="24"/>
          <w:u w:val="single"/>
        </w:rPr>
        <w:t>Ground</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2</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Misapplication</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of</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the</w:t>
      </w:r>
      <w:r w:rsidRPr="0026549A">
        <w:rPr>
          <w:rFonts w:ascii="Times New Roman" w:hAnsi="Times New Roman" w:cs="Times New Roman"/>
          <w:color w:val="000000" w:themeColor="text1"/>
          <w:spacing w:val="-1"/>
          <w:sz w:val="24"/>
          <w:szCs w:val="24"/>
          <w:u w:val="single"/>
        </w:rPr>
        <w:t xml:space="preserve"> </w:t>
      </w:r>
      <w:r w:rsidRPr="0026549A">
        <w:rPr>
          <w:rFonts w:ascii="Times New Roman" w:hAnsi="Times New Roman" w:cs="Times New Roman"/>
          <w:color w:val="000000" w:themeColor="text1"/>
          <w:sz w:val="24"/>
          <w:szCs w:val="24"/>
          <w:u w:val="single"/>
        </w:rPr>
        <w:t>test</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of</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just</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and</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equitable/</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failure</w:t>
      </w:r>
      <w:r w:rsidRPr="0026549A">
        <w:rPr>
          <w:rFonts w:ascii="Times New Roman" w:hAnsi="Times New Roman" w:cs="Times New Roman"/>
          <w:color w:val="000000" w:themeColor="text1"/>
          <w:spacing w:val="-1"/>
          <w:sz w:val="24"/>
          <w:szCs w:val="24"/>
          <w:u w:val="single"/>
        </w:rPr>
        <w:t xml:space="preserve"> </w:t>
      </w:r>
      <w:r w:rsidRPr="0026549A">
        <w:rPr>
          <w:rFonts w:ascii="Times New Roman" w:hAnsi="Times New Roman" w:cs="Times New Roman"/>
          <w:color w:val="000000" w:themeColor="text1"/>
          <w:sz w:val="24"/>
          <w:szCs w:val="24"/>
          <w:u w:val="single"/>
        </w:rPr>
        <w:t>to</w:t>
      </w:r>
      <w:r w:rsidRPr="0026549A">
        <w:rPr>
          <w:rFonts w:ascii="Times New Roman" w:hAnsi="Times New Roman" w:cs="Times New Roman"/>
          <w:color w:val="000000" w:themeColor="text1"/>
          <w:spacing w:val="-2"/>
          <w:sz w:val="24"/>
          <w:szCs w:val="24"/>
          <w:u w:val="single"/>
        </w:rPr>
        <w:t xml:space="preserve"> </w:t>
      </w:r>
      <w:r w:rsidRPr="0026549A">
        <w:rPr>
          <w:rFonts w:ascii="Times New Roman" w:hAnsi="Times New Roman" w:cs="Times New Roman"/>
          <w:color w:val="000000" w:themeColor="text1"/>
          <w:sz w:val="24"/>
          <w:szCs w:val="24"/>
          <w:u w:val="single"/>
        </w:rPr>
        <w:t>consider</w:t>
      </w:r>
      <w:r w:rsidRPr="0026549A">
        <w:rPr>
          <w:rFonts w:ascii="Times New Roman" w:hAnsi="Times New Roman" w:cs="Times New Roman"/>
          <w:color w:val="000000" w:themeColor="text1"/>
          <w:spacing w:val="-1"/>
          <w:sz w:val="24"/>
          <w:szCs w:val="24"/>
          <w:u w:val="single"/>
        </w:rPr>
        <w:t xml:space="preserve"> </w:t>
      </w:r>
      <w:r w:rsidRPr="0026549A">
        <w:rPr>
          <w:rFonts w:ascii="Times New Roman" w:hAnsi="Times New Roman" w:cs="Times New Roman"/>
          <w:color w:val="000000" w:themeColor="text1"/>
          <w:sz w:val="24"/>
          <w:szCs w:val="24"/>
          <w:u w:val="single"/>
        </w:rPr>
        <w:t xml:space="preserve">all relevant </w:t>
      </w:r>
      <w:proofErr w:type="gramStart"/>
      <w:r w:rsidRPr="0026549A">
        <w:rPr>
          <w:rFonts w:ascii="Times New Roman" w:hAnsi="Times New Roman" w:cs="Times New Roman"/>
          <w:color w:val="000000" w:themeColor="text1"/>
          <w:sz w:val="24"/>
          <w:szCs w:val="24"/>
          <w:u w:val="single"/>
        </w:rPr>
        <w:t>factors</w:t>
      </w:r>
      <w:proofErr w:type="gramEnd"/>
    </w:p>
    <w:p w14:paraId="16FD5717" w14:textId="21D57142" w:rsidR="00E24FDB" w:rsidRPr="00C830AB" w:rsidRDefault="00E24FDB" w:rsidP="008E34DD">
      <w:pPr>
        <w:pStyle w:val="ListParagraph"/>
        <w:numPr>
          <w:ilvl w:val="0"/>
          <w:numId w:val="17"/>
        </w:numPr>
        <w:tabs>
          <w:tab w:val="left" w:pos="820"/>
        </w:tabs>
        <w:ind w:right="117"/>
        <w:rPr>
          <w:rFonts w:ascii="Times New Roman" w:hAnsi="Times New Roman" w:cs="Times New Roman"/>
          <w:sz w:val="24"/>
          <w:szCs w:val="24"/>
        </w:rPr>
      </w:pPr>
      <w:r w:rsidRPr="00C830AB">
        <w:rPr>
          <w:rFonts w:ascii="Times New Roman" w:hAnsi="Times New Roman" w:cs="Times New Roman"/>
          <w:sz w:val="24"/>
          <w:szCs w:val="24"/>
        </w:rPr>
        <w:t>The Claimant’s second ground of challenge is a contention that the SCOAF applied the wrong test under the Regulations. He submits that whether by reference to the actual wording used within each of the decision letters, or by reference to the content of those letters, it is clear</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15"/>
          <w:sz w:val="24"/>
          <w:szCs w:val="24"/>
        </w:rPr>
        <w:t xml:space="preserve"> SCOAF </w:t>
      </w:r>
      <w:r w:rsidRPr="00C830AB">
        <w:rPr>
          <w:rFonts w:ascii="Times New Roman" w:hAnsi="Times New Roman" w:cs="Times New Roman"/>
          <w:sz w:val="24"/>
          <w:szCs w:val="24"/>
        </w:rPr>
        <w:t>did</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not</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whether</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it</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just</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equitable</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 xml:space="preserve">extend time in the circumstances of the case. By reference to the words used by the Ombudsman, he submits that the test is not whether the </w:t>
      </w:r>
      <w:r w:rsidRPr="00C830AB">
        <w:rPr>
          <w:rFonts w:ascii="Times New Roman" w:hAnsi="Times New Roman" w:cs="Times New Roman"/>
          <w:i/>
          <w:sz w:val="24"/>
          <w:szCs w:val="24"/>
        </w:rPr>
        <w:t xml:space="preserve">reasons </w:t>
      </w:r>
      <w:r w:rsidR="00D71970">
        <w:rPr>
          <w:rFonts w:ascii="Times New Roman" w:hAnsi="Times New Roman" w:cs="Times New Roman"/>
          <w:iCs/>
          <w:sz w:val="24"/>
          <w:szCs w:val="24"/>
        </w:rPr>
        <w:t xml:space="preserve">the </w:t>
      </w:r>
      <w:r w:rsidRPr="00C830AB">
        <w:rPr>
          <w:rFonts w:ascii="Times New Roman" w:hAnsi="Times New Roman" w:cs="Times New Roman"/>
          <w:iCs/>
          <w:sz w:val="24"/>
          <w:szCs w:val="24"/>
        </w:rPr>
        <w:t xml:space="preserve">Claimant gave for the application being late </w:t>
      </w:r>
      <w:r w:rsidRPr="00C830AB">
        <w:rPr>
          <w:rFonts w:ascii="Times New Roman" w:hAnsi="Times New Roman" w:cs="Times New Roman"/>
          <w:sz w:val="24"/>
          <w:szCs w:val="24"/>
        </w:rPr>
        <w:t>are “just and equitable”</w:t>
      </w:r>
      <w:r w:rsidR="00D71970">
        <w:rPr>
          <w:rFonts w:ascii="Times New Roman" w:hAnsi="Times New Roman" w:cs="Times New Roman"/>
          <w:sz w:val="24"/>
          <w:szCs w:val="24"/>
        </w:rPr>
        <w:t>,</w:t>
      </w:r>
      <w:r w:rsidRPr="00C830AB">
        <w:rPr>
          <w:rFonts w:ascii="Times New Roman" w:hAnsi="Times New Roman" w:cs="Times New Roman"/>
          <w:sz w:val="24"/>
          <w:szCs w:val="24"/>
        </w:rPr>
        <w:t xml:space="preserve"> but rather whether exercising the discretion would be just and equitable.</w:t>
      </w:r>
    </w:p>
    <w:p w14:paraId="1002C122" w14:textId="77777777" w:rsidR="00E24FDB" w:rsidRPr="00C830AB" w:rsidRDefault="00E24FDB" w:rsidP="009A02E2">
      <w:pPr>
        <w:pStyle w:val="BodyText"/>
        <w:spacing w:before="137"/>
        <w:rPr>
          <w:rFonts w:ascii="Times New Roman" w:hAnsi="Times New Roman" w:cs="Times New Roman"/>
          <w:sz w:val="24"/>
          <w:szCs w:val="24"/>
        </w:rPr>
      </w:pPr>
    </w:p>
    <w:p w14:paraId="54B7FC88" w14:textId="408C0A24"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Under this ground the Claimant also seeks to repeat arguments that arose under Ground 1 in this respect as to the Ombudsman’s failure to consider the consequences of refusing the extension of time.  In short, the Claimant submits that the SCOAF failed to carry out the proper balancing exercise in deciding whether to grant an extension of time was just and equitable and in the interest</w:t>
      </w:r>
      <w:r w:rsidR="00D71970">
        <w:rPr>
          <w:rFonts w:ascii="Times New Roman" w:hAnsi="Times New Roman" w:cs="Times New Roman"/>
          <w:sz w:val="24"/>
          <w:szCs w:val="24"/>
        </w:rPr>
        <w:t>s</w:t>
      </w:r>
      <w:r w:rsidRPr="00C830AB">
        <w:rPr>
          <w:rFonts w:ascii="Times New Roman" w:hAnsi="Times New Roman" w:cs="Times New Roman"/>
          <w:sz w:val="24"/>
          <w:szCs w:val="24"/>
        </w:rPr>
        <w:t xml:space="preserve"> of justice. </w:t>
      </w:r>
    </w:p>
    <w:p w14:paraId="315FDCAD" w14:textId="77777777" w:rsidR="00E24FDB" w:rsidRPr="00C830AB" w:rsidRDefault="00E24FDB" w:rsidP="009A02E2">
      <w:pPr>
        <w:pStyle w:val="ListParagraph"/>
        <w:rPr>
          <w:rFonts w:ascii="Times New Roman" w:hAnsi="Times New Roman" w:cs="Times New Roman"/>
          <w:sz w:val="24"/>
          <w:szCs w:val="24"/>
        </w:rPr>
      </w:pPr>
    </w:p>
    <w:p w14:paraId="45A1A892" w14:textId="77777777" w:rsidR="00E24FDB" w:rsidRPr="00C830AB" w:rsidRDefault="00E24FDB" w:rsidP="008E34DD">
      <w:pPr>
        <w:pStyle w:val="ListParagraph"/>
        <w:numPr>
          <w:ilvl w:val="0"/>
          <w:numId w:val="17"/>
        </w:numPr>
        <w:tabs>
          <w:tab w:val="left" w:pos="820"/>
        </w:tabs>
        <w:spacing w:before="1"/>
        <w:ind w:right="117"/>
        <w:rPr>
          <w:rFonts w:ascii="Times New Roman" w:hAnsi="Times New Roman" w:cs="Times New Roman"/>
          <w:sz w:val="24"/>
          <w:szCs w:val="24"/>
        </w:rPr>
      </w:pPr>
      <w:r w:rsidRPr="00C830AB">
        <w:rPr>
          <w:rFonts w:ascii="Times New Roman" w:hAnsi="Times New Roman" w:cs="Times New Roman"/>
          <w:sz w:val="24"/>
          <w:szCs w:val="24"/>
        </w:rPr>
        <w:t xml:space="preserve">The Claimant submits that the SCOAF’s failure to </w:t>
      </w:r>
      <w:proofErr w:type="gramStart"/>
      <w:r w:rsidRPr="00C830AB">
        <w:rPr>
          <w:rFonts w:ascii="Times New Roman" w:hAnsi="Times New Roman" w:cs="Times New Roman"/>
          <w:sz w:val="24"/>
          <w:szCs w:val="24"/>
        </w:rPr>
        <w:t>take into account</w:t>
      </w:r>
      <w:proofErr w:type="gramEnd"/>
      <w:r w:rsidRPr="00C830AB">
        <w:rPr>
          <w:rFonts w:ascii="Times New Roman" w:hAnsi="Times New Roman" w:cs="Times New Roman"/>
          <w:sz w:val="24"/>
          <w:szCs w:val="24"/>
        </w:rPr>
        <w:t xml:space="preserve"> all factors as to the merits of the Claimant’s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claim</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amounted</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fettering</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of</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her discretion. He argues that the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key</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factors</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include:</w:t>
      </w:r>
      <w:r w:rsidRPr="00C830AB">
        <w:rPr>
          <w:rFonts w:ascii="Times New Roman" w:hAnsi="Times New Roman" w:cs="Times New Roman"/>
          <w:spacing w:val="-11"/>
          <w:sz w:val="24"/>
          <w:szCs w:val="24"/>
        </w:rPr>
        <w:t xml:space="preserve"> </w:t>
      </w:r>
      <w:r w:rsidRPr="00C830AB">
        <w:rPr>
          <w:rFonts w:ascii="Times New Roman" w:hAnsi="Times New Roman" w:cs="Times New Roman"/>
          <w:sz w:val="24"/>
          <w:szCs w:val="24"/>
        </w:rPr>
        <w:t>the plainly wrong refusal to accept the SC as in time and also, significantly, the fact that the MoD, before discharging the Claimant, lifted its ban on dismissing service personnel</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taking</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suppressive</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treatment</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for</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HIV</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and</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whose</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blood</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tests</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show</w:t>
      </w:r>
      <w:r w:rsidRPr="00C830AB">
        <w:rPr>
          <w:rFonts w:ascii="Times New Roman" w:hAnsi="Times New Roman" w:cs="Times New Roman"/>
          <w:spacing w:val="60"/>
          <w:sz w:val="24"/>
          <w:szCs w:val="24"/>
        </w:rPr>
        <w:t xml:space="preserve"> </w:t>
      </w:r>
      <w:r w:rsidRPr="00C830AB">
        <w:rPr>
          <w:rFonts w:ascii="Times New Roman" w:hAnsi="Times New Roman" w:cs="Times New Roman"/>
          <w:sz w:val="24"/>
          <w:szCs w:val="24"/>
        </w:rPr>
        <w:t>no detectable virus as “fully fit for service”.</w:t>
      </w:r>
    </w:p>
    <w:p w14:paraId="65CCCD11" w14:textId="6F82C15C"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The Claimant argues that the SCOAF</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also</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failed</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to</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consider</w:t>
      </w:r>
      <w:r w:rsidRPr="00C830AB">
        <w:rPr>
          <w:rFonts w:ascii="Times New Roman" w:hAnsi="Times New Roman" w:cs="Times New Roman"/>
          <w:spacing w:val="-13"/>
          <w:sz w:val="24"/>
          <w:szCs w:val="24"/>
        </w:rPr>
        <w:t xml:space="preserve"> </w:t>
      </w:r>
      <w:r w:rsidRPr="00C830AB">
        <w:rPr>
          <w:rFonts w:ascii="Times New Roman" w:hAnsi="Times New Roman" w:cs="Times New Roman"/>
          <w:sz w:val="24"/>
          <w:szCs w:val="24"/>
        </w:rPr>
        <w:t xml:space="preserve">the fact that </w:t>
      </w:r>
      <w:r w:rsidR="00D71970">
        <w:rPr>
          <w:rFonts w:ascii="Times New Roman" w:hAnsi="Times New Roman" w:cs="Times New Roman"/>
          <w:sz w:val="24"/>
          <w:szCs w:val="24"/>
        </w:rPr>
        <w:t xml:space="preserve">the </w:t>
      </w:r>
      <w:r w:rsidRPr="00C830AB">
        <w:rPr>
          <w:rFonts w:ascii="Times New Roman" w:hAnsi="Times New Roman" w:cs="Times New Roman"/>
          <w:sz w:val="24"/>
          <w:szCs w:val="24"/>
        </w:rPr>
        <w:t>service officer’s identification of the Heads of Complaint misleadingly did not refer to discrimination when the Claimant had repeatedly raised that he was bringing</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a</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discrimination</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 xml:space="preserve">complaint. He submits that </w:t>
      </w:r>
      <w:r w:rsidRPr="00C830AB">
        <w:rPr>
          <w:rFonts w:ascii="Times New Roman" w:hAnsi="Times New Roman" w:cs="Times New Roman"/>
          <w:spacing w:val="-15"/>
          <w:sz w:val="24"/>
          <w:szCs w:val="24"/>
        </w:rPr>
        <w:t xml:space="preserve">given </w:t>
      </w:r>
      <w:r w:rsidRPr="00C830AB">
        <w:rPr>
          <w:rFonts w:ascii="Times New Roman" w:hAnsi="Times New Roman" w:cs="Times New Roman"/>
          <w:sz w:val="24"/>
          <w:szCs w:val="24"/>
        </w:rPr>
        <w:t>the</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potential</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consequences</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for</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an</w:t>
      </w:r>
      <w:r w:rsidRPr="00C830AB">
        <w:rPr>
          <w:rFonts w:ascii="Times New Roman" w:hAnsi="Times New Roman" w:cs="Times New Roman"/>
          <w:spacing w:val="-15"/>
          <w:sz w:val="24"/>
          <w:szCs w:val="24"/>
        </w:rPr>
        <w:t xml:space="preserve"> </w:t>
      </w:r>
      <w:r w:rsidRPr="00C830AB">
        <w:rPr>
          <w:rFonts w:ascii="Times New Roman" w:hAnsi="Times New Roman" w:cs="Times New Roman"/>
          <w:sz w:val="24"/>
          <w:szCs w:val="24"/>
        </w:rPr>
        <w:t>individual when their Service Complaint is deemed inadmissible and when there is a refusal by the SCOAF to consider reviewing the decision, it was essential that the SCOAF consider all the circumstances of this matter. He contends that on any preliminary view of the detail submitted</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by</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Claimant</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it</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would</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have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been</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immediately</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plain</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that</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he</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was</w:t>
      </w:r>
      <w:r w:rsidRPr="00C830AB">
        <w:rPr>
          <w:rFonts w:ascii="Times New Roman" w:hAnsi="Times New Roman" w:cs="Times New Roman"/>
          <w:spacing w:val="-4"/>
          <w:sz w:val="24"/>
          <w:szCs w:val="24"/>
        </w:rPr>
        <w:t xml:space="preserve"> </w:t>
      </w:r>
      <w:r w:rsidRPr="00C830AB">
        <w:rPr>
          <w:rFonts w:ascii="Times New Roman" w:hAnsi="Times New Roman" w:cs="Times New Roman"/>
          <w:sz w:val="24"/>
          <w:szCs w:val="24"/>
        </w:rPr>
        <w:t>subjected to</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the</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most</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serious</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disability</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discrimination and that the original</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inadmissibility</w:t>
      </w:r>
      <w:r w:rsidRPr="00C830AB">
        <w:rPr>
          <w:rFonts w:ascii="Times New Roman" w:hAnsi="Times New Roman" w:cs="Times New Roman"/>
          <w:spacing w:val="-2"/>
          <w:sz w:val="24"/>
          <w:szCs w:val="24"/>
        </w:rPr>
        <w:t xml:space="preserve"> </w:t>
      </w:r>
      <w:r w:rsidRPr="00C830AB">
        <w:rPr>
          <w:rFonts w:ascii="Times New Roman" w:hAnsi="Times New Roman" w:cs="Times New Roman"/>
          <w:sz w:val="24"/>
          <w:szCs w:val="24"/>
        </w:rPr>
        <w:t>decision</w:t>
      </w:r>
      <w:r w:rsidRPr="00C830AB">
        <w:rPr>
          <w:rFonts w:ascii="Times New Roman" w:hAnsi="Times New Roman" w:cs="Times New Roman"/>
          <w:spacing w:val="-1"/>
          <w:sz w:val="24"/>
          <w:szCs w:val="24"/>
        </w:rPr>
        <w:t xml:space="preserve"> </w:t>
      </w:r>
      <w:r w:rsidRPr="00C830AB">
        <w:rPr>
          <w:rFonts w:ascii="Times New Roman" w:hAnsi="Times New Roman" w:cs="Times New Roman"/>
          <w:sz w:val="24"/>
          <w:szCs w:val="24"/>
        </w:rPr>
        <w:t>was wrong, the failure to treat it as a discrimination complaint was wrong and the decision to rely so heavily on a 10 day delay to refuse outright to consider the matter further was a far too severe and disproportionate sanction in all the circumstances of the case.</w:t>
      </w:r>
    </w:p>
    <w:p w14:paraId="7CE3F1D2"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The Defendant submits that the Claimant’s argument under this Ground is not well-</w:t>
      </w:r>
      <w:r w:rsidRPr="00C830AB">
        <w:rPr>
          <w:rFonts w:ascii="Times New Roman" w:hAnsi="Times New Roman" w:cs="Times New Roman"/>
          <w:sz w:val="24"/>
          <w:szCs w:val="24"/>
        </w:rPr>
        <w:lastRenderedPageBreak/>
        <w:t>founded.  She submits that the Claimant is reading the decision letter more strictly than is justified or fair, and that it is readily apparent from the internal documents provided that the Defendant was well aware of the test to apply under Regulation 7(2). She argues that the Claimant’s argument is a restatement of the argument that the Defendant ought to have considered the merits of his complaint and his arguments on prejudice, but in circumstances where the Defendant has argued under Ground 1 that she was not entitled to take these into account.</w:t>
      </w:r>
    </w:p>
    <w:p w14:paraId="4FC0EDAA" w14:textId="4845D4CB"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In reality my conclusion under Ground 1 has rendered Ground 2 academic.  The Ombudsman will necessarily have to retake the decision applying the correct interpretation of Regulation 7(2) I have identified.  This means that the Ombudsman’s reasoning will fall </w:t>
      </w:r>
      <w:proofErr w:type="gramStart"/>
      <w:r w:rsidRPr="00C830AB">
        <w:rPr>
          <w:rFonts w:ascii="Times New Roman" w:hAnsi="Times New Roman" w:cs="Times New Roman"/>
          <w:sz w:val="24"/>
          <w:szCs w:val="24"/>
        </w:rPr>
        <w:t>away</w:t>
      </w:r>
      <w:proofErr w:type="gramEnd"/>
      <w:r w:rsidRPr="00C830AB">
        <w:rPr>
          <w:rFonts w:ascii="Times New Roman" w:hAnsi="Times New Roman" w:cs="Times New Roman"/>
          <w:sz w:val="24"/>
          <w:szCs w:val="24"/>
        </w:rPr>
        <w:t xml:space="preserve"> and the Ombudsman will need to apply the test under Regulation 7(2) to the new decision.  In circumstances where the Ombudsman submits that the Claimant’s arguments under Ground 2 apply to</w:t>
      </w:r>
      <w:r w:rsidR="00D71970">
        <w:rPr>
          <w:rFonts w:ascii="Times New Roman" w:hAnsi="Times New Roman" w:cs="Times New Roman"/>
          <w:sz w:val="24"/>
          <w:szCs w:val="24"/>
        </w:rPr>
        <w:t>o</w:t>
      </w:r>
      <w:r w:rsidRPr="00C830AB">
        <w:rPr>
          <w:rFonts w:ascii="Times New Roman" w:hAnsi="Times New Roman" w:cs="Times New Roman"/>
          <w:sz w:val="24"/>
          <w:szCs w:val="24"/>
        </w:rPr>
        <w:t xml:space="preserve"> strict an interpretation of the words she used, the Ombudsman will no doubt be aware of the need to ensure that the correct test is articulated and applied in her decision-making.</w:t>
      </w:r>
    </w:p>
    <w:p w14:paraId="5E96F51F" w14:textId="40973D01" w:rsidR="00522CF8"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As a matter of principle, I doubt that it is appropriate to construe decisions of the Ombudsman too legalistically, given the function she is performing.  There is considerable learning in other contexts as to a general need to avoid reading administrative reasoning </w:t>
      </w:r>
      <w:r w:rsidR="00D71970">
        <w:rPr>
          <w:rFonts w:ascii="Times New Roman" w:hAnsi="Times New Roman" w:cs="Times New Roman"/>
          <w:sz w:val="24"/>
          <w:szCs w:val="24"/>
        </w:rPr>
        <w:t xml:space="preserve">of this kind </w:t>
      </w:r>
      <w:r w:rsidRPr="00C830AB">
        <w:rPr>
          <w:rFonts w:ascii="Times New Roman" w:hAnsi="Times New Roman" w:cs="Times New Roman"/>
          <w:sz w:val="24"/>
          <w:szCs w:val="24"/>
        </w:rPr>
        <w:t xml:space="preserve">like a tax statute. </w:t>
      </w:r>
    </w:p>
    <w:p w14:paraId="376A6DA6" w14:textId="3C6528C5"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That said, I do consider it problematic for the Ombudsman’s internal documentation, and for the reasoning in this case, to be expressed in the way it was.  The Claimant is correct that Regulation 7(2) is concerned with whether the Ombudsman considers it just and equitable for an application to be made out of time, not whether the reasons advanced by a complainant are considered to be just and equitable. The reasons for a delay might not be “just and equitable”, in the sense that the Ombudsman concludes that they were not sound reasons for delaying, but the </w:t>
      </w:r>
      <w:proofErr w:type="gramStart"/>
      <w:r w:rsidRPr="00C830AB">
        <w:rPr>
          <w:rFonts w:ascii="Times New Roman" w:hAnsi="Times New Roman" w:cs="Times New Roman"/>
          <w:sz w:val="24"/>
          <w:szCs w:val="24"/>
        </w:rPr>
        <w:t>Ombudsman  might</w:t>
      </w:r>
      <w:proofErr w:type="gramEnd"/>
      <w:r w:rsidRPr="00C830AB">
        <w:rPr>
          <w:rFonts w:ascii="Times New Roman" w:hAnsi="Times New Roman" w:cs="Times New Roman"/>
          <w:sz w:val="24"/>
          <w:szCs w:val="24"/>
        </w:rPr>
        <w:t xml:space="preserve"> still come to the view in a particular case that it is still just and equitable for the application to be considered.  There is a danger that the Ombudsman will not approach her discretion correctly if the words “just and equitable” are applied to the reasons given for the delay, rather than applied to an assessment overall.  This danger was particularly relevant in this case</w:t>
      </w:r>
      <w:r w:rsidR="00522CF8">
        <w:rPr>
          <w:rFonts w:ascii="Times New Roman" w:hAnsi="Times New Roman" w:cs="Times New Roman"/>
          <w:sz w:val="24"/>
          <w:szCs w:val="24"/>
        </w:rPr>
        <w:t>,</w:t>
      </w:r>
      <w:r w:rsidRPr="00C830AB">
        <w:rPr>
          <w:rFonts w:ascii="Times New Roman" w:hAnsi="Times New Roman" w:cs="Times New Roman"/>
          <w:sz w:val="24"/>
          <w:szCs w:val="24"/>
        </w:rPr>
        <w:t xml:space="preserve"> where the Ombudsman considered herself not entitled to consider the merits of the application itself, and so was artificially inhibiting </w:t>
      </w:r>
      <w:r w:rsidR="002E22A6">
        <w:rPr>
          <w:rFonts w:ascii="Times New Roman" w:hAnsi="Times New Roman" w:cs="Times New Roman"/>
          <w:sz w:val="24"/>
          <w:szCs w:val="24"/>
        </w:rPr>
        <w:t>the potential scope of her</w:t>
      </w:r>
      <w:r w:rsidRPr="00C830AB">
        <w:rPr>
          <w:rFonts w:ascii="Times New Roman" w:hAnsi="Times New Roman" w:cs="Times New Roman"/>
          <w:sz w:val="24"/>
          <w:szCs w:val="24"/>
        </w:rPr>
        <w:t xml:space="preserve"> assessment </w:t>
      </w:r>
      <w:r w:rsidR="002E22A6">
        <w:rPr>
          <w:rFonts w:ascii="Times New Roman" w:hAnsi="Times New Roman" w:cs="Times New Roman"/>
          <w:sz w:val="24"/>
          <w:szCs w:val="24"/>
        </w:rPr>
        <w:t>as to what</w:t>
      </w:r>
      <w:r w:rsidRPr="00C830AB">
        <w:rPr>
          <w:rFonts w:ascii="Times New Roman" w:hAnsi="Times New Roman" w:cs="Times New Roman"/>
          <w:sz w:val="24"/>
          <w:szCs w:val="24"/>
        </w:rPr>
        <w:t xml:space="preserve"> she considered to be “just and equitable”. </w:t>
      </w:r>
    </w:p>
    <w:p w14:paraId="08FD3972" w14:textId="104B9F11"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In the event, Ground 2 is academic.  However, for the reasons articulated above, whilst cognisant of the need to read the Ombudsman’s decision as a whole and without undue legalism, I would have allowed the claim under Ground 2 so far as it alleged that the Ombudsman applied the wrong test under Regulation 7(2)</w:t>
      </w:r>
      <w:r w:rsidR="002E22A6">
        <w:rPr>
          <w:rFonts w:ascii="Times New Roman" w:hAnsi="Times New Roman" w:cs="Times New Roman"/>
          <w:sz w:val="24"/>
          <w:szCs w:val="24"/>
        </w:rPr>
        <w:t>,</w:t>
      </w:r>
      <w:r w:rsidRPr="00C830AB">
        <w:rPr>
          <w:rFonts w:ascii="Times New Roman" w:hAnsi="Times New Roman" w:cs="Times New Roman"/>
          <w:sz w:val="24"/>
          <w:szCs w:val="24"/>
        </w:rPr>
        <w:t xml:space="preserve"> and </w:t>
      </w:r>
      <w:r w:rsidR="00522CF8">
        <w:rPr>
          <w:rFonts w:ascii="Times New Roman" w:hAnsi="Times New Roman" w:cs="Times New Roman"/>
          <w:sz w:val="24"/>
          <w:szCs w:val="24"/>
        </w:rPr>
        <w:t xml:space="preserve">that </w:t>
      </w:r>
      <w:r w:rsidR="002E22A6">
        <w:rPr>
          <w:rFonts w:ascii="Times New Roman" w:hAnsi="Times New Roman" w:cs="Times New Roman"/>
          <w:sz w:val="24"/>
          <w:szCs w:val="24"/>
        </w:rPr>
        <w:t xml:space="preserve">the Ombudsman consequently </w:t>
      </w:r>
      <w:r w:rsidRPr="00C830AB">
        <w:rPr>
          <w:rFonts w:ascii="Times New Roman" w:hAnsi="Times New Roman" w:cs="Times New Roman"/>
          <w:sz w:val="24"/>
          <w:szCs w:val="24"/>
        </w:rPr>
        <w:t>considered the question of whether the reasons given by the delay were just and equitable, rather than considering whether it was just and equitable to extend time.</w:t>
      </w:r>
    </w:p>
    <w:p w14:paraId="75919078" w14:textId="77777777" w:rsidR="00E24FDB" w:rsidRPr="0026549A" w:rsidRDefault="00E24FDB" w:rsidP="009A02E2">
      <w:pPr>
        <w:pStyle w:val="ListParagraph"/>
        <w:tabs>
          <w:tab w:val="left" w:pos="820"/>
        </w:tabs>
        <w:spacing w:before="276"/>
        <w:ind w:left="820" w:firstLine="0"/>
        <w:rPr>
          <w:rFonts w:ascii="Times New Roman" w:hAnsi="Times New Roman" w:cs="Times New Roman"/>
          <w:sz w:val="24"/>
          <w:szCs w:val="24"/>
          <w:u w:val="single"/>
        </w:rPr>
      </w:pPr>
      <w:r w:rsidRPr="0026549A">
        <w:rPr>
          <w:rFonts w:ascii="Times New Roman" w:hAnsi="Times New Roman" w:cs="Times New Roman"/>
          <w:sz w:val="24"/>
          <w:szCs w:val="24"/>
          <w:u w:val="single"/>
        </w:rPr>
        <w:t xml:space="preserve">New Ground 3 – Procedural Unfairness </w:t>
      </w:r>
    </w:p>
    <w:p w14:paraId="6C60456D"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Given my conclusions on Ground 1, I consider that the Claimant’s application to amend her claim to include the new Ground 3 alleging procedural unfairness, as with </w:t>
      </w:r>
      <w:r w:rsidRPr="00C830AB">
        <w:rPr>
          <w:rFonts w:ascii="Times New Roman" w:hAnsi="Times New Roman" w:cs="Times New Roman"/>
          <w:sz w:val="24"/>
          <w:szCs w:val="24"/>
        </w:rPr>
        <w:lastRenderedPageBreak/>
        <w:t xml:space="preserve">the allegations of lack of transparency made under Ground 1 in not following the disclosed Operations Manual, have become academic. </w:t>
      </w:r>
    </w:p>
    <w:p w14:paraId="44544DED" w14:textId="77777777"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However, having heard argument on the issue of transparency under Ground 1, and the application to amend to include the new Ground 3 and the question of procedural unfairness, and the need to determine the application to amend, I will set out my views on them briefly.</w:t>
      </w:r>
    </w:p>
    <w:p w14:paraId="713E4327" w14:textId="4021FE88"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As to </w:t>
      </w:r>
      <w:r w:rsidR="00D71970">
        <w:rPr>
          <w:rFonts w:ascii="Times New Roman" w:hAnsi="Times New Roman" w:cs="Times New Roman"/>
          <w:sz w:val="24"/>
          <w:szCs w:val="24"/>
        </w:rPr>
        <w:t xml:space="preserve">the </w:t>
      </w:r>
      <w:r w:rsidRPr="00C830AB">
        <w:rPr>
          <w:rFonts w:ascii="Times New Roman" w:hAnsi="Times New Roman" w:cs="Times New Roman"/>
          <w:sz w:val="24"/>
          <w:szCs w:val="24"/>
        </w:rPr>
        <w:t>application to amend to include a new Ground 3, I refuse the application. It is academic in light of Ground 1.  However separately from that, in my judgment it was made far too late in the judicial review claim process (even allowing for the unfortunate conduct on the part of the Defendant in providing late disclosure) and I refuse it independently on that basis as well.</w:t>
      </w:r>
    </w:p>
    <w:p w14:paraId="00500150" w14:textId="2E87FCD2" w:rsidR="00522CF8"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The main reason advanced for making the application so late was the belated disclosure of the email dated 23 June 2023.  It was claimed that this confirmed that the Claimant had not been contacted by an Investigation Officer before the Ombudsman made her decision.  I reject that as being a good reason for advancing the application to amend so late in the day just before the hearing was due to start. </w:t>
      </w:r>
    </w:p>
    <w:p w14:paraId="7CA328FF" w14:textId="25F63052"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 I agree with the Defendant that the email dated 22 June 2023 which the Claimant already had in his possession articulated the same point on which the Claimant is now seeking to rely, namely that an Investigation Officer would contact the Claimant</w:t>
      </w:r>
      <w:r w:rsidR="002E22A6">
        <w:rPr>
          <w:rFonts w:ascii="Times New Roman" w:hAnsi="Times New Roman" w:cs="Times New Roman"/>
          <w:sz w:val="24"/>
          <w:szCs w:val="24"/>
        </w:rPr>
        <w:t>,</w:t>
      </w:r>
      <w:r w:rsidRPr="00C830AB">
        <w:rPr>
          <w:rFonts w:ascii="Times New Roman" w:hAnsi="Times New Roman" w:cs="Times New Roman"/>
          <w:sz w:val="24"/>
          <w:szCs w:val="24"/>
        </w:rPr>
        <w:t xml:space="preserve"> but</w:t>
      </w:r>
      <w:r w:rsidR="002E22A6">
        <w:rPr>
          <w:rFonts w:ascii="Times New Roman" w:hAnsi="Times New Roman" w:cs="Times New Roman"/>
          <w:sz w:val="24"/>
          <w:szCs w:val="24"/>
        </w:rPr>
        <w:t xml:space="preserve"> where the Claimant knew </w:t>
      </w:r>
      <w:r w:rsidRPr="00C830AB">
        <w:rPr>
          <w:rFonts w:ascii="Times New Roman" w:hAnsi="Times New Roman" w:cs="Times New Roman"/>
          <w:sz w:val="24"/>
          <w:szCs w:val="24"/>
        </w:rPr>
        <w:t xml:space="preserve">that there was no such contact </w:t>
      </w:r>
      <w:r w:rsidR="002E22A6">
        <w:rPr>
          <w:rFonts w:ascii="Times New Roman" w:hAnsi="Times New Roman" w:cs="Times New Roman"/>
          <w:sz w:val="24"/>
          <w:szCs w:val="24"/>
        </w:rPr>
        <w:t xml:space="preserve">after that email </w:t>
      </w:r>
      <w:r w:rsidRPr="00C830AB">
        <w:rPr>
          <w:rFonts w:ascii="Times New Roman" w:hAnsi="Times New Roman" w:cs="Times New Roman"/>
          <w:sz w:val="24"/>
          <w:szCs w:val="24"/>
        </w:rPr>
        <w:t>before the Ombudsman’s decision was issued.  The Claimant could therefore have advanced the new Ground 3 from the outset.  This ground of claim might then have been legitimately reinforced by the Claimant upon the late disclosure of the Operations Manual, but there was no reason why the Claimant could not have put forward Ground 3 from the outset.  Failing that, on receipt of the Defendant’s witness statement dated 26 January 202</w:t>
      </w:r>
      <w:r w:rsidR="00D71970">
        <w:rPr>
          <w:rFonts w:ascii="Times New Roman" w:hAnsi="Times New Roman" w:cs="Times New Roman"/>
          <w:sz w:val="24"/>
          <w:szCs w:val="24"/>
        </w:rPr>
        <w:t>4</w:t>
      </w:r>
      <w:r w:rsidRPr="00C830AB">
        <w:rPr>
          <w:rFonts w:ascii="Times New Roman" w:hAnsi="Times New Roman" w:cs="Times New Roman"/>
          <w:sz w:val="24"/>
          <w:szCs w:val="24"/>
        </w:rPr>
        <w:t xml:space="preserve">, the Claimant could have made its application for amendment earlier than </w:t>
      </w:r>
      <w:r w:rsidR="00D71970">
        <w:rPr>
          <w:rFonts w:ascii="Times New Roman" w:hAnsi="Times New Roman" w:cs="Times New Roman"/>
          <w:sz w:val="24"/>
          <w:szCs w:val="24"/>
        </w:rPr>
        <w:t>he</w:t>
      </w:r>
      <w:r w:rsidRPr="00C830AB">
        <w:rPr>
          <w:rFonts w:ascii="Times New Roman" w:hAnsi="Times New Roman" w:cs="Times New Roman"/>
          <w:sz w:val="24"/>
          <w:szCs w:val="24"/>
        </w:rPr>
        <w:t xml:space="preserve"> did, with the potential for the Defendant then to have had a greater (albeit limited) opportunity to respond with evidence.  The failure to articulate the new Ground 3 earlier has caused prejudice to the Defendant in being able to respond with evidence in time for the claim, and the Court in being able to consider such evidence.</w:t>
      </w:r>
    </w:p>
    <w:p w14:paraId="1A68CC54" w14:textId="70A8834B"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I also separately refuse the application, along with rejecting the Claimant’s criticism under Ground 1 in relation to transparency / failing to </w:t>
      </w:r>
      <w:proofErr w:type="gramStart"/>
      <w:r w:rsidRPr="00C830AB">
        <w:rPr>
          <w:rFonts w:ascii="Times New Roman" w:hAnsi="Times New Roman" w:cs="Times New Roman"/>
          <w:sz w:val="24"/>
          <w:szCs w:val="24"/>
        </w:rPr>
        <w:t>following</w:t>
      </w:r>
      <w:proofErr w:type="gramEnd"/>
      <w:r w:rsidRPr="00C830AB">
        <w:rPr>
          <w:rFonts w:ascii="Times New Roman" w:hAnsi="Times New Roman" w:cs="Times New Roman"/>
          <w:sz w:val="24"/>
          <w:szCs w:val="24"/>
        </w:rPr>
        <w:t xml:space="preserve"> the Operations Manual process, on the basis that the Claimant has not made out any material prejudice in respect of any procedural failings of this type.  I agree with the Defendant that the reality was that the Claimant did have the opportunity to set out reasons for the delay, along with his contentions as to the merits of his application, and he took that opportunity in making his submissions to the SCOAF.  Accordingly, assuming that there was a failure on the part of the Defendant in not following the Operations Manual by requiring an Investigations Officer to contact the Claimant to establish the reasons for the delay in making the application, I am satisfied that no prejudice arose from any such failure.  The Claimant has not articulated what he would have added of substance to what he had already identified in his application form and accompanying documentation. The question as to whether the Ombudsman acted lawfully in limiting her consideration of that material is a different one addressed </w:t>
      </w:r>
      <w:r w:rsidRPr="00C830AB">
        <w:rPr>
          <w:rFonts w:ascii="Times New Roman" w:hAnsi="Times New Roman" w:cs="Times New Roman"/>
          <w:sz w:val="24"/>
          <w:szCs w:val="24"/>
        </w:rPr>
        <w:lastRenderedPageBreak/>
        <w:t xml:space="preserve">under Ground 1.  But I cannot see anything of significance that would have been established by the Investigations Officer contacting the Claimant in this particular case.  To like effect, if there was a failure to comply with what was stated in the emails of 22 June 2023 and 23 June 2023, there was also no prejudice that arose. </w:t>
      </w:r>
    </w:p>
    <w:p w14:paraId="41737893" w14:textId="730080C3" w:rsidR="00E24FDB" w:rsidRPr="00C830A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 xml:space="preserve">There is a point of potential dispute on the face of those </w:t>
      </w:r>
      <w:r w:rsidR="00D71970">
        <w:rPr>
          <w:rFonts w:ascii="Times New Roman" w:hAnsi="Times New Roman" w:cs="Times New Roman"/>
          <w:sz w:val="24"/>
          <w:szCs w:val="24"/>
        </w:rPr>
        <w:t>emails</w:t>
      </w:r>
      <w:r w:rsidRPr="00C830AB">
        <w:rPr>
          <w:rFonts w:ascii="Times New Roman" w:hAnsi="Times New Roman" w:cs="Times New Roman"/>
          <w:sz w:val="24"/>
          <w:szCs w:val="24"/>
        </w:rPr>
        <w:t xml:space="preserve">, along with the underlying guidance, as to whether it is intended that an Investigations Officer will contact a complainant before </w:t>
      </w:r>
      <w:proofErr w:type="gramStart"/>
      <w:r w:rsidRPr="00C830AB">
        <w:rPr>
          <w:rFonts w:ascii="Times New Roman" w:hAnsi="Times New Roman" w:cs="Times New Roman"/>
          <w:sz w:val="24"/>
          <w:szCs w:val="24"/>
        </w:rPr>
        <w:t>making a decision</w:t>
      </w:r>
      <w:proofErr w:type="gramEnd"/>
      <w:r w:rsidRPr="00C830AB">
        <w:rPr>
          <w:rFonts w:ascii="Times New Roman" w:hAnsi="Times New Roman" w:cs="Times New Roman"/>
          <w:sz w:val="24"/>
          <w:szCs w:val="24"/>
        </w:rPr>
        <w:t xml:space="preserve"> as to admissibility, rather than contacting them if the application is treated as admissible.  The Ombudsman’s communications and internal guidance, along with the Operations Manual, would undoubtedly benefit from greater clarity in this regard.  But I find it unnecessary to resolve the issue in relation to the emails.  Even assuming there was such an expectation from those emails, any failure did not result in material prejudice.</w:t>
      </w:r>
    </w:p>
    <w:p w14:paraId="05E572E0" w14:textId="77777777" w:rsidR="00E24FDB" w:rsidRDefault="00E24FDB" w:rsidP="008E34DD">
      <w:pPr>
        <w:pStyle w:val="ListParagraph"/>
        <w:numPr>
          <w:ilvl w:val="0"/>
          <w:numId w:val="17"/>
        </w:numPr>
        <w:tabs>
          <w:tab w:val="left" w:pos="820"/>
        </w:tabs>
        <w:spacing w:before="276"/>
        <w:ind w:right="117"/>
        <w:rPr>
          <w:rFonts w:ascii="Times New Roman" w:hAnsi="Times New Roman" w:cs="Times New Roman"/>
          <w:sz w:val="24"/>
          <w:szCs w:val="24"/>
        </w:rPr>
      </w:pPr>
      <w:r w:rsidRPr="00C830AB">
        <w:rPr>
          <w:rFonts w:ascii="Times New Roman" w:hAnsi="Times New Roman" w:cs="Times New Roman"/>
          <w:sz w:val="24"/>
          <w:szCs w:val="24"/>
        </w:rPr>
        <w:t>For these reasons, I refuse the application to amend the claim to include the new Ground 3. I also reject the challenge under Ground 1 so far as it is based on alleged procedural failures concerning the Operations Manual in the absence of material prejudice arising in this particular case.</w:t>
      </w:r>
    </w:p>
    <w:p w14:paraId="29B370BC" w14:textId="295354BF" w:rsidR="00522CF8" w:rsidRPr="00C830AB" w:rsidRDefault="00522CF8" w:rsidP="008E34DD">
      <w:pPr>
        <w:pStyle w:val="ListParagraph"/>
        <w:numPr>
          <w:ilvl w:val="0"/>
          <w:numId w:val="17"/>
        </w:numPr>
        <w:tabs>
          <w:tab w:val="left" w:pos="820"/>
        </w:tabs>
        <w:spacing w:before="276"/>
        <w:ind w:right="117"/>
        <w:rPr>
          <w:rFonts w:ascii="Times New Roman" w:hAnsi="Times New Roman" w:cs="Times New Roman"/>
          <w:sz w:val="24"/>
          <w:szCs w:val="24"/>
        </w:rPr>
      </w:pPr>
      <w:r>
        <w:rPr>
          <w:rFonts w:ascii="Times New Roman" w:hAnsi="Times New Roman" w:cs="Times New Roman"/>
          <w:sz w:val="24"/>
          <w:szCs w:val="24"/>
        </w:rPr>
        <w:t>For the reasons set out above, this claim for judicial review is allowed under Ground 1 (to the extent identified in the judgment above).</w:t>
      </w:r>
    </w:p>
    <w:p w14:paraId="4E74BC30" w14:textId="77777777" w:rsidR="00E24FDB" w:rsidRPr="00C830AB" w:rsidRDefault="00E24FDB" w:rsidP="009A02E2">
      <w:pPr>
        <w:rPr>
          <w:lang w:val="en-US"/>
        </w:rPr>
      </w:pPr>
    </w:p>
    <w:p w14:paraId="0A52B727" w14:textId="77777777" w:rsidR="0045106C" w:rsidRDefault="0045106C" w:rsidP="009A02E2">
      <w:pPr>
        <w:pStyle w:val="ParaLevel1"/>
        <w:tabs>
          <w:tab w:val="clear" w:pos="720"/>
        </w:tabs>
      </w:pPr>
    </w:p>
    <w:sectPr w:rsidR="0045106C" w:rsidSect="009A02E2">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4030" w14:textId="77777777" w:rsidR="00D04C4F" w:rsidRDefault="00D04C4F">
      <w:r>
        <w:separator/>
      </w:r>
    </w:p>
  </w:endnote>
  <w:endnote w:type="continuationSeparator" w:id="0">
    <w:p w14:paraId="26B82CA7" w14:textId="77777777" w:rsidR="00D04C4F" w:rsidRDefault="00D0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1)">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E5EE" w14:textId="77777777" w:rsidR="009A02E2" w:rsidRDefault="009A0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A565" w14:textId="77777777" w:rsidR="007F4467" w:rsidRDefault="007F4467">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A03E" w14:textId="77777777" w:rsidR="009A02E2" w:rsidRDefault="009A02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EFEA" w14:textId="277137BA" w:rsidR="007F4467" w:rsidRPr="009A02E2" w:rsidRDefault="007F4467" w:rsidP="009A0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C29C" w14:textId="77777777" w:rsidR="00D04C4F" w:rsidRDefault="00D04C4F">
      <w:r>
        <w:separator/>
      </w:r>
    </w:p>
  </w:footnote>
  <w:footnote w:type="continuationSeparator" w:id="0">
    <w:p w14:paraId="4FA1D208" w14:textId="77777777" w:rsidR="00D04C4F" w:rsidRDefault="00D0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2BED" w14:textId="77777777" w:rsidR="009A02E2" w:rsidRDefault="009A0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606" w14:textId="77777777" w:rsidR="009A02E2" w:rsidRDefault="009A02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4E4F" w14:textId="77777777" w:rsidR="009A02E2" w:rsidRDefault="009A02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7F4467" w:rsidRPr="00B62B0E" w14:paraId="3780C85F" w14:textId="77777777">
      <w:tc>
        <w:tcPr>
          <w:tcW w:w="4680" w:type="dxa"/>
        </w:tcPr>
        <w:p w14:paraId="5AD174C3" w14:textId="7831F4B5" w:rsidR="007F4467" w:rsidRPr="009A02E2" w:rsidRDefault="009A02E2">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320" w:type="dxa"/>
        </w:tcPr>
        <w:p w14:paraId="3079460A" w14:textId="76B0327B" w:rsidR="007F4467" w:rsidRPr="009A02E2" w:rsidRDefault="004A14BE">
          <w:pPr>
            <w:pStyle w:val="Header"/>
            <w:jc w:val="right"/>
            <w:rPr>
              <w:rFonts w:ascii="Times New Roman" w:hAnsi="Times New Roman"/>
              <w:sz w:val="16"/>
              <w:lang w:val="fr-FR"/>
            </w:rPr>
          </w:pPr>
          <w:r w:rsidRPr="009A02E2">
            <w:rPr>
              <w:rFonts w:ascii="Times New Roman" w:hAnsi="Times New Roman"/>
              <w:sz w:val="16"/>
              <w:lang w:val="fr-FR"/>
            </w:rPr>
            <w:t>AC</w:t>
          </w:r>
          <w:r w:rsidR="00E2050D" w:rsidRPr="009A02E2">
            <w:rPr>
              <w:rFonts w:ascii="Times New Roman" w:hAnsi="Times New Roman"/>
              <w:sz w:val="16"/>
              <w:lang w:val="fr-FR"/>
            </w:rPr>
            <w:t>-202</w:t>
          </w:r>
          <w:r w:rsidR="000335FE" w:rsidRPr="009A02E2">
            <w:rPr>
              <w:rFonts w:ascii="Times New Roman" w:hAnsi="Times New Roman"/>
              <w:sz w:val="16"/>
              <w:lang w:val="fr-FR"/>
            </w:rPr>
            <w:t>3</w:t>
          </w:r>
          <w:r w:rsidR="00E2050D" w:rsidRPr="009A02E2">
            <w:rPr>
              <w:rFonts w:ascii="Times New Roman" w:hAnsi="Times New Roman"/>
              <w:sz w:val="16"/>
              <w:lang w:val="fr-FR"/>
            </w:rPr>
            <w:t>-LON-002</w:t>
          </w:r>
          <w:r w:rsidR="00E24FDB" w:rsidRPr="009A02E2">
            <w:rPr>
              <w:rFonts w:ascii="Times New Roman" w:hAnsi="Times New Roman"/>
              <w:sz w:val="16"/>
              <w:lang w:val="fr-FR"/>
            </w:rPr>
            <w:t>843</w:t>
          </w:r>
          <w:r w:rsidR="008707BC" w:rsidRPr="009A02E2">
            <w:rPr>
              <w:rFonts w:ascii="Times New Roman" w:hAnsi="Times New Roman"/>
              <w:sz w:val="16"/>
              <w:lang w:val="fr-FR"/>
            </w:rPr>
            <w:t xml:space="preserve"> </w:t>
          </w:r>
          <w:r w:rsidR="00E24FDB" w:rsidRPr="009A02E2">
            <w:rPr>
              <w:rFonts w:ascii="Times New Roman" w:hAnsi="Times New Roman"/>
              <w:sz w:val="16"/>
              <w:lang w:val="fr-FR"/>
            </w:rPr>
            <w:t>R(L) v SCOAF</w:t>
          </w:r>
          <w:r w:rsidR="00E2050D" w:rsidRPr="009A02E2">
            <w:rPr>
              <w:rFonts w:ascii="Times New Roman" w:hAnsi="Times New Roman"/>
              <w:sz w:val="16"/>
              <w:lang w:val="fr-FR"/>
            </w:rPr>
            <w:t xml:space="preserve"> </w:t>
          </w:r>
        </w:p>
      </w:tc>
    </w:tr>
  </w:tbl>
  <w:p w14:paraId="6293BD13" w14:textId="77777777" w:rsidR="007F4467" w:rsidRPr="009A02E2" w:rsidRDefault="007F4467">
    <w:pPr>
      <w:pStyle w:val="Header"/>
      <w:rPr>
        <w:rFonts w:ascii="Times New Roman" w:hAnsi="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2FE"/>
    <w:multiLevelType w:val="hybridMultilevel"/>
    <w:tmpl w:val="B824F3D4"/>
    <w:lvl w:ilvl="0" w:tplc="11A4487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8B94DF3"/>
    <w:multiLevelType w:val="hybridMultilevel"/>
    <w:tmpl w:val="46B4F6CE"/>
    <w:lvl w:ilvl="0" w:tplc="EBEAF042">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4076C"/>
    <w:multiLevelType w:val="hybridMultilevel"/>
    <w:tmpl w:val="C04CA816"/>
    <w:lvl w:ilvl="0" w:tplc="1834E75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1DEC1607"/>
    <w:multiLevelType w:val="hybridMultilevel"/>
    <w:tmpl w:val="369AFFDC"/>
    <w:lvl w:ilvl="0" w:tplc="2E863E36">
      <w:start w:val="1"/>
      <w:numFmt w:val="lowerLetter"/>
      <w:lvlText w:val="(%1)"/>
      <w:lvlJc w:val="left"/>
      <w:pPr>
        <w:ind w:left="2060" w:hanging="620"/>
      </w:pPr>
      <w:rPr>
        <w:rFonts w:ascii="Times New Roman" w:eastAsia="Times New Roman" w:hAnsi="Times New Roman" w:cs="Times New Roman"/>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F5F2D4D"/>
    <w:multiLevelType w:val="hybridMultilevel"/>
    <w:tmpl w:val="49A0D77C"/>
    <w:lvl w:ilvl="0" w:tplc="2392FC7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0C444EE"/>
    <w:multiLevelType w:val="hybridMultilevel"/>
    <w:tmpl w:val="4B124EA2"/>
    <w:lvl w:ilvl="0" w:tplc="344252F2">
      <w:start w:val="4"/>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856F088">
      <w:start w:val="1"/>
      <w:numFmt w:val="lowerLetter"/>
      <w:lvlText w:val="%2."/>
      <w:lvlJc w:val="left"/>
      <w:pPr>
        <w:ind w:left="1539" w:hanging="360"/>
      </w:pPr>
      <w:rPr>
        <w:rFonts w:hint="default"/>
        <w:spacing w:val="0"/>
        <w:w w:val="100"/>
        <w:lang w:val="en-US" w:eastAsia="en-US" w:bidi="ar-SA"/>
      </w:rPr>
    </w:lvl>
    <w:lvl w:ilvl="2" w:tplc="23A0FF6C">
      <w:numFmt w:val="bullet"/>
      <w:lvlText w:val="•"/>
      <w:lvlJc w:val="left"/>
      <w:pPr>
        <w:ind w:left="2396" w:hanging="360"/>
      </w:pPr>
      <w:rPr>
        <w:rFonts w:hint="default"/>
        <w:lang w:val="en-US" w:eastAsia="en-US" w:bidi="ar-SA"/>
      </w:rPr>
    </w:lvl>
    <w:lvl w:ilvl="3" w:tplc="83B2ADF4">
      <w:numFmt w:val="bullet"/>
      <w:lvlText w:val="•"/>
      <w:lvlJc w:val="left"/>
      <w:pPr>
        <w:ind w:left="3252" w:hanging="360"/>
      </w:pPr>
      <w:rPr>
        <w:rFonts w:hint="default"/>
        <w:lang w:val="en-US" w:eastAsia="en-US" w:bidi="ar-SA"/>
      </w:rPr>
    </w:lvl>
    <w:lvl w:ilvl="4" w:tplc="E0C6B530">
      <w:numFmt w:val="bullet"/>
      <w:lvlText w:val="•"/>
      <w:lvlJc w:val="left"/>
      <w:pPr>
        <w:ind w:left="4108" w:hanging="360"/>
      </w:pPr>
      <w:rPr>
        <w:rFonts w:hint="default"/>
        <w:lang w:val="en-US" w:eastAsia="en-US" w:bidi="ar-SA"/>
      </w:rPr>
    </w:lvl>
    <w:lvl w:ilvl="5" w:tplc="98B8343C">
      <w:numFmt w:val="bullet"/>
      <w:lvlText w:val="•"/>
      <w:lvlJc w:val="left"/>
      <w:pPr>
        <w:ind w:left="4964" w:hanging="360"/>
      </w:pPr>
      <w:rPr>
        <w:rFonts w:hint="default"/>
        <w:lang w:val="en-US" w:eastAsia="en-US" w:bidi="ar-SA"/>
      </w:rPr>
    </w:lvl>
    <w:lvl w:ilvl="6" w:tplc="6F8605EA">
      <w:numFmt w:val="bullet"/>
      <w:lvlText w:val="•"/>
      <w:lvlJc w:val="left"/>
      <w:pPr>
        <w:ind w:left="5821" w:hanging="360"/>
      </w:pPr>
      <w:rPr>
        <w:rFonts w:hint="default"/>
        <w:lang w:val="en-US" w:eastAsia="en-US" w:bidi="ar-SA"/>
      </w:rPr>
    </w:lvl>
    <w:lvl w:ilvl="7" w:tplc="3EFEF838">
      <w:numFmt w:val="bullet"/>
      <w:lvlText w:val="•"/>
      <w:lvlJc w:val="left"/>
      <w:pPr>
        <w:ind w:left="6677" w:hanging="360"/>
      </w:pPr>
      <w:rPr>
        <w:rFonts w:hint="default"/>
        <w:lang w:val="en-US" w:eastAsia="en-US" w:bidi="ar-SA"/>
      </w:rPr>
    </w:lvl>
    <w:lvl w:ilvl="8" w:tplc="06AA22B4">
      <w:numFmt w:val="bullet"/>
      <w:lvlText w:val="•"/>
      <w:lvlJc w:val="left"/>
      <w:pPr>
        <w:ind w:left="7533" w:hanging="360"/>
      </w:pPr>
      <w:rPr>
        <w:rFonts w:hint="default"/>
        <w:lang w:val="en-US" w:eastAsia="en-US" w:bidi="ar-SA"/>
      </w:rPr>
    </w:lvl>
  </w:abstractNum>
  <w:abstractNum w:abstractNumId="6" w15:restartNumberingAfterBreak="0">
    <w:nsid w:val="28C963CF"/>
    <w:multiLevelType w:val="hybridMultilevel"/>
    <w:tmpl w:val="14BA9186"/>
    <w:lvl w:ilvl="0" w:tplc="C6C86E18">
      <w:start w:val="1"/>
      <w:numFmt w:val="lowerRoman"/>
      <w:lvlText w:val="(%1)"/>
      <w:lvlJc w:val="left"/>
      <w:pPr>
        <w:ind w:left="2780" w:hanging="720"/>
      </w:pPr>
      <w:rPr>
        <w:rFonts w:hint="default"/>
      </w:rPr>
    </w:lvl>
    <w:lvl w:ilvl="1" w:tplc="08090019" w:tentative="1">
      <w:start w:val="1"/>
      <w:numFmt w:val="lowerLetter"/>
      <w:lvlText w:val="%2."/>
      <w:lvlJc w:val="left"/>
      <w:pPr>
        <w:ind w:left="3140" w:hanging="360"/>
      </w:pPr>
    </w:lvl>
    <w:lvl w:ilvl="2" w:tplc="0809001B" w:tentative="1">
      <w:start w:val="1"/>
      <w:numFmt w:val="lowerRoman"/>
      <w:lvlText w:val="%3."/>
      <w:lvlJc w:val="right"/>
      <w:pPr>
        <w:ind w:left="3860" w:hanging="180"/>
      </w:pPr>
    </w:lvl>
    <w:lvl w:ilvl="3" w:tplc="0809000F" w:tentative="1">
      <w:start w:val="1"/>
      <w:numFmt w:val="decimal"/>
      <w:lvlText w:val="%4."/>
      <w:lvlJc w:val="left"/>
      <w:pPr>
        <w:ind w:left="4580" w:hanging="360"/>
      </w:pPr>
    </w:lvl>
    <w:lvl w:ilvl="4" w:tplc="08090019" w:tentative="1">
      <w:start w:val="1"/>
      <w:numFmt w:val="lowerLetter"/>
      <w:lvlText w:val="%5."/>
      <w:lvlJc w:val="left"/>
      <w:pPr>
        <w:ind w:left="5300" w:hanging="360"/>
      </w:pPr>
    </w:lvl>
    <w:lvl w:ilvl="5" w:tplc="0809001B" w:tentative="1">
      <w:start w:val="1"/>
      <w:numFmt w:val="lowerRoman"/>
      <w:lvlText w:val="%6."/>
      <w:lvlJc w:val="right"/>
      <w:pPr>
        <w:ind w:left="6020" w:hanging="180"/>
      </w:pPr>
    </w:lvl>
    <w:lvl w:ilvl="6" w:tplc="0809000F" w:tentative="1">
      <w:start w:val="1"/>
      <w:numFmt w:val="decimal"/>
      <w:lvlText w:val="%7."/>
      <w:lvlJc w:val="left"/>
      <w:pPr>
        <w:ind w:left="6740" w:hanging="360"/>
      </w:pPr>
    </w:lvl>
    <w:lvl w:ilvl="7" w:tplc="08090019" w:tentative="1">
      <w:start w:val="1"/>
      <w:numFmt w:val="lowerLetter"/>
      <w:lvlText w:val="%8."/>
      <w:lvlJc w:val="left"/>
      <w:pPr>
        <w:ind w:left="7460" w:hanging="360"/>
      </w:pPr>
    </w:lvl>
    <w:lvl w:ilvl="8" w:tplc="0809001B" w:tentative="1">
      <w:start w:val="1"/>
      <w:numFmt w:val="lowerRoman"/>
      <w:lvlText w:val="%9."/>
      <w:lvlJc w:val="right"/>
      <w:pPr>
        <w:ind w:left="8180" w:hanging="180"/>
      </w:pPr>
    </w:lvl>
  </w:abstractNum>
  <w:abstractNum w:abstractNumId="7" w15:restartNumberingAfterBreak="0">
    <w:nsid w:val="49EF28FD"/>
    <w:multiLevelType w:val="hybridMultilevel"/>
    <w:tmpl w:val="57828D7E"/>
    <w:lvl w:ilvl="0" w:tplc="A73E668A">
      <w:start w:val="1"/>
      <w:numFmt w:val="upperLetter"/>
      <w:lvlText w:val="%1."/>
      <w:lvlJc w:val="left"/>
      <w:pPr>
        <w:ind w:left="820" w:hanging="361"/>
      </w:pPr>
      <w:rPr>
        <w:rFonts w:ascii="Times New Roman" w:eastAsia="Times New Roman" w:hAnsi="Times New Roman" w:cs="Times New Roman" w:hint="default"/>
        <w:b/>
        <w:bCs/>
        <w:i w:val="0"/>
        <w:iCs w:val="0"/>
        <w:spacing w:val="0"/>
        <w:w w:val="100"/>
        <w:sz w:val="24"/>
        <w:szCs w:val="24"/>
        <w:lang w:val="en-US" w:eastAsia="en-US" w:bidi="ar-SA"/>
      </w:rPr>
    </w:lvl>
    <w:lvl w:ilvl="1" w:tplc="4B2A20C2">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0A82476">
      <w:start w:val="1"/>
      <w:numFmt w:val="lowerLetter"/>
      <w:lvlText w:val="%3."/>
      <w:lvlJc w:val="left"/>
      <w:pPr>
        <w:ind w:left="1234" w:hanging="283"/>
      </w:pPr>
      <w:rPr>
        <w:rFonts w:ascii="Times New Roman" w:eastAsia="Times New Roman" w:hAnsi="Times New Roman" w:cs="Times New Roman" w:hint="default"/>
        <w:b w:val="0"/>
        <w:bCs w:val="0"/>
        <w:i w:val="0"/>
        <w:iCs w:val="0"/>
        <w:spacing w:val="0"/>
        <w:w w:val="100"/>
        <w:sz w:val="24"/>
        <w:szCs w:val="24"/>
        <w:lang w:val="en-US" w:eastAsia="en-US" w:bidi="ar-SA"/>
      </w:rPr>
    </w:lvl>
    <w:lvl w:ilvl="3" w:tplc="45B8322C">
      <w:numFmt w:val="bullet"/>
      <w:lvlText w:val="•"/>
      <w:lvlJc w:val="left"/>
      <w:pPr>
        <w:ind w:left="2503" w:hanging="283"/>
      </w:pPr>
      <w:rPr>
        <w:rFonts w:hint="default"/>
        <w:lang w:val="en-US" w:eastAsia="en-US" w:bidi="ar-SA"/>
      </w:rPr>
    </w:lvl>
    <w:lvl w:ilvl="4" w:tplc="1A9E928E">
      <w:numFmt w:val="bullet"/>
      <w:lvlText w:val="•"/>
      <w:lvlJc w:val="left"/>
      <w:pPr>
        <w:ind w:left="3466" w:hanging="283"/>
      </w:pPr>
      <w:rPr>
        <w:rFonts w:hint="default"/>
        <w:lang w:val="en-US" w:eastAsia="en-US" w:bidi="ar-SA"/>
      </w:rPr>
    </w:lvl>
    <w:lvl w:ilvl="5" w:tplc="DB4EE4EE">
      <w:numFmt w:val="bullet"/>
      <w:lvlText w:val="•"/>
      <w:lvlJc w:val="left"/>
      <w:pPr>
        <w:ind w:left="4429" w:hanging="283"/>
      </w:pPr>
      <w:rPr>
        <w:rFonts w:hint="default"/>
        <w:lang w:val="en-US" w:eastAsia="en-US" w:bidi="ar-SA"/>
      </w:rPr>
    </w:lvl>
    <w:lvl w:ilvl="6" w:tplc="16843DB4">
      <w:numFmt w:val="bullet"/>
      <w:lvlText w:val="•"/>
      <w:lvlJc w:val="left"/>
      <w:pPr>
        <w:ind w:left="5393" w:hanging="283"/>
      </w:pPr>
      <w:rPr>
        <w:rFonts w:hint="default"/>
        <w:lang w:val="en-US" w:eastAsia="en-US" w:bidi="ar-SA"/>
      </w:rPr>
    </w:lvl>
    <w:lvl w:ilvl="7" w:tplc="870ECF4E">
      <w:numFmt w:val="bullet"/>
      <w:lvlText w:val="•"/>
      <w:lvlJc w:val="left"/>
      <w:pPr>
        <w:ind w:left="6356" w:hanging="283"/>
      </w:pPr>
      <w:rPr>
        <w:rFonts w:hint="default"/>
        <w:lang w:val="en-US" w:eastAsia="en-US" w:bidi="ar-SA"/>
      </w:rPr>
    </w:lvl>
    <w:lvl w:ilvl="8" w:tplc="7346E976">
      <w:numFmt w:val="bullet"/>
      <w:lvlText w:val="•"/>
      <w:lvlJc w:val="left"/>
      <w:pPr>
        <w:ind w:left="7319" w:hanging="283"/>
      </w:pPr>
      <w:rPr>
        <w:rFonts w:hint="default"/>
        <w:lang w:val="en-US" w:eastAsia="en-US" w:bidi="ar-SA"/>
      </w:rPr>
    </w:lvl>
  </w:abstractNum>
  <w:abstractNum w:abstractNumId="8" w15:restartNumberingAfterBreak="0">
    <w:nsid w:val="5A1F212E"/>
    <w:multiLevelType w:val="hybridMultilevel"/>
    <w:tmpl w:val="685E3998"/>
    <w:lvl w:ilvl="0" w:tplc="A5DC6844">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5FF3DA2"/>
    <w:multiLevelType w:val="hybridMultilevel"/>
    <w:tmpl w:val="DCE271FE"/>
    <w:lvl w:ilvl="0" w:tplc="585061DE">
      <w:start w:val="1"/>
      <w:numFmt w:val="lowerRoman"/>
      <w:lvlText w:val="(%1)"/>
      <w:lvlJc w:val="left"/>
      <w:pPr>
        <w:ind w:left="2259" w:hanging="720"/>
      </w:pPr>
      <w:rPr>
        <w:rFonts w:hint="default"/>
      </w:rPr>
    </w:lvl>
    <w:lvl w:ilvl="1" w:tplc="08090019" w:tentative="1">
      <w:start w:val="1"/>
      <w:numFmt w:val="lowerLetter"/>
      <w:lvlText w:val="%2."/>
      <w:lvlJc w:val="left"/>
      <w:pPr>
        <w:ind w:left="2619" w:hanging="360"/>
      </w:pPr>
    </w:lvl>
    <w:lvl w:ilvl="2" w:tplc="0809001B" w:tentative="1">
      <w:start w:val="1"/>
      <w:numFmt w:val="lowerRoman"/>
      <w:lvlText w:val="%3."/>
      <w:lvlJc w:val="right"/>
      <w:pPr>
        <w:ind w:left="3339" w:hanging="180"/>
      </w:pPr>
    </w:lvl>
    <w:lvl w:ilvl="3" w:tplc="0809000F" w:tentative="1">
      <w:start w:val="1"/>
      <w:numFmt w:val="decimal"/>
      <w:lvlText w:val="%4."/>
      <w:lvlJc w:val="left"/>
      <w:pPr>
        <w:ind w:left="4059" w:hanging="360"/>
      </w:pPr>
    </w:lvl>
    <w:lvl w:ilvl="4" w:tplc="08090019" w:tentative="1">
      <w:start w:val="1"/>
      <w:numFmt w:val="lowerLetter"/>
      <w:lvlText w:val="%5."/>
      <w:lvlJc w:val="left"/>
      <w:pPr>
        <w:ind w:left="4779" w:hanging="360"/>
      </w:pPr>
    </w:lvl>
    <w:lvl w:ilvl="5" w:tplc="0809001B" w:tentative="1">
      <w:start w:val="1"/>
      <w:numFmt w:val="lowerRoman"/>
      <w:lvlText w:val="%6."/>
      <w:lvlJc w:val="right"/>
      <w:pPr>
        <w:ind w:left="5499" w:hanging="180"/>
      </w:pPr>
    </w:lvl>
    <w:lvl w:ilvl="6" w:tplc="0809000F" w:tentative="1">
      <w:start w:val="1"/>
      <w:numFmt w:val="decimal"/>
      <w:lvlText w:val="%7."/>
      <w:lvlJc w:val="left"/>
      <w:pPr>
        <w:ind w:left="6219" w:hanging="360"/>
      </w:pPr>
    </w:lvl>
    <w:lvl w:ilvl="7" w:tplc="08090019" w:tentative="1">
      <w:start w:val="1"/>
      <w:numFmt w:val="lowerLetter"/>
      <w:lvlText w:val="%8."/>
      <w:lvlJc w:val="left"/>
      <w:pPr>
        <w:ind w:left="6939" w:hanging="360"/>
      </w:pPr>
    </w:lvl>
    <w:lvl w:ilvl="8" w:tplc="0809001B" w:tentative="1">
      <w:start w:val="1"/>
      <w:numFmt w:val="lowerRoman"/>
      <w:lvlText w:val="%9."/>
      <w:lvlJc w:val="right"/>
      <w:pPr>
        <w:ind w:left="7659" w:hanging="180"/>
      </w:pPr>
    </w:lvl>
  </w:abstractNum>
  <w:abstractNum w:abstractNumId="10" w15:restartNumberingAfterBreak="0">
    <w:nsid w:val="66D66B1C"/>
    <w:multiLevelType w:val="hybridMultilevel"/>
    <w:tmpl w:val="369AFFDC"/>
    <w:lvl w:ilvl="0" w:tplc="FFFFFFFF">
      <w:start w:val="1"/>
      <w:numFmt w:val="lowerLetter"/>
      <w:lvlText w:val="(%1)"/>
      <w:lvlJc w:val="left"/>
      <w:pPr>
        <w:ind w:left="2060" w:hanging="620"/>
      </w:pPr>
      <w:rPr>
        <w:rFonts w:ascii="Times New Roman" w:eastAsia="Times New Roman" w:hAnsi="Times New Roman" w:cs="Times New Roman"/>
        <w:sz w:val="22"/>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67310CB9"/>
    <w:multiLevelType w:val="hybridMultilevel"/>
    <w:tmpl w:val="8E246B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A34DA4"/>
    <w:multiLevelType w:val="hybridMultilevel"/>
    <w:tmpl w:val="14DCA5B8"/>
    <w:lvl w:ilvl="0" w:tplc="819CC132">
      <w:start w:val="1"/>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4DE3138"/>
    <w:multiLevelType w:val="multilevel"/>
    <w:tmpl w:val="1E16B18A"/>
    <w:lvl w:ilvl="0">
      <w:start w:val="1"/>
      <w:numFmt w:val="decimal"/>
      <w:pStyle w:val="Paragraphnum12"/>
      <w:lvlText w:val="%1."/>
      <w:lvlJc w:val="left"/>
      <w:pPr>
        <w:tabs>
          <w:tab w:val="num" w:pos="567"/>
        </w:tabs>
        <w:ind w:left="567" w:hanging="567"/>
      </w:pPr>
      <w:rPr>
        <w:rFonts w:hint="default"/>
      </w:rPr>
    </w:lvl>
    <w:lvl w:ilvl="1">
      <w:start w:val="1"/>
      <w:numFmt w:val="decimal"/>
      <w:lvlText w:val="%1.%2."/>
      <w:lvlJc w:val="left"/>
      <w:pPr>
        <w:tabs>
          <w:tab w:val="num" w:pos="794"/>
        </w:tabs>
        <w:ind w:left="794" w:hanging="567"/>
      </w:pPr>
      <w:rPr>
        <w:rFonts w:hint="default"/>
      </w:rPr>
    </w:lvl>
    <w:lvl w:ilvl="2">
      <w:start w:val="1"/>
      <w:numFmt w:val="decimal"/>
      <w:lvlText w:val="%1.%2.%3."/>
      <w:lvlJc w:val="left"/>
      <w:pPr>
        <w:tabs>
          <w:tab w:val="num" w:pos="567"/>
        </w:tabs>
        <w:ind w:left="1134" w:hanging="680"/>
      </w:pPr>
      <w:rPr>
        <w:rFonts w:hint="default"/>
      </w:rPr>
    </w:lvl>
    <w:lvl w:ilvl="3">
      <w:start w:val="1"/>
      <w:numFmt w:val="decimal"/>
      <w:lvlText w:val="%1.%2.%3.%4."/>
      <w:lvlJc w:val="left"/>
      <w:pPr>
        <w:tabs>
          <w:tab w:val="num" w:pos="794"/>
        </w:tabs>
        <w:ind w:left="1361" w:hanging="681"/>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75D70B9F"/>
    <w:multiLevelType w:val="multilevel"/>
    <w:tmpl w:val="4D52C604"/>
    <w:lvl w:ilvl="0">
      <w:start w:val="1"/>
      <w:numFmt w:val="decimal"/>
      <w:lvlText w:val="%1."/>
      <w:lvlJc w:val="left"/>
      <w:pPr>
        <w:tabs>
          <w:tab w:val="num" w:pos="720"/>
        </w:tabs>
        <w:ind w:left="720" w:hanging="720"/>
      </w:pPr>
      <w:rPr>
        <w:rFonts w:cs="Times New Roman" w:hint="default"/>
        <w:b w:val="0"/>
        <w:i w:val="0"/>
        <w:u w:val="none"/>
      </w:rPr>
    </w:lvl>
    <w:lvl w:ilvl="1">
      <w:start w:val="1"/>
      <w:numFmt w:val="lowerRoman"/>
      <w:lvlText w:val="%2)"/>
      <w:lvlJc w:val="left"/>
      <w:pPr>
        <w:tabs>
          <w:tab w:val="num" w:pos="1418"/>
        </w:tabs>
        <w:ind w:left="1418" w:hanging="709"/>
      </w:pPr>
      <w:rPr>
        <w:rFonts w:cs="Times New Roman" w:hint="default"/>
        <w:b w:val="0"/>
        <w:i w:val="0"/>
      </w:rPr>
    </w:lvl>
    <w:lvl w:ilvl="2">
      <w:start w:val="1"/>
      <w:numFmt w:val="lowerLetter"/>
      <w:lvlText w:val="%3)"/>
      <w:lvlJc w:val="left"/>
      <w:pPr>
        <w:tabs>
          <w:tab w:val="num" w:pos="2127"/>
        </w:tabs>
        <w:ind w:left="2127" w:hanging="709"/>
      </w:pPr>
      <w:rPr>
        <w:rFonts w:cs="Times New Roman" w:hint="default"/>
      </w:rPr>
    </w:lvl>
    <w:lvl w:ilvl="3">
      <w:start w:val="1"/>
      <w:numFmt w:val="lowerRoman"/>
      <w:lvlText w:val="%4)"/>
      <w:lvlJc w:val="left"/>
      <w:pPr>
        <w:tabs>
          <w:tab w:val="num" w:pos="3207"/>
        </w:tabs>
        <w:ind w:left="2836" w:hanging="709"/>
      </w:pPr>
      <w:rPr>
        <w:rFonts w:cs="Times New Roman" w:hint="default"/>
      </w:rPr>
    </w:lvl>
    <w:lvl w:ilvl="4">
      <w:start w:val="1"/>
      <w:numFmt w:val="lowerLetter"/>
      <w:lvlText w:val="(%5)"/>
      <w:lvlJc w:val="left"/>
      <w:pPr>
        <w:tabs>
          <w:tab w:val="num" w:pos="3545"/>
        </w:tabs>
        <w:ind w:left="3545" w:hanging="709"/>
      </w:pPr>
      <w:rPr>
        <w:rFonts w:cs="Times New Roman" w:hint="default"/>
      </w:rPr>
    </w:lvl>
    <w:lvl w:ilvl="5">
      <w:start w:val="1"/>
      <w:numFmt w:val="lowerRoman"/>
      <w:lvlText w:val="(%6)"/>
      <w:lvlJc w:val="left"/>
      <w:pPr>
        <w:tabs>
          <w:tab w:val="num" w:pos="4625"/>
        </w:tabs>
        <w:ind w:left="4254" w:hanging="709"/>
      </w:pPr>
      <w:rPr>
        <w:rFonts w:cs="Times New Roman" w:hint="default"/>
      </w:rPr>
    </w:lvl>
    <w:lvl w:ilvl="6">
      <w:start w:val="1"/>
      <w:numFmt w:val="lowerLetter"/>
      <w:lvlText w:val="(%7)"/>
      <w:lvlJc w:val="left"/>
      <w:pPr>
        <w:tabs>
          <w:tab w:val="num" w:pos="4963"/>
        </w:tabs>
        <w:ind w:left="4963" w:hanging="709"/>
      </w:pPr>
      <w:rPr>
        <w:rFonts w:cs="Times New Roman" w:hint="default"/>
      </w:rPr>
    </w:lvl>
    <w:lvl w:ilvl="7">
      <w:start w:val="1"/>
      <w:numFmt w:val="lowerRoman"/>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15" w15:restartNumberingAfterBreak="0">
    <w:nsid w:val="76363BFC"/>
    <w:multiLevelType w:val="hybridMultilevel"/>
    <w:tmpl w:val="49A0D77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799D4D35"/>
    <w:multiLevelType w:val="hybridMultilevel"/>
    <w:tmpl w:val="D966B18A"/>
    <w:lvl w:ilvl="0" w:tplc="2392FC7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1208760650">
    <w:abstractNumId w:val="14"/>
  </w:num>
  <w:num w:numId="2" w16cid:durableId="2049064554">
    <w:abstractNumId w:val="13"/>
  </w:num>
  <w:num w:numId="3" w16cid:durableId="1232422160">
    <w:abstractNumId w:val="5"/>
  </w:num>
  <w:num w:numId="4" w16cid:durableId="1788818548">
    <w:abstractNumId w:val="7"/>
  </w:num>
  <w:num w:numId="5" w16cid:durableId="379328868">
    <w:abstractNumId w:val="11"/>
  </w:num>
  <w:num w:numId="6" w16cid:durableId="1063868914">
    <w:abstractNumId w:val="8"/>
  </w:num>
  <w:num w:numId="7" w16cid:durableId="1520896994">
    <w:abstractNumId w:val="2"/>
  </w:num>
  <w:num w:numId="8" w16cid:durableId="163211228">
    <w:abstractNumId w:val="3"/>
  </w:num>
  <w:num w:numId="9" w16cid:durableId="1703360988">
    <w:abstractNumId w:val="10"/>
  </w:num>
  <w:num w:numId="10" w16cid:durableId="1063406706">
    <w:abstractNumId w:val="6"/>
  </w:num>
  <w:num w:numId="11" w16cid:durableId="1882130749">
    <w:abstractNumId w:val="4"/>
  </w:num>
  <w:num w:numId="12" w16cid:durableId="1665821223">
    <w:abstractNumId w:val="15"/>
  </w:num>
  <w:num w:numId="13" w16cid:durableId="1952930165">
    <w:abstractNumId w:val="9"/>
  </w:num>
  <w:num w:numId="14" w16cid:durableId="1346444736">
    <w:abstractNumId w:val="0"/>
  </w:num>
  <w:num w:numId="15" w16cid:durableId="1440684636">
    <w:abstractNumId w:val="16"/>
  </w:num>
  <w:num w:numId="16" w16cid:durableId="35783107">
    <w:abstractNumId w:val="12"/>
  </w:num>
  <w:num w:numId="17" w16cid:durableId="135622462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3F"/>
    <w:rsid w:val="000335FE"/>
    <w:rsid w:val="000A6825"/>
    <w:rsid w:val="00113249"/>
    <w:rsid w:val="00161C48"/>
    <w:rsid w:val="0018752E"/>
    <w:rsid w:val="001D7218"/>
    <w:rsid w:val="00243508"/>
    <w:rsid w:val="0026549A"/>
    <w:rsid w:val="002E22A6"/>
    <w:rsid w:val="003346C0"/>
    <w:rsid w:val="00335575"/>
    <w:rsid w:val="00337662"/>
    <w:rsid w:val="00444549"/>
    <w:rsid w:val="0045106C"/>
    <w:rsid w:val="0048220A"/>
    <w:rsid w:val="004A14BE"/>
    <w:rsid w:val="004A7A0A"/>
    <w:rsid w:val="00505B8A"/>
    <w:rsid w:val="00522CF8"/>
    <w:rsid w:val="005C69C0"/>
    <w:rsid w:val="005E2342"/>
    <w:rsid w:val="00620C05"/>
    <w:rsid w:val="00625EDE"/>
    <w:rsid w:val="00645F57"/>
    <w:rsid w:val="00705F82"/>
    <w:rsid w:val="00740F4E"/>
    <w:rsid w:val="007F4467"/>
    <w:rsid w:val="008707BC"/>
    <w:rsid w:val="008913F1"/>
    <w:rsid w:val="00893921"/>
    <w:rsid w:val="008B6593"/>
    <w:rsid w:val="008C1639"/>
    <w:rsid w:val="008E34DD"/>
    <w:rsid w:val="009A02E2"/>
    <w:rsid w:val="009A28BC"/>
    <w:rsid w:val="00AC62E6"/>
    <w:rsid w:val="00AD3906"/>
    <w:rsid w:val="00B62B0E"/>
    <w:rsid w:val="00B67EA2"/>
    <w:rsid w:val="00B72648"/>
    <w:rsid w:val="00BF14FD"/>
    <w:rsid w:val="00C813DC"/>
    <w:rsid w:val="00CA0A01"/>
    <w:rsid w:val="00D04C4F"/>
    <w:rsid w:val="00D41169"/>
    <w:rsid w:val="00D67B4B"/>
    <w:rsid w:val="00D71970"/>
    <w:rsid w:val="00D72E3F"/>
    <w:rsid w:val="00DF4962"/>
    <w:rsid w:val="00E2050D"/>
    <w:rsid w:val="00E24FDB"/>
    <w:rsid w:val="00FE18CA"/>
    <w:rsid w:val="00FE3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21519"/>
  <w15:docId w15:val="{D73F1B1E-FE78-5C4F-AD9B-7E308AC3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49"/>
    <w:rPr>
      <w:sz w:val="24"/>
      <w:szCs w:val="24"/>
      <w:lang w:eastAsia="en-US"/>
    </w:rPr>
  </w:style>
  <w:style w:type="paragraph" w:styleId="Heading1">
    <w:name w:val="heading 1"/>
    <w:basedOn w:val="Normal"/>
    <w:next w:val="Normal"/>
    <w:link w:val="Heading1Char"/>
    <w:uiPriority w:val="9"/>
    <w:qFormat/>
    <w:rsid w:val="001132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locked/>
    <w:rsid w:val="008C1639"/>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rsid w:val="001132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locked/>
    <w:rsid w:val="0045106C"/>
    <w:pPr>
      <w:keepNext/>
      <w:keepLines/>
      <w:spacing w:before="40"/>
      <w:outlineLvl w:val="3"/>
    </w:pPr>
    <w:rPr>
      <w:rFonts w:asciiTheme="majorHAnsi" w:eastAsiaTheme="majorEastAsia" w:hAnsiTheme="majorHAnsi" w:cstheme="majorBidi"/>
      <w:i/>
      <w:iCs/>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kern w:val="32"/>
      <w:sz w:val="32"/>
      <w:szCs w:val="32"/>
      <w:lang w:eastAsia="en-US"/>
    </w:rPr>
  </w:style>
  <w:style w:type="character" w:customStyle="1" w:styleId="Heading3Char">
    <w:name w:val="Heading 3 Char"/>
    <w:basedOn w:val="DefaultParagraphFont"/>
    <w:link w:val="Heading3"/>
    <w:uiPriority w:val="9"/>
    <w:semiHidden/>
    <w:locked/>
    <w:rPr>
      <w:rFonts w:ascii="Cambria" w:hAnsi="Cambria" w:cs="Times New Roman"/>
      <w:b/>
      <w:bCs/>
      <w:sz w:val="26"/>
      <w:szCs w:val="26"/>
      <w:lang w:eastAsia="en-US"/>
    </w:rPr>
  </w:style>
  <w:style w:type="paragraph" w:customStyle="1" w:styleId="CoverDesc">
    <w:name w:val="CoverDesc"/>
    <w:basedOn w:val="Normal"/>
    <w:uiPriority w:val="99"/>
    <w:rsid w:val="00113249"/>
    <w:pPr>
      <w:jc w:val="center"/>
    </w:pPr>
    <w:rPr>
      <w:b/>
      <w:sz w:val="36"/>
      <w:szCs w:val="20"/>
    </w:rPr>
  </w:style>
  <w:style w:type="paragraph" w:customStyle="1" w:styleId="CoverMain">
    <w:name w:val="CoverMain"/>
    <w:basedOn w:val="Normal"/>
    <w:uiPriority w:val="99"/>
    <w:rsid w:val="001132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uiPriority w:val="99"/>
    <w:rsid w:val="00113249"/>
    <w:pPr>
      <w:jc w:val="right"/>
    </w:pPr>
    <w:rPr>
      <w:szCs w:val="20"/>
      <w:u w:val="single"/>
    </w:rPr>
  </w:style>
  <w:style w:type="paragraph" w:customStyle="1" w:styleId="ParaHeading">
    <w:name w:val="ParaHeading"/>
    <w:basedOn w:val="Normal"/>
    <w:next w:val="ParaLevel1"/>
    <w:uiPriority w:val="99"/>
    <w:rsid w:val="00113249"/>
    <w:pPr>
      <w:keepNext/>
      <w:spacing w:before="240" w:after="240"/>
    </w:pPr>
    <w:rPr>
      <w:szCs w:val="20"/>
    </w:rPr>
  </w:style>
  <w:style w:type="paragraph" w:customStyle="1" w:styleId="ParaLevel1">
    <w:name w:val="ParaLevel1"/>
    <w:basedOn w:val="Normal"/>
    <w:uiPriority w:val="99"/>
    <w:rsid w:val="00113249"/>
    <w:pPr>
      <w:tabs>
        <w:tab w:val="num" w:pos="720"/>
      </w:tabs>
      <w:suppressAutoHyphens/>
      <w:spacing w:before="240" w:after="240"/>
      <w:ind w:left="720" w:hanging="720"/>
      <w:jc w:val="both"/>
      <w:outlineLvl w:val="0"/>
    </w:pPr>
    <w:rPr>
      <w:szCs w:val="20"/>
    </w:rPr>
  </w:style>
  <w:style w:type="paragraph" w:customStyle="1" w:styleId="ParaLevel2">
    <w:name w:val="ParaLevel2"/>
    <w:basedOn w:val="Normal"/>
    <w:uiPriority w:val="99"/>
    <w:rsid w:val="00113249"/>
    <w:pPr>
      <w:tabs>
        <w:tab w:val="num" w:pos="1418"/>
      </w:tabs>
      <w:suppressAutoHyphens/>
      <w:spacing w:before="240" w:after="240"/>
      <w:ind w:left="1418" w:hanging="709"/>
      <w:jc w:val="both"/>
      <w:outlineLvl w:val="1"/>
    </w:pPr>
    <w:rPr>
      <w:szCs w:val="20"/>
    </w:rPr>
  </w:style>
  <w:style w:type="paragraph" w:customStyle="1" w:styleId="ParaLevel3">
    <w:name w:val="ParaLevel3"/>
    <w:basedOn w:val="Normal"/>
    <w:uiPriority w:val="99"/>
    <w:rsid w:val="00113249"/>
    <w:pPr>
      <w:tabs>
        <w:tab w:val="num" w:pos="2127"/>
      </w:tabs>
      <w:suppressAutoHyphens/>
      <w:spacing w:before="240" w:after="240"/>
      <w:ind w:left="2127" w:hanging="709"/>
      <w:jc w:val="both"/>
      <w:outlineLvl w:val="2"/>
    </w:pPr>
    <w:rPr>
      <w:szCs w:val="20"/>
    </w:rPr>
  </w:style>
  <w:style w:type="paragraph" w:customStyle="1" w:styleId="ParaLevel4">
    <w:name w:val="ParaLevel4"/>
    <w:basedOn w:val="Normal"/>
    <w:uiPriority w:val="99"/>
    <w:rsid w:val="00113249"/>
    <w:pPr>
      <w:tabs>
        <w:tab w:val="num" w:pos="2836"/>
      </w:tabs>
      <w:suppressAutoHyphens/>
      <w:spacing w:before="240" w:after="240"/>
      <w:ind w:left="2836" w:hanging="709"/>
      <w:jc w:val="both"/>
      <w:outlineLvl w:val="3"/>
    </w:pPr>
    <w:rPr>
      <w:szCs w:val="20"/>
    </w:rPr>
  </w:style>
  <w:style w:type="paragraph" w:customStyle="1" w:styleId="ParaLevel5">
    <w:name w:val="ParaLevel5"/>
    <w:basedOn w:val="Normal"/>
    <w:uiPriority w:val="99"/>
    <w:rsid w:val="00113249"/>
    <w:pPr>
      <w:tabs>
        <w:tab w:val="num" w:pos="3545"/>
      </w:tabs>
      <w:suppressAutoHyphens/>
      <w:spacing w:before="240" w:after="240"/>
      <w:ind w:left="3545" w:hanging="709"/>
      <w:jc w:val="both"/>
      <w:outlineLvl w:val="4"/>
    </w:pPr>
    <w:rPr>
      <w:szCs w:val="20"/>
    </w:rPr>
  </w:style>
  <w:style w:type="paragraph" w:customStyle="1" w:styleId="ParaLevel6">
    <w:name w:val="ParaLevel6"/>
    <w:basedOn w:val="Normal"/>
    <w:uiPriority w:val="99"/>
    <w:rsid w:val="00113249"/>
    <w:pPr>
      <w:tabs>
        <w:tab w:val="num" w:pos="4254"/>
      </w:tabs>
      <w:suppressAutoHyphens/>
      <w:spacing w:before="240" w:after="240"/>
      <w:ind w:left="4254" w:hanging="709"/>
      <w:jc w:val="both"/>
      <w:outlineLvl w:val="5"/>
    </w:pPr>
    <w:rPr>
      <w:szCs w:val="20"/>
    </w:rPr>
  </w:style>
  <w:style w:type="paragraph" w:customStyle="1" w:styleId="ParaLevel7">
    <w:name w:val="ParaLevel7"/>
    <w:basedOn w:val="Normal"/>
    <w:uiPriority w:val="99"/>
    <w:rsid w:val="00113249"/>
    <w:pPr>
      <w:tabs>
        <w:tab w:val="num" w:pos="4963"/>
      </w:tabs>
      <w:suppressAutoHyphens/>
      <w:spacing w:before="240" w:after="240"/>
      <w:ind w:left="4963" w:hanging="709"/>
      <w:jc w:val="both"/>
      <w:outlineLvl w:val="6"/>
    </w:pPr>
    <w:rPr>
      <w:szCs w:val="20"/>
    </w:rPr>
  </w:style>
  <w:style w:type="paragraph" w:customStyle="1" w:styleId="ParaLevel8">
    <w:name w:val="ParaLevel8"/>
    <w:basedOn w:val="Normal"/>
    <w:uiPriority w:val="99"/>
    <w:rsid w:val="00113249"/>
    <w:pPr>
      <w:tabs>
        <w:tab w:val="num" w:pos="5672"/>
      </w:tabs>
      <w:suppressAutoHyphens/>
      <w:spacing w:before="240" w:after="240"/>
      <w:ind w:left="5672" w:hanging="709"/>
      <w:jc w:val="both"/>
      <w:outlineLvl w:val="7"/>
    </w:pPr>
    <w:rPr>
      <w:szCs w:val="20"/>
    </w:rPr>
  </w:style>
  <w:style w:type="paragraph" w:customStyle="1" w:styleId="ParaLevel9">
    <w:name w:val="ParaLevel9"/>
    <w:basedOn w:val="Normal"/>
    <w:uiPriority w:val="99"/>
    <w:rsid w:val="00113249"/>
    <w:pPr>
      <w:numPr>
        <w:ilvl w:val="8"/>
        <w:numId w:val="1"/>
      </w:numPr>
      <w:tabs>
        <w:tab w:val="clear" w:pos="6381"/>
        <w:tab w:val="num" w:pos="3240"/>
      </w:tabs>
      <w:suppressAutoHyphens/>
      <w:spacing w:before="240" w:after="240"/>
      <w:ind w:left="3240" w:hanging="360"/>
      <w:jc w:val="both"/>
      <w:outlineLvl w:val="8"/>
    </w:pPr>
    <w:rPr>
      <w:szCs w:val="20"/>
    </w:rPr>
  </w:style>
  <w:style w:type="paragraph" w:customStyle="1" w:styleId="ParaNoNumber">
    <w:name w:val="ParaNoNumber"/>
    <w:basedOn w:val="Normal"/>
    <w:next w:val="ParaLevel1"/>
    <w:uiPriority w:val="99"/>
    <w:rsid w:val="00113249"/>
    <w:pPr>
      <w:spacing w:before="240" w:after="240"/>
      <w:jc w:val="both"/>
    </w:pPr>
    <w:rPr>
      <w:szCs w:val="20"/>
    </w:rPr>
  </w:style>
  <w:style w:type="paragraph" w:styleId="Quote">
    <w:name w:val="Quote"/>
    <w:basedOn w:val="Normal"/>
    <w:next w:val="ParaLevel1"/>
    <w:link w:val="QuoteChar"/>
    <w:uiPriority w:val="29"/>
    <w:qFormat/>
    <w:rsid w:val="00113249"/>
    <w:pPr>
      <w:spacing w:after="240"/>
      <w:ind w:left="1440" w:right="1440"/>
      <w:jc w:val="both"/>
    </w:pPr>
    <w:rPr>
      <w:szCs w:val="20"/>
    </w:rPr>
  </w:style>
  <w:style w:type="character" w:customStyle="1" w:styleId="QuoteChar">
    <w:name w:val="Quote Char"/>
    <w:basedOn w:val="DefaultParagraphFont"/>
    <w:link w:val="Quote"/>
    <w:uiPriority w:val="29"/>
    <w:locked/>
    <w:rPr>
      <w:sz w:val="24"/>
      <w:szCs w:val="20"/>
      <w:lang w:eastAsia="en-US"/>
    </w:rPr>
  </w:style>
  <w:style w:type="paragraph" w:styleId="Header">
    <w:name w:val="header"/>
    <w:basedOn w:val="Normal"/>
    <w:link w:val="HeaderChar"/>
    <w:uiPriority w:val="99"/>
    <w:rsid w:val="00113249"/>
    <w:pPr>
      <w:tabs>
        <w:tab w:val="center" w:pos="4153"/>
        <w:tab w:val="right" w:pos="8306"/>
      </w:tabs>
    </w:pPr>
    <w:rPr>
      <w:rFonts w:ascii="Univers (W1)" w:hAnsi="Univers (W1)"/>
      <w:szCs w:val="20"/>
    </w:rPr>
  </w:style>
  <w:style w:type="character" w:customStyle="1" w:styleId="HeaderChar">
    <w:name w:val="Header Char"/>
    <w:basedOn w:val="DefaultParagraphFont"/>
    <w:link w:val="Header"/>
    <w:uiPriority w:val="99"/>
    <w:locked/>
    <w:rPr>
      <w:rFonts w:cs="Times New Roman"/>
      <w:sz w:val="24"/>
      <w:szCs w:val="24"/>
      <w:lang w:eastAsia="en-US"/>
    </w:rPr>
  </w:style>
  <w:style w:type="paragraph" w:styleId="Footer">
    <w:name w:val="footer"/>
    <w:basedOn w:val="Normal"/>
    <w:link w:val="FooterChar"/>
    <w:uiPriority w:val="99"/>
    <w:rsid w:val="00113249"/>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locked/>
    <w:rPr>
      <w:rFonts w:cs="Times New Roman"/>
      <w:sz w:val="24"/>
      <w:szCs w:val="24"/>
      <w:lang w:eastAsia="en-US"/>
    </w:rPr>
  </w:style>
  <w:style w:type="paragraph" w:customStyle="1" w:styleId="Heading">
    <w:name w:val="Heading"/>
    <w:basedOn w:val="Normal"/>
    <w:next w:val="Heading1"/>
    <w:uiPriority w:val="99"/>
    <w:rsid w:val="00113249"/>
    <w:pPr>
      <w:keepNext/>
      <w:spacing w:before="240" w:after="240" w:line="480" w:lineRule="auto"/>
    </w:pPr>
    <w:rPr>
      <w:szCs w:val="20"/>
    </w:rPr>
  </w:style>
  <w:style w:type="paragraph" w:styleId="Title">
    <w:name w:val="Title"/>
    <w:basedOn w:val="Normal"/>
    <w:link w:val="TitleChar"/>
    <w:uiPriority w:val="10"/>
    <w:qFormat/>
    <w:rsid w:val="00113249"/>
    <w:pPr>
      <w:pBdr>
        <w:top w:val="single" w:sz="6" w:space="1" w:color="auto"/>
        <w:left w:val="single" w:sz="6" w:space="1" w:color="auto"/>
        <w:bottom w:val="single" w:sz="6" w:space="1" w:color="auto"/>
        <w:right w:val="single" w:sz="6" w:space="1" w:color="auto"/>
      </w:pBdr>
      <w:jc w:val="center"/>
    </w:pPr>
    <w:rPr>
      <w:b/>
      <w:sz w:val="20"/>
    </w:rPr>
  </w:style>
  <w:style w:type="character" w:customStyle="1" w:styleId="TitleChar">
    <w:name w:val="Title Char"/>
    <w:basedOn w:val="DefaultParagraphFont"/>
    <w:link w:val="Title"/>
    <w:uiPriority w:val="10"/>
    <w:locked/>
    <w:rPr>
      <w:rFonts w:ascii="Cambria" w:hAnsi="Cambria" w:cs="Times New Roman"/>
      <w:b/>
      <w:bCs/>
      <w:kern w:val="28"/>
      <w:sz w:val="32"/>
      <w:szCs w:val="32"/>
      <w:lang w:eastAsia="en-US"/>
    </w:rPr>
  </w:style>
  <w:style w:type="paragraph" w:customStyle="1" w:styleId="eMailBlock">
    <w:name w:val="eMailBlock"/>
    <w:basedOn w:val="Title"/>
    <w:uiPriority w:val="99"/>
    <w:rsid w:val="00113249"/>
    <w:rPr>
      <w:sz w:val="26"/>
    </w:rPr>
  </w:style>
  <w:style w:type="character" w:customStyle="1" w:styleId="Heading2Char">
    <w:name w:val="Heading 2 Char"/>
    <w:basedOn w:val="DefaultParagraphFont"/>
    <w:link w:val="Heading2"/>
    <w:uiPriority w:val="9"/>
    <w:rsid w:val="008C1639"/>
    <w:rPr>
      <w:rFonts w:asciiTheme="majorHAnsi" w:eastAsiaTheme="majorEastAsia" w:hAnsiTheme="majorHAnsi" w:cstheme="majorBidi"/>
      <w:color w:val="365F91" w:themeColor="accent1" w:themeShade="BF"/>
      <w:sz w:val="26"/>
      <w:szCs w:val="26"/>
      <w:lang w:eastAsia="en-US"/>
    </w:rPr>
  </w:style>
  <w:style w:type="paragraph" w:styleId="BodyText">
    <w:name w:val="Body Text"/>
    <w:basedOn w:val="Normal"/>
    <w:link w:val="BodyTextChar"/>
    <w:uiPriority w:val="1"/>
    <w:qFormat/>
    <w:rsid w:val="008C1639"/>
    <w:pPr>
      <w:widowControl w:val="0"/>
      <w:autoSpaceDE w:val="0"/>
      <w:autoSpaceDN w:val="0"/>
    </w:pPr>
    <w:rPr>
      <w:rFonts w:ascii="Garamond" w:eastAsia="Garamond" w:hAnsi="Garamond" w:cs="Garamond"/>
      <w:sz w:val="28"/>
      <w:szCs w:val="28"/>
    </w:rPr>
  </w:style>
  <w:style w:type="character" w:customStyle="1" w:styleId="BodyTextChar">
    <w:name w:val="Body Text Char"/>
    <w:basedOn w:val="DefaultParagraphFont"/>
    <w:link w:val="BodyText"/>
    <w:uiPriority w:val="1"/>
    <w:rsid w:val="008C1639"/>
    <w:rPr>
      <w:rFonts w:ascii="Garamond" w:eastAsia="Garamond" w:hAnsi="Garamond" w:cs="Garamond"/>
      <w:sz w:val="28"/>
      <w:szCs w:val="28"/>
      <w:lang w:eastAsia="en-US"/>
    </w:rPr>
  </w:style>
  <w:style w:type="paragraph" w:styleId="ListParagraph">
    <w:name w:val="List Paragraph"/>
    <w:basedOn w:val="Normal"/>
    <w:uiPriority w:val="1"/>
    <w:qFormat/>
    <w:rsid w:val="008C1639"/>
    <w:pPr>
      <w:widowControl w:val="0"/>
      <w:autoSpaceDE w:val="0"/>
      <w:autoSpaceDN w:val="0"/>
      <w:ind w:left="666" w:right="114" w:hanging="567"/>
      <w:jc w:val="both"/>
    </w:pPr>
    <w:rPr>
      <w:rFonts w:ascii="Garamond" w:eastAsia="Garamond" w:hAnsi="Garamond" w:cs="Garamond"/>
      <w:sz w:val="22"/>
      <w:szCs w:val="22"/>
    </w:rPr>
  </w:style>
  <w:style w:type="paragraph" w:customStyle="1" w:styleId="TableParagraph">
    <w:name w:val="Table Paragraph"/>
    <w:basedOn w:val="Normal"/>
    <w:uiPriority w:val="1"/>
    <w:qFormat/>
    <w:rsid w:val="008C1639"/>
    <w:pPr>
      <w:widowControl w:val="0"/>
      <w:autoSpaceDE w:val="0"/>
      <w:autoSpaceDN w:val="0"/>
    </w:pPr>
    <w:rPr>
      <w:rFonts w:ascii="Garamond" w:eastAsia="Garamond" w:hAnsi="Garamond" w:cs="Garamond"/>
      <w:sz w:val="22"/>
      <w:szCs w:val="22"/>
    </w:rPr>
  </w:style>
  <w:style w:type="character" w:customStyle="1" w:styleId="apple-converted-space">
    <w:name w:val="apple-converted-space"/>
    <w:basedOn w:val="DefaultParagraphFont"/>
    <w:rsid w:val="008C1639"/>
  </w:style>
  <w:style w:type="character" w:styleId="Hyperlink">
    <w:name w:val="Hyperlink"/>
    <w:basedOn w:val="DefaultParagraphFont"/>
    <w:uiPriority w:val="99"/>
    <w:unhideWhenUsed/>
    <w:rsid w:val="008C1639"/>
    <w:rPr>
      <w:color w:val="0000FF"/>
      <w:u w:val="single"/>
    </w:rPr>
  </w:style>
  <w:style w:type="paragraph" w:styleId="NormalWeb">
    <w:name w:val="Normal (Web)"/>
    <w:basedOn w:val="Normal"/>
    <w:uiPriority w:val="99"/>
    <w:semiHidden/>
    <w:unhideWhenUsed/>
    <w:rsid w:val="008C1639"/>
    <w:pPr>
      <w:spacing w:before="100" w:beforeAutospacing="1" w:after="100" w:afterAutospacing="1"/>
    </w:pPr>
    <w:rPr>
      <w:lang w:eastAsia="en-GB"/>
    </w:rPr>
  </w:style>
  <w:style w:type="paragraph" w:customStyle="1" w:styleId="paraapprovedlevel1">
    <w:name w:val="paraapprovedlevel1"/>
    <w:basedOn w:val="Normal"/>
    <w:rsid w:val="00D72E3F"/>
    <w:pPr>
      <w:spacing w:before="100" w:beforeAutospacing="1" w:after="100" w:afterAutospacing="1"/>
    </w:pPr>
    <w:rPr>
      <w:lang w:eastAsia="en-GB"/>
    </w:rPr>
  </w:style>
  <w:style w:type="paragraph" w:customStyle="1" w:styleId="paraheading1">
    <w:name w:val="paraheading1"/>
    <w:basedOn w:val="Normal"/>
    <w:rsid w:val="00D72E3F"/>
    <w:pPr>
      <w:spacing w:before="100" w:beforeAutospacing="1" w:after="100" w:afterAutospacing="1"/>
    </w:pPr>
    <w:rPr>
      <w:lang w:eastAsia="en-GB"/>
    </w:rPr>
  </w:style>
  <w:style w:type="paragraph" w:customStyle="1" w:styleId="Default">
    <w:name w:val="Default"/>
    <w:rsid w:val="00D72E3F"/>
    <w:pPr>
      <w:autoSpaceDE w:val="0"/>
      <w:autoSpaceDN w:val="0"/>
      <w:adjustRightInd w:val="0"/>
    </w:pPr>
    <w:rPr>
      <w:rFonts w:ascii="Cambria" w:eastAsiaTheme="minorEastAsia" w:hAnsi="Cambria" w:cs="Cambria"/>
      <w:color w:val="000000"/>
      <w:sz w:val="24"/>
      <w:szCs w:val="24"/>
    </w:rPr>
  </w:style>
  <w:style w:type="character" w:styleId="UnresolvedMention">
    <w:name w:val="Unresolved Mention"/>
    <w:basedOn w:val="DefaultParagraphFont"/>
    <w:uiPriority w:val="99"/>
    <w:semiHidden/>
    <w:unhideWhenUsed/>
    <w:rsid w:val="004A14BE"/>
    <w:rPr>
      <w:color w:val="605E5C"/>
      <w:shd w:val="clear" w:color="auto" w:fill="E1DFDD"/>
    </w:rPr>
  </w:style>
  <w:style w:type="paragraph" w:customStyle="1" w:styleId="footnotedescription">
    <w:name w:val="footnote description"/>
    <w:next w:val="Normal"/>
    <w:link w:val="footnotedescriptionChar"/>
    <w:hidden/>
    <w:rsid w:val="004A14BE"/>
    <w:pPr>
      <w:spacing w:line="259" w:lineRule="auto"/>
    </w:pPr>
    <w:rPr>
      <w:color w:val="000000"/>
      <w:kern w:val="2"/>
      <w:sz w:val="20"/>
      <w:szCs w:val="24"/>
      <w14:ligatures w14:val="standardContextual"/>
    </w:rPr>
  </w:style>
  <w:style w:type="character" w:customStyle="1" w:styleId="footnotedescriptionChar">
    <w:name w:val="footnote description Char"/>
    <w:link w:val="footnotedescription"/>
    <w:rsid w:val="004A14BE"/>
    <w:rPr>
      <w:color w:val="000000"/>
      <w:kern w:val="2"/>
      <w:sz w:val="20"/>
      <w:szCs w:val="24"/>
      <w14:ligatures w14:val="standardContextual"/>
    </w:rPr>
  </w:style>
  <w:style w:type="character" w:customStyle="1" w:styleId="footnotemark">
    <w:name w:val="footnote mark"/>
    <w:hidden/>
    <w:rsid w:val="004A14BE"/>
    <w:rPr>
      <w:rFonts w:ascii="Times New Roman" w:eastAsia="Times New Roman" w:hAnsi="Times New Roman" w:cs="Times New Roman"/>
      <w:color w:val="000000"/>
      <w:sz w:val="20"/>
      <w:vertAlign w:val="superscript"/>
    </w:rPr>
  </w:style>
  <w:style w:type="table" w:customStyle="1" w:styleId="TableGrid">
    <w:name w:val="TableGrid"/>
    <w:rsid w:val="004A14BE"/>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customStyle="1" w:styleId="paralevel10">
    <w:name w:val="paralevel1"/>
    <w:basedOn w:val="Normal"/>
    <w:rsid w:val="00AD3906"/>
    <w:pPr>
      <w:spacing w:before="100" w:beforeAutospacing="1" w:after="100" w:afterAutospacing="1"/>
    </w:pPr>
    <w:rPr>
      <w:lang w:eastAsia="en-GB"/>
    </w:rPr>
  </w:style>
  <w:style w:type="paragraph" w:customStyle="1" w:styleId="Paragraphnum12">
    <w:name w:val="Paragraph (num) (1/2)"/>
    <w:basedOn w:val="Normal"/>
    <w:rsid w:val="00AD3906"/>
    <w:pPr>
      <w:numPr>
        <w:numId w:val="2"/>
      </w:numPr>
      <w:spacing w:after="240" w:line="360" w:lineRule="auto"/>
      <w:ind w:left="283"/>
      <w:jc w:val="both"/>
    </w:pPr>
    <w:rPr>
      <w:rFonts w:ascii="Tahoma" w:hAnsi="Tahoma"/>
      <w:sz w:val="22"/>
      <w:szCs w:val="26"/>
    </w:rPr>
  </w:style>
  <w:style w:type="paragraph" w:customStyle="1" w:styleId="TopClaimNo">
    <w:name w:val="Top Claim No"/>
    <w:basedOn w:val="Normal"/>
    <w:next w:val="Normal"/>
    <w:rsid w:val="00AD3906"/>
    <w:pPr>
      <w:jc w:val="right"/>
    </w:pPr>
    <w:rPr>
      <w:rFonts w:ascii="Tahoma" w:hAnsi="Tahoma"/>
      <w:caps/>
      <w:sz w:val="22"/>
      <w:szCs w:val="28"/>
    </w:rPr>
  </w:style>
  <w:style w:type="paragraph" w:customStyle="1" w:styleId="Normalafter6pt">
    <w:name w:val="Normal (after 6pt)"/>
    <w:basedOn w:val="Normal"/>
    <w:rsid w:val="00AD3906"/>
    <w:pPr>
      <w:spacing w:after="120"/>
      <w:jc w:val="both"/>
    </w:pPr>
    <w:rPr>
      <w:rFonts w:ascii="Tahoma" w:hAnsi="Tahoma"/>
      <w:sz w:val="22"/>
      <w:szCs w:val="26"/>
    </w:rPr>
  </w:style>
  <w:style w:type="character" w:customStyle="1" w:styleId="Heading4Char">
    <w:name w:val="Heading 4 Char"/>
    <w:basedOn w:val="DefaultParagraphFont"/>
    <w:link w:val="Heading4"/>
    <w:uiPriority w:val="9"/>
    <w:semiHidden/>
    <w:rsid w:val="0045106C"/>
    <w:rPr>
      <w:rFonts w:asciiTheme="majorHAnsi" w:eastAsiaTheme="majorEastAsia" w:hAnsiTheme="majorHAnsi" w:cstheme="majorBidi"/>
      <w:i/>
      <w:iCs/>
      <w:color w:val="365F91" w:themeColor="accent1" w:themeShade="BF"/>
      <w:kern w:val="2"/>
      <w:sz w:val="24"/>
      <w:szCs w:val="24"/>
      <w:lang w:eastAsia="en-US"/>
      <w14:ligatures w14:val="standardContextual"/>
    </w:rPr>
  </w:style>
  <w:style w:type="paragraph" w:customStyle="1" w:styleId="legclearfix">
    <w:name w:val="legclearfix"/>
    <w:basedOn w:val="Normal"/>
    <w:rsid w:val="0045106C"/>
    <w:pPr>
      <w:spacing w:before="100" w:beforeAutospacing="1" w:after="100" w:afterAutospacing="1"/>
    </w:pPr>
    <w:rPr>
      <w:lang w:eastAsia="en-GB"/>
    </w:rPr>
  </w:style>
  <w:style w:type="character" w:customStyle="1" w:styleId="legds">
    <w:name w:val="legds"/>
    <w:basedOn w:val="DefaultParagraphFont"/>
    <w:rsid w:val="0045106C"/>
  </w:style>
  <w:style w:type="character" w:customStyle="1" w:styleId="legchangedelimiter">
    <w:name w:val="legchangedelimiter"/>
    <w:basedOn w:val="DefaultParagraphFont"/>
    <w:rsid w:val="0045106C"/>
  </w:style>
  <w:style w:type="character" w:customStyle="1" w:styleId="legaddition">
    <w:name w:val="legaddition"/>
    <w:basedOn w:val="DefaultParagraphFont"/>
    <w:rsid w:val="0045106C"/>
  </w:style>
  <w:style w:type="paragraph" w:customStyle="1" w:styleId="legrhs">
    <w:name w:val="legrhs"/>
    <w:basedOn w:val="Normal"/>
    <w:rsid w:val="0045106C"/>
    <w:pPr>
      <w:spacing w:before="100" w:beforeAutospacing="1" w:after="100" w:afterAutospacing="1"/>
    </w:pPr>
    <w:rPr>
      <w:lang w:eastAsia="en-GB"/>
    </w:rPr>
  </w:style>
  <w:style w:type="character" w:styleId="Strong">
    <w:name w:val="Strong"/>
    <w:basedOn w:val="DefaultParagraphFont"/>
    <w:uiPriority w:val="22"/>
    <w:qFormat/>
    <w:locked/>
    <w:rsid w:val="0045106C"/>
    <w:rPr>
      <w:b/>
      <w:bCs/>
    </w:rPr>
  </w:style>
  <w:style w:type="character" w:customStyle="1" w:styleId="legsubstitution">
    <w:name w:val="legsubstitution"/>
    <w:basedOn w:val="DefaultParagraphFont"/>
    <w:rsid w:val="0045106C"/>
  </w:style>
  <w:style w:type="character" w:customStyle="1" w:styleId="legterm">
    <w:name w:val="legterm"/>
    <w:basedOn w:val="DefaultParagraphFont"/>
    <w:rsid w:val="0045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uk.westlaw.com/Link/Document/FullText?findType=Y&amp;serNum=2003078267&amp;pubNum=6448&amp;originatingDoc=I0A39EB6055E111E79153C39CF1D5DBAB&amp;refType=UC&amp;originationContext=document&amp;transitionType=CommentaryUKLink&amp;ppcid=f85387f998a149ab8695212bc7f8966b&amp;contextData=(sc.Category)"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uk.westlaw.com/Link/Document/FullText?findType=Y&amp;serNum=2038433442&amp;pubNum=8105&amp;originatingDoc=ICB0188508AD011EEB444E63B77BC766E&amp;refType=UC&amp;originationContext=document&amp;transitionType=CommentaryUKLink&amp;ppcid=1fa701400dda4e9a9690298c66c281a2&amp;contextData=(sc.Categ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uk.westlaw.com/Link/Document/FullText?findType=Y&amp;serNum=2038433442&amp;pubNum=8105&amp;originatingDoc=ICB0188508AD011EEB444E63B77BC766E&amp;refType=UC&amp;originationContext=document&amp;transitionType=CommentaryUKLink&amp;ppcid=1fa701400dda4e9a9690298c66c281a2&amp;contextData=(sc.Categ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uk.westlaw.com/Link/Document/FullText?findType=Y&amp;serNum=1997256506&amp;pubNum=8105&amp;originatingDoc=I0A39EB6055E111E79153C39CF1D5DBAB&amp;refType=UC&amp;originationContext=document&amp;transitionType=CommentaryUKLink&amp;ppcid=f85387f998a149ab8695212bc7f8966b&amp;contextData=(sc.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ECF9CD1972546B836A83421692BB3" ma:contentTypeVersion="9" ma:contentTypeDescription="Create a new document." ma:contentTypeScope="" ma:versionID="2a9a6c7be20f7d51e73617831356d3c6">
  <xsd:schema xmlns:xsd="http://www.w3.org/2001/XMLSchema" xmlns:xs="http://www.w3.org/2001/XMLSchema" xmlns:p="http://schemas.microsoft.com/office/2006/metadata/properties" xmlns:ns3="9a23c27b-fb12-4684-8c96-ae0a3f50551a" targetNamespace="http://schemas.microsoft.com/office/2006/metadata/properties" ma:root="true" ma:fieldsID="c611f222cd6c72cf2eccb8cb323b4488" ns3:_="">
    <xsd:import namespace="9a23c27b-fb12-4684-8c96-ae0a3f5055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c27b-fb12-4684-8c96-ae0a3f505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81CD5-6020-4D7A-9F22-F40F6D3CA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c27b-fb12-4684-8c96-ae0a3f505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60950D-BD2A-43FD-BEA8-11FB49DA2878}">
  <ds:schemaRefs>
    <ds:schemaRef ds:uri="http://schemas.openxmlformats.org/package/2006/metadata/core-properties"/>
    <ds:schemaRef ds:uri="http://purl.org/dc/elements/1.1/"/>
    <ds:schemaRef ds:uri="http://schemas.microsoft.com/office/2006/metadata/properties"/>
    <ds:schemaRef ds:uri="http://purl.org/dc/terms/"/>
    <ds:schemaRef ds:uri="9a23c27b-fb12-4684-8c96-ae0a3f50551a"/>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FABF70AA-16F5-4206-A548-22BD30EA7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36</Pages>
  <Words>17417</Words>
  <Characters>87125</Characters>
  <Application>Microsoft Office Word</Application>
  <DocSecurity>0</DocSecurity>
  <Lines>726</Lines>
  <Paragraphs>208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104334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James Strachan</dc:creator>
  <cp:keywords/>
  <dc:description/>
  <cp:lastModifiedBy>Shani, Saira</cp:lastModifiedBy>
  <cp:revision>11</cp:revision>
  <cp:lastPrinted>2024-05-09T09:21:00Z</cp:lastPrinted>
  <dcterms:created xsi:type="dcterms:W3CDTF">2024-05-09T09:21:00Z</dcterms:created>
  <dcterms:modified xsi:type="dcterms:W3CDTF">2024-05-09T10:20:00Z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ADMINISTRATIVE COURT</vt:lpwstr>
  </property>
  <property fmtid="{D5CDD505-2E9C-101B-9397-08002B2CF9AE}" pid="6" name="ApprovedStage">
    <vt:lpwstr>Approved</vt:lpwstr>
  </property>
  <property fmtid="{D5CDD505-2E9C-101B-9397-08002B2CF9AE}" pid="7" name="NCDiv">
    <vt:lpwstr>Admin</vt:lpwstr>
  </property>
  <property fmtid="{D5CDD505-2E9C-101B-9397-08002B2CF9AE}" pid="8" name="ContentTypeId">
    <vt:lpwstr>0x0101005BFECF9CD1972546B836A83421692BB3</vt:lpwstr>
  </property>
  <property fmtid="{D5CDD505-2E9C-101B-9397-08002B2CF9AE}" pid="9" name="NCNumber">
    <vt:lpwstr>[2024] EWHC 1094 (Admin)</vt:lpwstr>
  </property>
</Properties>
</file>