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2588" w14:textId="6FAD98B0" w:rsidR="0049611D" w:rsidRPr="00AB25F4" w:rsidRDefault="0049611D" w:rsidP="0049611D">
      <w:pPr>
        <w:spacing w:line="265" w:lineRule="exact"/>
        <w:rPr>
          <w:rFonts w:cs="Times New Roman"/>
          <w:color w:val="010302"/>
          <w:sz w:val="24"/>
          <w:szCs w:val="24"/>
        </w:rPr>
      </w:pPr>
      <w:r w:rsidRPr="00AB25F4">
        <w:rPr>
          <w:rFonts w:cs="Times New Roman"/>
          <w:color w:val="000000"/>
          <w:sz w:val="24"/>
          <w:szCs w:val="24"/>
          <w:u w:val="single"/>
        </w:rPr>
        <w:t>Neutral Citation Number: [</w:t>
      </w:r>
      <w:r>
        <w:rPr>
          <w:rFonts w:cs="Times New Roman"/>
          <w:color w:val="000000"/>
          <w:sz w:val="24"/>
          <w:szCs w:val="24"/>
          <w:u w:val="single"/>
        </w:rPr>
        <w:t>2023</w:t>
      </w:r>
      <w:r w:rsidRPr="00AB25F4">
        <w:rPr>
          <w:rFonts w:cs="Times New Roman"/>
          <w:color w:val="000000"/>
          <w:sz w:val="24"/>
          <w:szCs w:val="24"/>
          <w:u w:val="single"/>
        </w:rPr>
        <w:t>]</w:t>
      </w:r>
      <w:r>
        <w:rPr>
          <w:rFonts w:cs="Times New Roman"/>
          <w:color w:val="000000"/>
          <w:sz w:val="24"/>
          <w:szCs w:val="24"/>
          <w:u w:val="single"/>
        </w:rPr>
        <w:t xml:space="preserve"> EAT</w:t>
      </w:r>
      <w:r w:rsidR="009134CB">
        <w:rPr>
          <w:rFonts w:cs="Times New Roman"/>
          <w:color w:val="000000"/>
          <w:sz w:val="24"/>
          <w:szCs w:val="24"/>
          <w:u w:val="single"/>
        </w:rPr>
        <w:t xml:space="preserve"> 173</w:t>
      </w:r>
    </w:p>
    <w:p w14:paraId="1CFB091F" w14:textId="77777777" w:rsidR="00B968CF" w:rsidRPr="00AB25F4" w:rsidRDefault="00B968CF" w:rsidP="00443F54">
      <w:pPr>
        <w:spacing w:after="43"/>
        <w:rPr>
          <w:color w:val="000000"/>
          <w:sz w:val="24"/>
          <w:szCs w:val="24"/>
        </w:rPr>
      </w:pPr>
    </w:p>
    <w:p w14:paraId="51F1A592" w14:textId="77777777" w:rsidR="00B968CF" w:rsidRPr="00AB25F4" w:rsidRDefault="00B968CF" w:rsidP="00443F54">
      <w:pPr>
        <w:spacing w:before="241" w:line="265" w:lineRule="exact"/>
        <w:jc w:val="right"/>
        <w:rPr>
          <w:rFonts w:cs="Times New Roman"/>
          <w:color w:val="010302"/>
          <w:sz w:val="24"/>
          <w:szCs w:val="24"/>
        </w:rPr>
      </w:pPr>
      <w:r w:rsidRPr="00AB25F4">
        <w:rPr>
          <w:rFonts w:cs="Times New Roman"/>
          <w:color w:val="000000"/>
          <w:sz w:val="24"/>
          <w:szCs w:val="24"/>
          <w:u w:val="single"/>
        </w:rPr>
        <w:t xml:space="preserve">Case No: </w:t>
      </w:r>
      <w:bookmarkStart w:id="0" w:name="_Hlk152744936"/>
      <w:r w:rsidRPr="00AB25F4">
        <w:rPr>
          <w:rFonts w:cs="Times New Roman"/>
          <w:color w:val="000000"/>
          <w:sz w:val="24"/>
          <w:szCs w:val="24"/>
          <w:u w:val="single"/>
        </w:rPr>
        <w:t>E</w:t>
      </w:r>
      <w:r>
        <w:rPr>
          <w:rFonts w:cs="Times New Roman"/>
          <w:color w:val="000000"/>
          <w:sz w:val="24"/>
          <w:szCs w:val="24"/>
          <w:u w:val="single"/>
        </w:rPr>
        <w:t>A-2021-000663-BA</w:t>
      </w:r>
    </w:p>
    <w:bookmarkEnd w:id="0"/>
    <w:p w14:paraId="3E69C0B5" w14:textId="77777777" w:rsidR="00B968CF" w:rsidRPr="00AB25F4" w:rsidRDefault="00B968CF" w:rsidP="00443F54">
      <w:pPr>
        <w:spacing w:before="10" w:line="265" w:lineRule="exact"/>
        <w:rPr>
          <w:rFonts w:cs="Times New Roman"/>
          <w:color w:val="010302"/>
          <w:sz w:val="24"/>
          <w:szCs w:val="24"/>
        </w:rPr>
      </w:pPr>
      <w:r w:rsidRPr="00AB25F4">
        <w:rPr>
          <w:rFonts w:cs="Times New Roman"/>
          <w:b/>
          <w:bCs/>
          <w:color w:val="000000"/>
          <w:sz w:val="24"/>
          <w:szCs w:val="24"/>
          <w:u w:val="single"/>
        </w:rPr>
        <w:t>E</w:t>
      </w:r>
      <w:r w:rsidRPr="00AB25F4">
        <w:rPr>
          <w:rFonts w:cs="Times New Roman"/>
          <w:b/>
          <w:bCs/>
          <w:color w:val="000000"/>
          <w:spacing w:val="-3"/>
          <w:sz w:val="24"/>
          <w:szCs w:val="24"/>
          <w:u w:val="single"/>
        </w:rPr>
        <w:t>M</w:t>
      </w:r>
      <w:r w:rsidRPr="00AB25F4">
        <w:rPr>
          <w:rFonts w:cs="Times New Roman"/>
          <w:b/>
          <w:bCs/>
          <w:color w:val="000000"/>
          <w:spacing w:val="-2"/>
          <w:sz w:val="24"/>
          <w:szCs w:val="24"/>
          <w:u w:val="single"/>
        </w:rPr>
        <w:t>P</w:t>
      </w:r>
      <w:r w:rsidRPr="00AB25F4">
        <w:rPr>
          <w:rFonts w:cs="Times New Roman"/>
          <w:b/>
          <w:bCs/>
          <w:color w:val="000000"/>
          <w:spacing w:val="-4"/>
          <w:sz w:val="24"/>
          <w:szCs w:val="24"/>
          <w:u w:val="single"/>
        </w:rPr>
        <w:t>L</w:t>
      </w:r>
      <w:r w:rsidRPr="00AB25F4">
        <w:rPr>
          <w:rFonts w:cs="Times New Roman"/>
          <w:b/>
          <w:bCs/>
          <w:color w:val="000000"/>
          <w:sz w:val="24"/>
          <w:szCs w:val="24"/>
          <w:u w:val="single"/>
        </w:rPr>
        <w:t>O</w:t>
      </w:r>
      <w:r w:rsidRPr="00AB25F4">
        <w:rPr>
          <w:rFonts w:cs="Times New Roman"/>
          <w:b/>
          <w:bCs/>
          <w:color w:val="000000"/>
          <w:spacing w:val="-2"/>
          <w:sz w:val="24"/>
          <w:szCs w:val="24"/>
          <w:u w:val="single"/>
        </w:rPr>
        <w:t>Y</w:t>
      </w:r>
      <w:r w:rsidRPr="00AB25F4">
        <w:rPr>
          <w:rFonts w:cs="Times New Roman"/>
          <w:b/>
          <w:bCs/>
          <w:color w:val="000000"/>
          <w:spacing w:val="-3"/>
          <w:sz w:val="24"/>
          <w:szCs w:val="24"/>
          <w:u w:val="single"/>
        </w:rPr>
        <w:t>M</w:t>
      </w:r>
      <w:r w:rsidRPr="00AB25F4">
        <w:rPr>
          <w:rFonts w:cs="Times New Roman"/>
          <w:b/>
          <w:bCs/>
          <w:color w:val="000000"/>
          <w:sz w:val="24"/>
          <w:szCs w:val="24"/>
          <w:u w:val="single"/>
        </w:rPr>
        <w:t>E</w:t>
      </w:r>
      <w:r w:rsidRPr="00AB25F4">
        <w:rPr>
          <w:rFonts w:cs="Times New Roman"/>
          <w:b/>
          <w:bCs/>
          <w:color w:val="000000"/>
          <w:spacing w:val="-5"/>
          <w:sz w:val="24"/>
          <w:szCs w:val="24"/>
          <w:u w:val="single"/>
        </w:rPr>
        <w:t>N</w:t>
      </w:r>
      <w:r w:rsidRPr="00AB25F4">
        <w:rPr>
          <w:rFonts w:cs="Times New Roman"/>
          <w:b/>
          <w:bCs/>
          <w:color w:val="000000"/>
          <w:sz w:val="24"/>
          <w:szCs w:val="24"/>
          <w:u w:val="single"/>
        </w:rPr>
        <w:t>T</w:t>
      </w:r>
      <w:r w:rsidRPr="00AB25F4">
        <w:rPr>
          <w:rFonts w:cs="Times New Roman"/>
          <w:b/>
          <w:bCs/>
          <w:color w:val="000000"/>
          <w:spacing w:val="-2"/>
          <w:sz w:val="24"/>
          <w:szCs w:val="24"/>
          <w:u w:val="single"/>
        </w:rPr>
        <w:t xml:space="preserve"> AP</w:t>
      </w:r>
      <w:r w:rsidRPr="00AB25F4">
        <w:rPr>
          <w:rFonts w:cs="Times New Roman"/>
          <w:b/>
          <w:bCs/>
          <w:color w:val="000000"/>
          <w:spacing w:val="-5"/>
          <w:sz w:val="24"/>
          <w:szCs w:val="24"/>
          <w:u w:val="single"/>
        </w:rPr>
        <w:t>P</w:t>
      </w:r>
      <w:r w:rsidRPr="00AB25F4">
        <w:rPr>
          <w:rFonts w:cs="Times New Roman"/>
          <w:b/>
          <w:bCs/>
          <w:color w:val="000000"/>
          <w:spacing w:val="-4"/>
          <w:sz w:val="24"/>
          <w:szCs w:val="24"/>
          <w:u w:val="single"/>
        </w:rPr>
        <w:t>E</w:t>
      </w:r>
      <w:r w:rsidRPr="00AB25F4">
        <w:rPr>
          <w:rFonts w:cs="Times New Roman"/>
          <w:b/>
          <w:bCs/>
          <w:color w:val="000000"/>
          <w:spacing w:val="-2"/>
          <w:sz w:val="24"/>
          <w:szCs w:val="24"/>
          <w:u w:val="single"/>
        </w:rPr>
        <w:t>A</w:t>
      </w:r>
      <w:r w:rsidRPr="00AB25F4">
        <w:rPr>
          <w:rFonts w:cs="Times New Roman"/>
          <w:b/>
          <w:bCs/>
          <w:color w:val="000000"/>
          <w:sz w:val="24"/>
          <w:szCs w:val="24"/>
          <w:u w:val="single"/>
        </w:rPr>
        <w:t>L</w:t>
      </w:r>
      <w:r w:rsidRPr="00AB25F4">
        <w:rPr>
          <w:rFonts w:cs="Times New Roman"/>
          <w:b/>
          <w:bCs/>
          <w:color w:val="000000"/>
          <w:spacing w:val="-2"/>
          <w:sz w:val="24"/>
          <w:szCs w:val="24"/>
          <w:u w:val="single"/>
        </w:rPr>
        <w:t xml:space="preserve"> </w:t>
      </w:r>
      <w:r w:rsidRPr="00AB25F4">
        <w:rPr>
          <w:rFonts w:cs="Times New Roman"/>
          <w:b/>
          <w:bCs/>
          <w:color w:val="000000"/>
          <w:sz w:val="24"/>
          <w:szCs w:val="24"/>
          <w:u w:val="single"/>
        </w:rPr>
        <w:t>T</w:t>
      </w:r>
      <w:r w:rsidRPr="00AB25F4">
        <w:rPr>
          <w:rFonts w:cs="Times New Roman"/>
          <w:b/>
          <w:bCs/>
          <w:color w:val="000000"/>
          <w:spacing w:val="-5"/>
          <w:sz w:val="24"/>
          <w:szCs w:val="24"/>
          <w:u w:val="single"/>
        </w:rPr>
        <w:t>R</w:t>
      </w:r>
      <w:r w:rsidRPr="00AB25F4">
        <w:rPr>
          <w:rFonts w:cs="Times New Roman"/>
          <w:b/>
          <w:bCs/>
          <w:color w:val="000000"/>
          <w:spacing w:val="-2"/>
          <w:sz w:val="24"/>
          <w:szCs w:val="24"/>
          <w:u w:val="single"/>
        </w:rPr>
        <w:t>I</w:t>
      </w:r>
      <w:r w:rsidRPr="00AB25F4">
        <w:rPr>
          <w:rFonts w:cs="Times New Roman"/>
          <w:b/>
          <w:bCs/>
          <w:color w:val="000000"/>
          <w:sz w:val="24"/>
          <w:szCs w:val="24"/>
          <w:u w:val="single"/>
        </w:rPr>
        <w:t>B</w:t>
      </w:r>
      <w:r w:rsidRPr="00AB25F4">
        <w:rPr>
          <w:rFonts w:cs="Times New Roman"/>
          <w:b/>
          <w:bCs/>
          <w:color w:val="000000"/>
          <w:spacing w:val="-2"/>
          <w:sz w:val="24"/>
          <w:szCs w:val="24"/>
          <w:u w:val="single"/>
        </w:rPr>
        <w:t>UN</w:t>
      </w:r>
      <w:r w:rsidRPr="00AB25F4">
        <w:rPr>
          <w:rFonts w:cs="Times New Roman"/>
          <w:b/>
          <w:bCs/>
          <w:color w:val="000000"/>
          <w:spacing w:val="-5"/>
          <w:sz w:val="24"/>
          <w:szCs w:val="24"/>
          <w:u w:val="single"/>
        </w:rPr>
        <w:t>A</w:t>
      </w:r>
      <w:r w:rsidRPr="00AB25F4">
        <w:rPr>
          <w:rFonts w:cs="Times New Roman"/>
          <w:b/>
          <w:bCs/>
          <w:color w:val="000000"/>
          <w:spacing w:val="-3"/>
          <w:sz w:val="24"/>
          <w:szCs w:val="24"/>
          <w:u w:val="single"/>
        </w:rPr>
        <w:t>L</w:t>
      </w:r>
      <w:r w:rsidRPr="00AB25F4">
        <w:rPr>
          <w:rFonts w:cs="Times New Roman"/>
          <w:b/>
          <w:bCs/>
          <w:color w:val="000000"/>
          <w:sz w:val="24"/>
          <w:szCs w:val="24"/>
        </w:rPr>
        <w:t xml:space="preserve">  </w:t>
      </w:r>
    </w:p>
    <w:p w14:paraId="7A12C474" w14:textId="77777777" w:rsidR="00B968CF" w:rsidRPr="00AB25F4" w:rsidRDefault="00B968CF" w:rsidP="00443F54">
      <w:pPr>
        <w:spacing w:after="2"/>
        <w:rPr>
          <w:color w:val="000000"/>
          <w:sz w:val="24"/>
          <w:szCs w:val="24"/>
        </w:rPr>
      </w:pPr>
    </w:p>
    <w:p w14:paraId="3D079B24" w14:textId="77777777" w:rsidR="00B968CF" w:rsidRPr="00AB25F4" w:rsidRDefault="00B968CF" w:rsidP="00443F54">
      <w:pPr>
        <w:spacing w:line="275" w:lineRule="exact"/>
        <w:jc w:val="right"/>
        <w:rPr>
          <w:rFonts w:cs="Times New Roman"/>
          <w:color w:val="000000"/>
          <w:sz w:val="24"/>
          <w:szCs w:val="24"/>
        </w:rPr>
      </w:pPr>
      <w:smartTag w:uri="urn:schemas-microsoft-com:office:smarttags" w:element="PlaceName">
        <w:smartTag w:uri="urn:schemas-microsoft-com:office:smarttags" w:element="place">
          <w:r w:rsidRPr="00AB25F4">
            <w:rPr>
              <w:rFonts w:cs="Times New Roman"/>
              <w:color w:val="000000"/>
              <w:sz w:val="24"/>
              <w:szCs w:val="24"/>
              <w:u w:val="single"/>
            </w:rPr>
            <w:t>Rolls</w:t>
          </w:r>
        </w:smartTag>
        <w:r w:rsidRPr="00AB25F4">
          <w:rPr>
            <w:rFonts w:cs="Times New Roman"/>
            <w:color w:val="000000"/>
            <w:sz w:val="24"/>
            <w:szCs w:val="24"/>
            <w:u w:val="single"/>
          </w:rPr>
          <w:t xml:space="preserve"> </w:t>
        </w:r>
        <w:smartTag w:uri="urn:schemas-microsoft-com:office:smarttags" w:element="PlaceType">
          <w:r w:rsidRPr="00AB25F4">
            <w:rPr>
              <w:rFonts w:cs="Times New Roman"/>
              <w:color w:val="000000"/>
              <w:sz w:val="24"/>
              <w:szCs w:val="24"/>
              <w:u w:val="single"/>
            </w:rPr>
            <w:t>Building</w:t>
          </w:r>
        </w:smartTag>
      </w:smartTag>
    </w:p>
    <w:p w14:paraId="67D77770" w14:textId="77777777" w:rsidR="00B968CF" w:rsidRPr="00AB25F4" w:rsidRDefault="00B968CF" w:rsidP="00443F54">
      <w:pPr>
        <w:spacing w:line="275" w:lineRule="exact"/>
        <w:jc w:val="right"/>
        <w:rPr>
          <w:rFonts w:cs="Times New Roman"/>
          <w:color w:val="010302"/>
          <w:sz w:val="24"/>
          <w:szCs w:val="24"/>
        </w:rPr>
      </w:pPr>
      <w:r w:rsidRPr="00AB25F4">
        <w:rPr>
          <w:rFonts w:cs="Times New Roman"/>
          <w:color w:val="000000"/>
          <w:sz w:val="24"/>
          <w:szCs w:val="24"/>
          <w:u w:val="single"/>
        </w:rPr>
        <w:t xml:space="preserve">Fetter Lane, </w:t>
      </w:r>
      <w:smartTag w:uri="urn:schemas-microsoft-com:office:smarttags" w:element="City">
        <w:smartTag w:uri="urn:schemas-microsoft-com:office:smarttags" w:element="place">
          <w:r w:rsidRPr="00AB25F4">
            <w:rPr>
              <w:rFonts w:cs="Times New Roman"/>
              <w:color w:val="000000"/>
              <w:sz w:val="24"/>
              <w:szCs w:val="24"/>
              <w:u w:val="single"/>
            </w:rPr>
            <w:t>London</w:t>
          </w:r>
        </w:smartTag>
        <w:r w:rsidRPr="00AB25F4">
          <w:rPr>
            <w:rFonts w:cs="Times New Roman"/>
            <w:color w:val="000000"/>
            <w:sz w:val="24"/>
            <w:szCs w:val="24"/>
            <w:u w:val="single"/>
          </w:rPr>
          <w:t xml:space="preserve">, </w:t>
        </w:r>
        <w:smartTag w:uri="urn:schemas-microsoft-com:office:smarttags" w:element="PostalCode">
          <w:r w:rsidRPr="00AB25F4">
            <w:rPr>
              <w:rFonts w:cs="Times New Roman"/>
              <w:color w:val="000000"/>
              <w:sz w:val="24"/>
              <w:szCs w:val="24"/>
              <w:u w:val="single"/>
            </w:rPr>
            <w:t>EC4A 1NL</w:t>
          </w:r>
        </w:smartTag>
      </w:smartTag>
    </w:p>
    <w:p w14:paraId="500DE8D7" w14:textId="77777777" w:rsidR="00B968CF" w:rsidRPr="00AB25F4" w:rsidRDefault="00B968CF" w:rsidP="00443F54">
      <w:pPr>
        <w:spacing w:after="10"/>
        <w:rPr>
          <w:color w:val="000000"/>
          <w:sz w:val="24"/>
          <w:szCs w:val="24"/>
        </w:rPr>
      </w:pPr>
    </w:p>
    <w:p w14:paraId="40AA6230" w14:textId="4EB4426B" w:rsidR="00B968CF" w:rsidRPr="00AB25F4" w:rsidRDefault="00B968CF" w:rsidP="00443F54">
      <w:pPr>
        <w:spacing w:line="265" w:lineRule="exact"/>
        <w:jc w:val="right"/>
        <w:rPr>
          <w:rFonts w:cs="Times New Roman"/>
          <w:color w:val="010302"/>
          <w:sz w:val="24"/>
          <w:szCs w:val="24"/>
        </w:rPr>
      </w:pPr>
      <w:r>
        <w:rPr>
          <w:rFonts w:cs="Times New Roman"/>
          <w:color w:val="000000"/>
          <w:sz w:val="24"/>
          <w:szCs w:val="24"/>
          <w:u w:val="single"/>
        </w:rPr>
        <w:t>Date:</w:t>
      </w:r>
      <w:r w:rsidR="0049611D">
        <w:rPr>
          <w:rFonts w:cs="Times New Roman"/>
          <w:color w:val="000000"/>
          <w:sz w:val="24"/>
          <w:szCs w:val="24"/>
          <w:u w:val="single"/>
        </w:rPr>
        <w:t xml:space="preserve"> </w:t>
      </w:r>
      <w:r>
        <w:rPr>
          <w:rFonts w:cs="Times New Roman"/>
          <w:color w:val="000000"/>
          <w:sz w:val="24"/>
          <w:szCs w:val="24"/>
          <w:u w:val="single"/>
        </w:rPr>
        <w:t>14 November 2023</w:t>
      </w:r>
    </w:p>
    <w:p w14:paraId="63859C5C" w14:textId="77777777" w:rsidR="00B968CF" w:rsidRPr="00AB25F4" w:rsidRDefault="00B968CF" w:rsidP="00443F54">
      <w:pPr>
        <w:spacing w:after="10"/>
        <w:rPr>
          <w:color w:val="000000"/>
          <w:sz w:val="24"/>
          <w:szCs w:val="24"/>
        </w:rPr>
      </w:pPr>
    </w:p>
    <w:p w14:paraId="17CC55DB" w14:textId="77777777" w:rsidR="00B968CF" w:rsidRPr="00AB25F4" w:rsidRDefault="00B968CF" w:rsidP="00443F54">
      <w:pPr>
        <w:spacing w:line="265" w:lineRule="exact"/>
        <w:jc w:val="center"/>
        <w:rPr>
          <w:rFonts w:cs="Times New Roman"/>
          <w:color w:val="010302"/>
          <w:sz w:val="24"/>
          <w:szCs w:val="24"/>
        </w:rPr>
      </w:pPr>
      <w:r w:rsidRPr="00AB25F4">
        <w:rPr>
          <w:rFonts w:cs="Times New Roman"/>
          <w:b/>
          <w:bCs/>
          <w:color w:val="000000"/>
          <w:sz w:val="24"/>
          <w:szCs w:val="24"/>
        </w:rPr>
        <w:t>B</w:t>
      </w:r>
      <w:r w:rsidRPr="00AB25F4">
        <w:rPr>
          <w:rFonts w:cs="Times New Roman"/>
          <w:b/>
          <w:bCs/>
          <w:color w:val="000000"/>
          <w:spacing w:val="-3"/>
          <w:sz w:val="24"/>
          <w:szCs w:val="24"/>
        </w:rPr>
        <w:t>ef</w:t>
      </w:r>
      <w:r w:rsidRPr="00AB25F4">
        <w:rPr>
          <w:rFonts w:cs="Times New Roman"/>
          <w:b/>
          <w:bCs/>
          <w:color w:val="000000"/>
          <w:spacing w:val="-2"/>
          <w:sz w:val="24"/>
          <w:szCs w:val="24"/>
        </w:rPr>
        <w:t>o</w:t>
      </w:r>
      <w:r w:rsidRPr="00AB25F4">
        <w:rPr>
          <w:rFonts w:cs="Times New Roman"/>
          <w:b/>
          <w:bCs/>
          <w:color w:val="000000"/>
          <w:spacing w:val="-3"/>
          <w:sz w:val="24"/>
          <w:szCs w:val="24"/>
        </w:rPr>
        <w:t>r</w:t>
      </w:r>
      <w:r w:rsidRPr="00AB25F4">
        <w:rPr>
          <w:rFonts w:cs="Times New Roman"/>
          <w:b/>
          <w:bCs/>
          <w:color w:val="000000"/>
          <w:spacing w:val="-2"/>
          <w:sz w:val="24"/>
          <w:szCs w:val="24"/>
        </w:rPr>
        <w:t>e</w:t>
      </w:r>
      <w:r w:rsidRPr="00AB25F4">
        <w:rPr>
          <w:rFonts w:cs="Times New Roman"/>
          <w:color w:val="000000"/>
          <w:spacing w:val="-2"/>
          <w:sz w:val="24"/>
          <w:szCs w:val="24"/>
        </w:rPr>
        <w:t xml:space="preserve"> </w:t>
      </w:r>
      <w:r w:rsidRPr="00AB25F4">
        <w:rPr>
          <w:rFonts w:cs="Times New Roman"/>
          <w:color w:val="000000"/>
          <w:spacing w:val="-4"/>
          <w:sz w:val="24"/>
          <w:szCs w:val="24"/>
        </w:rPr>
        <w:t>:</w:t>
      </w:r>
    </w:p>
    <w:p w14:paraId="150683A2" w14:textId="77777777" w:rsidR="00B968CF" w:rsidRPr="00AB25F4" w:rsidRDefault="00B968CF" w:rsidP="00443F54">
      <w:pPr>
        <w:spacing w:after="1"/>
        <w:rPr>
          <w:color w:val="000000"/>
          <w:sz w:val="24"/>
          <w:szCs w:val="24"/>
        </w:rPr>
      </w:pPr>
    </w:p>
    <w:p w14:paraId="35F4A5DC" w14:textId="77777777" w:rsidR="00B968CF" w:rsidRPr="00AB25F4" w:rsidRDefault="00B968CF" w:rsidP="00443F54">
      <w:pPr>
        <w:spacing w:line="276" w:lineRule="exact"/>
        <w:jc w:val="center"/>
        <w:rPr>
          <w:rFonts w:cs="Times New Roman"/>
          <w:b/>
          <w:bCs/>
          <w:color w:val="000000"/>
          <w:spacing w:val="-3"/>
          <w:sz w:val="24"/>
          <w:szCs w:val="24"/>
          <w:u w:val="single"/>
        </w:rPr>
      </w:pPr>
      <w:r>
        <w:rPr>
          <w:rFonts w:cs="Times New Roman"/>
          <w:b/>
          <w:bCs/>
          <w:color w:val="000000"/>
          <w:spacing w:val="-3"/>
          <w:sz w:val="24"/>
          <w:szCs w:val="24"/>
          <w:u w:val="single"/>
        </w:rPr>
        <w:t>HER HONOUR JUDGE TUCKER</w:t>
      </w:r>
    </w:p>
    <w:p w14:paraId="058BB1C2" w14:textId="77777777" w:rsidR="00B968CF" w:rsidRPr="00AB25F4" w:rsidRDefault="00B968CF" w:rsidP="00443F54">
      <w:pPr>
        <w:spacing w:line="276" w:lineRule="exact"/>
        <w:jc w:val="center"/>
        <w:rPr>
          <w:rFonts w:cs="Times New Roman"/>
          <w:color w:val="010302"/>
          <w:sz w:val="24"/>
          <w:szCs w:val="24"/>
        </w:rPr>
      </w:pP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4"/>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p>
    <w:p w14:paraId="5B2F01DE" w14:textId="77777777" w:rsidR="00B968CF" w:rsidRPr="00AB25F4" w:rsidRDefault="00B968CF" w:rsidP="00443F54">
      <w:pPr>
        <w:spacing w:line="265" w:lineRule="exact"/>
        <w:jc w:val="center"/>
        <w:rPr>
          <w:rFonts w:cs="Times New Roman"/>
          <w:color w:val="010302"/>
          <w:sz w:val="24"/>
          <w:szCs w:val="24"/>
        </w:rPr>
      </w:pPr>
      <w:r w:rsidRPr="00AB25F4">
        <w:rPr>
          <w:rFonts w:cs="Times New Roman"/>
          <w:b/>
          <w:bCs/>
          <w:color w:val="000000"/>
          <w:sz w:val="24"/>
          <w:szCs w:val="24"/>
        </w:rPr>
        <w:t>B</w:t>
      </w:r>
      <w:r w:rsidRPr="00AB25F4">
        <w:rPr>
          <w:rFonts w:cs="Times New Roman"/>
          <w:b/>
          <w:bCs/>
          <w:color w:val="000000"/>
          <w:spacing w:val="-3"/>
          <w:sz w:val="24"/>
          <w:szCs w:val="24"/>
        </w:rPr>
        <w:t>et</w:t>
      </w:r>
      <w:r w:rsidRPr="00AB25F4">
        <w:rPr>
          <w:rFonts w:cs="Times New Roman"/>
          <w:b/>
          <w:bCs/>
          <w:color w:val="000000"/>
          <w:spacing w:val="-2"/>
          <w:sz w:val="24"/>
          <w:szCs w:val="24"/>
        </w:rPr>
        <w:t>w</w:t>
      </w:r>
      <w:r w:rsidRPr="00AB25F4">
        <w:rPr>
          <w:rFonts w:cs="Times New Roman"/>
          <w:b/>
          <w:bCs/>
          <w:color w:val="000000"/>
          <w:spacing w:val="-3"/>
          <w:sz w:val="24"/>
          <w:szCs w:val="24"/>
        </w:rPr>
        <w:t>ee</w:t>
      </w:r>
      <w:r w:rsidRPr="00AB25F4">
        <w:rPr>
          <w:rFonts w:cs="Times New Roman"/>
          <w:b/>
          <w:bCs/>
          <w:color w:val="000000"/>
          <w:sz w:val="24"/>
          <w:szCs w:val="24"/>
        </w:rPr>
        <w:t>n</w:t>
      </w:r>
      <w:r w:rsidRPr="00AB25F4">
        <w:rPr>
          <w:rFonts w:cs="Times New Roman"/>
          <w:b/>
          <w:bCs/>
          <w:color w:val="000000"/>
          <w:spacing w:val="-2"/>
          <w:sz w:val="24"/>
          <w:szCs w:val="24"/>
        </w:rPr>
        <w:t xml:space="preserve"> </w:t>
      </w:r>
      <w:r w:rsidRPr="00AB25F4">
        <w:rPr>
          <w:rFonts w:cs="Times New Roman"/>
          <w:b/>
          <w:bCs/>
          <w:color w:val="000000"/>
          <w:spacing w:val="-5"/>
          <w:sz w:val="24"/>
          <w:szCs w:val="24"/>
        </w:rPr>
        <w:t>:</w:t>
      </w:r>
    </w:p>
    <w:p w14:paraId="356789CD" w14:textId="77777777" w:rsidR="00B968CF" w:rsidRPr="00AB25F4" w:rsidRDefault="00B968CF" w:rsidP="00443F54">
      <w:pPr>
        <w:spacing w:after="3"/>
        <w:rPr>
          <w:color w:val="000000"/>
          <w:sz w:val="24"/>
          <w:szCs w:val="24"/>
        </w:rPr>
      </w:pPr>
    </w:p>
    <w:p w14:paraId="552AC804" w14:textId="3C553B25" w:rsidR="0049611D" w:rsidRDefault="00B968CF" w:rsidP="0049611D">
      <w:pPr>
        <w:tabs>
          <w:tab w:val="center" w:pos="4820"/>
          <w:tab w:val="right" w:pos="9639"/>
        </w:tabs>
        <w:jc w:val="center"/>
        <w:rPr>
          <w:sz w:val="24"/>
          <w:szCs w:val="24"/>
        </w:rPr>
      </w:pPr>
      <w:r>
        <w:rPr>
          <w:b/>
          <w:noProof/>
          <w:sz w:val="24"/>
          <w:szCs w:val="24"/>
        </w:rPr>
        <w:t>DR GUEORGUI KOLEV</w:t>
      </w:r>
    </w:p>
    <w:p w14:paraId="601E4361" w14:textId="5C1CBA7A" w:rsidR="00B968CF" w:rsidRPr="00AB25F4" w:rsidRDefault="00B968CF" w:rsidP="0049611D">
      <w:pPr>
        <w:tabs>
          <w:tab w:val="center" w:pos="4820"/>
          <w:tab w:val="right" w:pos="9639"/>
        </w:tabs>
        <w:jc w:val="right"/>
        <w:rPr>
          <w:sz w:val="24"/>
          <w:szCs w:val="24"/>
        </w:rPr>
      </w:pPr>
      <w:r w:rsidRPr="00AB25F4">
        <w:rPr>
          <w:b/>
          <w:noProof/>
          <w:sz w:val="24"/>
          <w:szCs w:val="24"/>
          <w:u w:val="single"/>
        </w:rPr>
        <w:t>Appellant</w:t>
      </w:r>
    </w:p>
    <w:p w14:paraId="040BCC24" w14:textId="2A1BF2DF" w:rsidR="00B968CF" w:rsidRDefault="00B968CF" w:rsidP="00443F54">
      <w:pPr>
        <w:tabs>
          <w:tab w:val="center" w:pos="4139"/>
          <w:tab w:val="right" w:pos="8222"/>
        </w:tabs>
        <w:jc w:val="center"/>
        <w:rPr>
          <w:b/>
          <w:sz w:val="24"/>
          <w:szCs w:val="24"/>
        </w:rPr>
      </w:pPr>
      <w:r w:rsidRPr="00AB25F4">
        <w:rPr>
          <w:b/>
          <w:sz w:val="24"/>
          <w:szCs w:val="24"/>
        </w:rPr>
        <w:t xml:space="preserve">- and </w:t>
      </w:r>
      <w:r w:rsidR="0049611D">
        <w:rPr>
          <w:b/>
          <w:sz w:val="24"/>
          <w:szCs w:val="24"/>
        </w:rPr>
        <w:t>–</w:t>
      </w:r>
    </w:p>
    <w:p w14:paraId="7E1EAA3A" w14:textId="77777777" w:rsidR="0049611D" w:rsidRPr="00AB25F4" w:rsidRDefault="0049611D" w:rsidP="00443F54">
      <w:pPr>
        <w:tabs>
          <w:tab w:val="center" w:pos="4139"/>
          <w:tab w:val="right" w:pos="8222"/>
        </w:tabs>
        <w:jc w:val="center"/>
        <w:rPr>
          <w:b/>
          <w:sz w:val="24"/>
          <w:szCs w:val="24"/>
        </w:rPr>
      </w:pPr>
    </w:p>
    <w:p w14:paraId="14AFE0E9" w14:textId="449BEDAC" w:rsidR="0049611D" w:rsidRDefault="00B968CF" w:rsidP="0049611D">
      <w:pPr>
        <w:tabs>
          <w:tab w:val="center" w:pos="4820"/>
          <w:tab w:val="right" w:pos="9639"/>
        </w:tabs>
        <w:jc w:val="center"/>
        <w:rPr>
          <w:sz w:val="24"/>
          <w:szCs w:val="24"/>
        </w:rPr>
      </w:pPr>
      <w:r>
        <w:rPr>
          <w:b/>
          <w:noProof/>
          <w:sz w:val="24"/>
          <w:szCs w:val="24"/>
        </w:rPr>
        <w:t>MIDDLESEX UNIVERSITY</w:t>
      </w:r>
    </w:p>
    <w:p w14:paraId="53A323C5" w14:textId="0D41142E" w:rsidR="00B968CF" w:rsidRPr="00AB25F4" w:rsidRDefault="00B968CF" w:rsidP="0049611D">
      <w:pPr>
        <w:tabs>
          <w:tab w:val="center" w:pos="4820"/>
          <w:tab w:val="right" w:pos="9639"/>
        </w:tabs>
        <w:jc w:val="right"/>
        <w:rPr>
          <w:sz w:val="24"/>
          <w:szCs w:val="24"/>
        </w:rPr>
      </w:pPr>
      <w:r w:rsidRPr="00AB25F4">
        <w:rPr>
          <w:b/>
          <w:noProof/>
          <w:sz w:val="24"/>
          <w:szCs w:val="24"/>
          <w:u w:val="single"/>
        </w:rPr>
        <w:t>Respondent</w:t>
      </w:r>
    </w:p>
    <w:p w14:paraId="34A01A3A" w14:textId="77777777" w:rsidR="00B968CF" w:rsidRPr="00AB25F4" w:rsidRDefault="00B968CF" w:rsidP="00443F54">
      <w:pPr>
        <w:spacing w:after="3"/>
        <w:rPr>
          <w:color w:val="000000"/>
          <w:sz w:val="24"/>
          <w:szCs w:val="24"/>
        </w:rPr>
      </w:pPr>
    </w:p>
    <w:p w14:paraId="7D1AFEDB" w14:textId="77777777" w:rsidR="00B968CF" w:rsidRPr="00AB25F4" w:rsidRDefault="00B968CF" w:rsidP="00443F54">
      <w:pPr>
        <w:spacing w:line="276" w:lineRule="exact"/>
        <w:jc w:val="center"/>
        <w:rPr>
          <w:rFonts w:cs="Times New Roman"/>
          <w:color w:val="010302"/>
          <w:sz w:val="24"/>
          <w:szCs w:val="24"/>
        </w:rPr>
      </w:pP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4"/>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p>
    <w:p w14:paraId="0FB004F5" w14:textId="77777777" w:rsidR="00B968CF" w:rsidRPr="00AB25F4" w:rsidRDefault="00B968CF" w:rsidP="00443F54">
      <w:pPr>
        <w:spacing w:line="276" w:lineRule="exact"/>
        <w:jc w:val="center"/>
        <w:rPr>
          <w:rFonts w:cs="Times New Roman"/>
          <w:color w:val="010302"/>
          <w:sz w:val="24"/>
          <w:szCs w:val="24"/>
        </w:rPr>
      </w:pP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4"/>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p>
    <w:p w14:paraId="6EBAE5F8" w14:textId="77777777" w:rsidR="00B968CF" w:rsidRPr="00AB25F4" w:rsidRDefault="00B968CF" w:rsidP="00443F54">
      <w:pPr>
        <w:spacing w:after="3"/>
        <w:rPr>
          <w:color w:val="000000"/>
          <w:sz w:val="24"/>
          <w:szCs w:val="24"/>
        </w:rPr>
      </w:pPr>
    </w:p>
    <w:p w14:paraId="1315596D" w14:textId="77777777" w:rsidR="00B968CF" w:rsidRPr="00AB25F4" w:rsidRDefault="00B968CF" w:rsidP="00443F54">
      <w:pPr>
        <w:spacing w:line="275" w:lineRule="exact"/>
        <w:ind w:hanging="7"/>
        <w:jc w:val="center"/>
        <w:rPr>
          <w:rFonts w:cs="Times New Roman"/>
          <w:b/>
          <w:bCs/>
          <w:color w:val="000000"/>
          <w:sz w:val="24"/>
          <w:szCs w:val="24"/>
        </w:rPr>
      </w:pPr>
      <w:r>
        <w:rPr>
          <w:rFonts w:cs="Times New Roman"/>
          <w:b/>
          <w:bCs/>
          <w:color w:val="000000"/>
          <w:spacing w:val="-3"/>
          <w:sz w:val="24"/>
          <w:szCs w:val="24"/>
        </w:rPr>
        <w:t xml:space="preserve">Mr Laith </w:t>
      </w:r>
      <w:proofErr w:type="spellStart"/>
      <w:r>
        <w:rPr>
          <w:rFonts w:cs="Times New Roman"/>
          <w:b/>
          <w:bCs/>
          <w:color w:val="000000"/>
          <w:spacing w:val="-3"/>
          <w:sz w:val="24"/>
          <w:szCs w:val="24"/>
        </w:rPr>
        <w:t>Dilaimi</w:t>
      </w:r>
      <w:proofErr w:type="spellEnd"/>
      <w:r>
        <w:rPr>
          <w:rFonts w:cs="Times New Roman"/>
          <w:b/>
          <w:bCs/>
          <w:color w:val="000000"/>
          <w:spacing w:val="-3"/>
          <w:sz w:val="24"/>
          <w:szCs w:val="24"/>
        </w:rPr>
        <w:t xml:space="preserve"> </w:t>
      </w:r>
      <w:r w:rsidRPr="00AB25F4">
        <w:rPr>
          <w:rFonts w:cs="Times New Roman"/>
          <w:color w:val="000000"/>
          <w:spacing w:val="-5"/>
          <w:sz w:val="24"/>
          <w:szCs w:val="24"/>
        </w:rPr>
        <w:t>(</w:t>
      </w:r>
      <w:r w:rsidRPr="00AB25F4">
        <w:rPr>
          <w:rFonts w:cs="Times New Roman"/>
          <w:color w:val="000000"/>
          <w:sz w:val="24"/>
          <w:szCs w:val="24"/>
        </w:rPr>
        <w:t>i</w:t>
      </w:r>
      <w:r w:rsidRPr="00AB25F4">
        <w:rPr>
          <w:rFonts w:cs="Times New Roman"/>
          <w:color w:val="000000"/>
          <w:spacing w:val="-2"/>
          <w:sz w:val="24"/>
          <w:szCs w:val="24"/>
        </w:rPr>
        <w:t>n</w:t>
      </w:r>
      <w:r w:rsidRPr="00AB25F4">
        <w:rPr>
          <w:rFonts w:cs="Times New Roman"/>
          <w:color w:val="000000"/>
          <w:spacing w:val="-4"/>
          <w:sz w:val="24"/>
          <w:szCs w:val="24"/>
        </w:rPr>
        <w:t>s</w:t>
      </w:r>
      <w:r w:rsidRPr="00AB25F4">
        <w:rPr>
          <w:rFonts w:cs="Times New Roman"/>
          <w:color w:val="000000"/>
          <w:sz w:val="24"/>
          <w:szCs w:val="24"/>
        </w:rPr>
        <w:t>t</w:t>
      </w:r>
      <w:r w:rsidRPr="00AB25F4">
        <w:rPr>
          <w:rFonts w:cs="Times New Roman"/>
          <w:color w:val="000000"/>
          <w:spacing w:val="-3"/>
          <w:sz w:val="24"/>
          <w:szCs w:val="24"/>
        </w:rPr>
        <w:t>r</w:t>
      </w:r>
      <w:r w:rsidRPr="00AB25F4">
        <w:rPr>
          <w:rFonts w:cs="Times New Roman"/>
          <w:color w:val="000000"/>
          <w:spacing w:val="-2"/>
          <w:sz w:val="24"/>
          <w:szCs w:val="24"/>
        </w:rPr>
        <w:t>u</w:t>
      </w:r>
      <w:r w:rsidRPr="00AB25F4">
        <w:rPr>
          <w:rFonts w:cs="Times New Roman"/>
          <w:color w:val="000000"/>
          <w:spacing w:val="-3"/>
          <w:sz w:val="24"/>
          <w:szCs w:val="24"/>
        </w:rPr>
        <w:t>c</w:t>
      </w:r>
      <w:r w:rsidRPr="00AB25F4">
        <w:rPr>
          <w:rFonts w:cs="Times New Roman"/>
          <w:color w:val="000000"/>
          <w:spacing w:val="-4"/>
          <w:sz w:val="24"/>
          <w:szCs w:val="24"/>
        </w:rPr>
        <w:t>t</w:t>
      </w:r>
      <w:r w:rsidRPr="00AB25F4">
        <w:rPr>
          <w:rFonts w:cs="Times New Roman"/>
          <w:color w:val="000000"/>
          <w:spacing w:val="-3"/>
          <w:sz w:val="24"/>
          <w:szCs w:val="24"/>
        </w:rPr>
        <w:t>e</w:t>
      </w:r>
      <w:r w:rsidRPr="00AB25F4">
        <w:rPr>
          <w:rFonts w:cs="Times New Roman"/>
          <w:color w:val="000000"/>
          <w:spacing w:val="-2"/>
          <w:sz w:val="24"/>
          <w:szCs w:val="24"/>
        </w:rPr>
        <w:t>d by</w:t>
      </w:r>
      <w:r w:rsidRPr="00AB25F4">
        <w:rPr>
          <w:rFonts w:cs="Times New Roman"/>
          <w:bCs/>
          <w:color w:val="000000"/>
          <w:spacing w:val="-2"/>
          <w:sz w:val="24"/>
          <w:szCs w:val="24"/>
        </w:rPr>
        <w:t xml:space="preserve"> </w:t>
      </w:r>
      <w:r>
        <w:rPr>
          <w:rFonts w:cs="Times New Roman"/>
          <w:bCs/>
          <w:color w:val="000000"/>
          <w:spacing w:val="-2"/>
          <w:sz w:val="24"/>
          <w:szCs w:val="24"/>
        </w:rPr>
        <w:t>Advocate</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f</w:t>
      </w:r>
      <w:r w:rsidRPr="00AB25F4">
        <w:rPr>
          <w:rFonts w:cs="Times New Roman"/>
          <w:color w:val="000000"/>
          <w:spacing w:val="-2"/>
          <w:sz w:val="24"/>
          <w:szCs w:val="24"/>
        </w:rPr>
        <w:t>o</w:t>
      </w:r>
      <w:r w:rsidRPr="00AB25F4">
        <w:rPr>
          <w:rFonts w:cs="Times New Roman"/>
          <w:color w:val="000000"/>
          <w:spacing w:val="-3"/>
          <w:sz w:val="24"/>
          <w:szCs w:val="24"/>
        </w:rPr>
        <w:t>r</w:t>
      </w:r>
      <w:r w:rsidRPr="00AB25F4">
        <w:rPr>
          <w:rFonts w:cs="Times New Roman"/>
          <w:color w:val="000000"/>
          <w:spacing w:val="-2"/>
          <w:sz w:val="24"/>
          <w:szCs w:val="24"/>
        </w:rPr>
        <w:t xml:space="preserve"> </w:t>
      </w:r>
      <w:r w:rsidRPr="00AB25F4">
        <w:rPr>
          <w:rFonts w:cs="Times New Roman"/>
          <w:color w:val="000000"/>
          <w:spacing w:val="-4"/>
          <w:sz w:val="24"/>
          <w:szCs w:val="24"/>
        </w:rPr>
        <w:t>t</w:t>
      </w:r>
      <w:r w:rsidRPr="00AB25F4">
        <w:rPr>
          <w:rFonts w:cs="Times New Roman"/>
          <w:color w:val="000000"/>
          <w:spacing w:val="-2"/>
          <w:sz w:val="24"/>
          <w:szCs w:val="24"/>
        </w:rPr>
        <w:t>h</w:t>
      </w:r>
      <w:r w:rsidRPr="00AB25F4">
        <w:rPr>
          <w:rFonts w:cs="Times New Roman"/>
          <w:color w:val="000000"/>
          <w:spacing w:val="-3"/>
          <w:sz w:val="24"/>
          <w:szCs w:val="24"/>
        </w:rPr>
        <w:t>e</w:t>
      </w:r>
      <w:r w:rsidRPr="00AB25F4">
        <w:rPr>
          <w:rFonts w:cs="Times New Roman"/>
          <w:color w:val="000000"/>
          <w:spacing w:val="-2"/>
          <w:sz w:val="24"/>
          <w:szCs w:val="24"/>
        </w:rPr>
        <w:t xml:space="preserve"> </w:t>
      </w:r>
      <w:r w:rsidRPr="00AB25F4">
        <w:rPr>
          <w:rFonts w:cs="Times New Roman"/>
          <w:b/>
          <w:bCs/>
          <w:color w:val="000000"/>
          <w:spacing w:val="-2"/>
          <w:sz w:val="24"/>
          <w:szCs w:val="24"/>
        </w:rPr>
        <w:t>A</w:t>
      </w:r>
      <w:r w:rsidRPr="00AB25F4">
        <w:rPr>
          <w:rFonts w:cs="Times New Roman"/>
          <w:b/>
          <w:bCs/>
          <w:color w:val="000000"/>
          <w:spacing w:val="-3"/>
          <w:sz w:val="24"/>
          <w:szCs w:val="24"/>
        </w:rPr>
        <w:t>ppe</w:t>
      </w:r>
      <w:r w:rsidRPr="00AB25F4">
        <w:rPr>
          <w:rFonts w:cs="Times New Roman"/>
          <w:b/>
          <w:bCs/>
          <w:color w:val="000000"/>
          <w:sz w:val="24"/>
          <w:szCs w:val="24"/>
        </w:rPr>
        <w:t>ll</w:t>
      </w:r>
      <w:r w:rsidRPr="00AB25F4">
        <w:rPr>
          <w:rFonts w:cs="Times New Roman"/>
          <w:b/>
          <w:bCs/>
          <w:color w:val="000000"/>
          <w:spacing w:val="-4"/>
          <w:sz w:val="24"/>
          <w:szCs w:val="24"/>
        </w:rPr>
        <w:t>a</w:t>
      </w:r>
      <w:r w:rsidRPr="00AB25F4">
        <w:rPr>
          <w:rFonts w:cs="Times New Roman"/>
          <w:b/>
          <w:bCs/>
          <w:color w:val="000000"/>
          <w:sz w:val="24"/>
          <w:szCs w:val="24"/>
        </w:rPr>
        <w:t>n</w:t>
      </w:r>
      <w:r w:rsidRPr="00AB25F4">
        <w:rPr>
          <w:rFonts w:cs="Times New Roman"/>
          <w:b/>
          <w:bCs/>
          <w:color w:val="000000"/>
          <w:spacing w:val="-4"/>
          <w:sz w:val="24"/>
          <w:szCs w:val="24"/>
        </w:rPr>
        <w:t>t</w:t>
      </w:r>
    </w:p>
    <w:p w14:paraId="351467AA" w14:textId="14DA148A" w:rsidR="00B968CF" w:rsidRPr="00AB25F4" w:rsidRDefault="00B968CF" w:rsidP="00443F54">
      <w:pPr>
        <w:tabs>
          <w:tab w:val="left" w:pos="9639"/>
        </w:tabs>
        <w:spacing w:line="275" w:lineRule="exact"/>
        <w:ind w:hanging="7"/>
        <w:jc w:val="center"/>
        <w:rPr>
          <w:rFonts w:cs="Times New Roman"/>
          <w:color w:val="010302"/>
          <w:sz w:val="24"/>
          <w:szCs w:val="24"/>
        </w:rPr>
      </w:pPr>
      <w:r>
        <w:rPr>
          <w:rFonts w:cs="Times New Roman"/>
          <w:b/>
          <w:bCs/>
          <w:color w:val="000000"/>
          <w:spacing w:val="-2"/>
          <w:sz w:val="24"/>
          <w:szCs w:val="24"/>
        </w:rPr>
        <w:t xml:space="preserve">Mr Shane </w:t>
      </w:r>
      <w:r w:rsidR="00C32274">
        <w:rPr>
          <w:rFonts w:cs="Times New Roman"/>
          <w:b/>
          <w:bCs/>
          <w:color w:val="000000"/>
          <w:spacing w:val="-2"/>
          <w:sz w:val="24"/>
          <w:szCs w:val="24"/>
        </w:rPr>
        <w:t xml:space="preserve">Crawford </w:t>
      </w:r>
      <w:r w:rsidR="00C32274" w:rsidRPr="00AB25F4">
        <w:rPr>
          <w:rFonts w:cs="Times New Roman"/>
          <w:b/>
          <w:bCs/>
          <w:color w:val="000000"/>
          <w:spacing w:val="-2"/>
          <w:sz w:val="24"/>
          <w:szCs w:val="24"/>
        </w:rPr>
        <w:t>(</w:t>
      </w:r>
      <w:r w:rsidRPr="00AB25F4">
        <w:rPr>
          <w:rFonts w:cs="Times New Roman"/>
          <w:color w:val="000000"/>
          <w:sz w:val="24"/>
          <w:szCs w:val="24"/>
        </w:rPr>
        <w:t>i</w:t>
      </w:r>
      <w:r w:rsidRPr="00AB25F4">
        <w:rPr>
          <w:rFonts w:cs="Times New Roman"/>
          <w:color w:val="000000"/>
          <w:spacing w:val="-4"/>
          <w:sz w:val="24"/>
          <w:szCs w:val="24"/>
        </w:rPr>
        <w:t>n</w:t>
      </w:r>
      <w:r w:rsidRPr="00AB25F4">
        <w:rPr>
          <w:rFonts w:cs="Times New Roman"/>
          <w:color w:val="000000"/>
          <w:spacing w:val="-2"/>
          <w:sz w:val="24"/>
          <w:szCs w:val="24"/>
        </w:rPr>
        <w:t>s</w:t>
      </w:r>
      <w:r w:rsidRPr="00AB25F4">
        <w:rPr>
          <w:rFonts w:cs="Times New Roman"/>
          <w:color w:val="000000"/>
          <w:sz w:val="24"/>
          <w:szCs w:val="24"/>
        </w:rPr>
        <w:t>t</w:t>
      </w:r>
      <w:r w:rsidRPr="00AB25F4">
        <w:rPr>
          <w:rFonts w:cs="Times New Roman"/>
          <w:color w:val="000000"/>
          <w:spacing w:val="-3"/>
          <w:sz w:val="24"/>
          <w:szCs w:val="24"/>
        </w:rPr>
        <w:t>r</w:t>
      </w:r>
      <w:r w:rsidRPr="00AB25F4">
        <w:rPr>
          <w:rFonts w:cs="Times New Roman"/>
          <w:color w:val="000000"/>
          <w:spacing w:val="-2"/>
          <w:sz w:val="24"/>
          <w:szCs w:val="24"/>
        </w:rPr>
        <w:t>u</w:t>
      </w:r>
      <w:r w:rsidRPr="00AB25F4">
        <w:rPr>
          <w:rFonts w:cs="Times New Roman"/>
          <w:color w:val="000000"/>
          <w:spacing w:val="-5"/>
          <w:sz w:val="24"/>
          <w:szCs w:val="24"/>
        </w:rPr>
        <w:t>c</w:t>
      </w:r>
      <w:r w:rsidRPr="00AB25F4">
        <w:rPr>
          <w:rFonts w:cs="Times New Roman"/>
          <w:color w:val="000000"/>
          <w:sz w:val="24"/>
          <w:szCs w:val="24"/>
        </w:rPr>
        <w:t>t</w:t>
      </w:r>
      <w:r w:rsidRPr="00AB25F4">
        <w:rPr>
          <w:rFonts w:cs="Times New Roman"/>
          <w:color w:val="000000"/>
          <w:spacing w:val="-3"/>
          <w:sz w:val="24"/>
          <w:szCs w:val="24"/>
        </w:rPr>
        <w:t>e</w:t>
      </w:r>
      <w:r w:rsidRPr="00AB25F4">
        <w:rPr>
          <w:rFonts w:cs="Times New Roman"/>
          <w:color w:val="000000"/>
          <w:spacing w:val="-4"/>
          <w:sz w:val="24"/>
          <w:szCs w:val="24"/>
        </w:rPr>
        <w:t>d</w:t>
      </w:r>
      <w:r w:rsidRPr="00AB25F4">
        <w:rPr>
          <w:rFonts w:cs="Times New Roman"/>
          <w:color w:val="000000"/>
          <w:spacing w:val="-2"/>
          <w:sz w:val="24"/>
          <w:szCs w:val="24"/>
        </w:rPr>
        <w:t xml:space="preserve"> by</w:t>
      </w:r>
      <w:r w:rsidRPr="00AB25F4">
        <w:rPr>
          <w:rFonts w:cs="Times New Roman"/>
          <w:color w:val="000000"/>
          <w:sz w:val="24"/>
          <w:szCs w:val="24"/>
        </w:rPr>
        <w:t xml:space="preserve"> </w:t>
      </w:r>
      <w:r>
        <w:rPr>
          <w:rFonts w:cs="Times New Roman"/>
          <w:color w:val="000000"/>
          <w:sz w:val="24"/>
          <w:szCs w:val="24"/>
        </w:rPr>
        <w:t>SA Law LLP</w:t>
      </w:r>
      <w:r w:rsidR="00C32274">
        <w:rPr>
          <w:rFonts w:cs="Times New Roman"/>
          <w:color w:val="000000"/>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f</w:t>
      </w:r>
      <w:r w:rsidRPr="00AB25F4">
        <w:rPr>
          <w:rFonts w:cs="Times New Roman"/>
          <w:color w:val="000000"/>
          <w:spacing w:val="-2"/>
          <w:sz w:val="24"/>
          <w:szCs w:val="24"/>
        </w:rPr>
        <w:t>o</w:t>
      </w:r>
      <w:r w:rsidRPr="00AB25F4">
        <w:rPr>
          <w:rFonts w:cs="Times New Roman"/>
          <w:color w:val="000000"/>
          <w:spacing w:val="-3"/>
          <w:sz w:val="24"/>
          <w:szCs w:val="24"/>
        </w:rPr>
        <w:t>r</w:t>
      </w:r>
      <w:r w:rsidRPr="00AB25F4">
        <w:rPr>
          <w:rFonts w:cs="Times New Roman"/>
          <w:color w:val="000000"/>
          <w:spacing w:val="-2"/>
          <w:sz w:val="24"/>
          <w:szCs w:val="24"/>
        </w:rPr>
        <w:t xml:space="preserve"> </w:t>
      </w:r>
      <w:r w:rsidRPr="00AB25F4">
        <w:rPr>
          <w:rFonts w:cs="Times New Roman"/>
          <w:color w:val="000000"/>
          <w:sz w:val="24"/>
          <w:szCs w:val="24"/>
        </w:rPr>
        <w:t>t</w:t>
      </w:r>
      <w:r w:rsidRPr="00AB25F4">
        <w:rPr>
          <w:rFonts w:cs="Times New Roman"/>
          <w:color w:val="000000"/>
          <w:spacing w:val="-2"/>
          <w:sz w:val="24"/>
          <w:szCs w:val="24"/>
        </w:rPr>
        <w:t>h</w:t>
      </w:r>
      <w:r w:rsidRPr="00AB25F4">
        <w:rPr>
          <w:rFonts w:cs="Times New Roman"/>
          <w:color w:val="000000"/>
          <w:spacing w:val="-5"/>
          <w:sz w:val="24"/>
          <w:szCs w:val="24"/>
        </w:rPr>
        <w:t>e</w:t>
      </w:r>
      <w:r w:rsidRPr="00AB25F4">
        <w:rPr>
          <w:rFonts w:cs="Times New Roman"/>
          <w:color w:val="000000"/>
          <w:spacing w:val="-2"/>
          <w:sz w:val="24"/>
          <w:szCs w:val="24"/>
        </w:rPr>
        <w:t xml:space="preserve"> </w:t>
      </w:r>
      <w:r w:rsidRPr="00AB25F4">
        <w:rPr>
          <w:rFonts w:cs="Times New Roman"/>
          <w:b/>
          <w:bCs/>
          <w:color w:val="000000"/>
          <w:spacing w:val="-2"/>
          <w:sz w:val="24"/>
          <w:szCs w:val="24"/>
        </w:rPr>
        <w:t>R</w:t>
      </w:r>
      <w:r w:rsidRPr="00AB25F4">
        <w:rPr>
          <w:rFonts w:cs="Times New Roman"/>
          <w:b/>
          <w:bCs/>
          <w:color w:val="000000"/>
          <w:spacing w:val="-3"/>
          <w:sz w:val="24"/>
          <w:szCs w:val="24"/>
        </w:rPr>
        <w:t>e</w:t>
      </w:r>
      <w:r w:rsidRPr="00AB25F4">
        <w:rPr>
          <w:rFonts w:cs="Times New Roman"/>
          <w:b/>
          <w:bCs/>
          <w:color w:val="000000"/>
          <w:spacing w:val="-2"/>
          <w:sz w:val="24"/>
          <w:szCs w:val="24"/>
        </w:rPr>
        <w:t>s</w:t>
      </w:r>
      <w:r w:rsidRPr="00AB25F4">
        <w:rPr>
          <w:rFonts w:cs="Times New Roman"/>
          <w:b/>
          <w:bCs/>
          <w:color w:val="000000"/>
          <w:spacing w:val="-3"/>
          <w:sz w:val="24"/>
          <w:szCs w:val="24"/>
        </w:rPr>
        <w:t>p</w:t>
      </w:r>
      <w:r w:rsidRPr="00AB25F4">
        <w:rPr>
          <w:rFonts w:cs="Times New Roman"/>
          <w:b/>
          <w:bCs/>
          <w:color w:val="000000"/>
          <w:spacing w:val="-4"/>
          <w:sz w:val="24"/>
          <w:szCs w:val="24"/>
        </w:rPr>
        <w:t>o</w:t>
      </w:r>
      <w:r w:rsidRPr="00AB25F4">
        <w:rPr>
          <w:rFonts w:cs="Times New Roman"/>
          <w:b/>
          <w:bCs/>
          <w:color w:val="000000"/>
          <w:sz w:val="24"/>
          <w:szCs w:val="24"/>
        </w:rPr>
        <w:t>nd</w:t>
      </w:r>
      <w:r w:rsidRPr="00AB25F4">
        <w:rPr>
          <w:rFonts w:cs="Times New Roman"/>
          <w:b/>
          <w:bCs/>
          <w:color w:val="000000"/>
          <w:spacing w:val="-5"/>
          <w:sz w:val="24"/>
          <w:szCs w:val="24"/>
        </w:rPr>
        <w:t>e</w:t>
      </w:r>
      <w:r w:rsidRPr="00AB25F4">
        <w:rPr>
          <w:rFonts w:cs="Times New Roman"/>
          <w:b/>
          <w:bCs/>
          <w:color w:val="000000"/>
          <w:sz w:val="24"/>
          <w:szCs w:val="24"/>
        </w:rPr>
        <w:t>n</w:t>
      </w:r>
      <w:r w:rsidRPr="00AB25F4">
        <w:rPr>
          <w:rFonts w:cs="Times New Roman"/>
          <w:b/>
          <w:bCs/>
          <w:color w:val="000000"/>
          <w:spacing w:val="-4"/>
          <w:sz w:val="24"/>
          <w:szCs w:val="24"/>
        </w:rPr>
        <w:t>t</w:t>
      </w:r>
    </w:p>
    <w:p w14:paraId="6AD9C005" w14:textId="77777777" w:rsidR="00B968CF" w:rsidRPr="00AB25F4" w:rsidRDefault="00B968CF" w:rsidP="00443F54">
      <w:pPr>
        <w:spacing w:after="3"/>
        <w:rPr>
          <w:color w:val="000000"/>
          <w:sz w:val="24"/>
          <w:szCs w:val="24"/>
        </w:rPr>
      </w:pPr>
    </w:p>
    <w:p w14:paraId="794417A3" w14:textId="77777777" w:rsidR="006C5797" w:rsidRDefault="006C5797" w:rsidP="00443F54">
      <w:pPr>
        <w:spacing w:line="275" w:lineRule="exact"/>
        <w:jc w:val="center"/>
        <w:rPr>
          <w:rFonts w:cs="Times New Roman"/>
          <w:color w:val="000000"/>
          <w:spacing w:val="-2"/>
          <w:sz w:val="24"/>
          <w:szCs w:val="24"/>
        </w:rPr>
      </w:pPr>
    </w:p>
    <w:p w14:paraId="5CE30400" w14:textId="4C616032" w:rsidR="00B968CF" w:rsidRPr="00AB25F4" w:rsidRDefault="00B968CF" w:rsidP="00443F54">
      <w:pPr>
        <w:spacing w:line="275" w:lineRule="exact"/>
        <w:jc w:val="center"/>
        <w:rPr>
          <w:rFonts w:cs="Times New Roman"/>
          <w:color w:val="000000"/>
          <w:spacing w:val="-2"/>
          <w:sz w:val="24"/>
          <w:szCs w:val="24"/>
        </w:rPr>
      </w:pPr>
      <w:r w:rsidRPr="00AB25F4">
        <w:rPr>
          <w:rFonts w:cs="Times New Roman"/>
          <w:color w:val="000000"/>
          <w:spacing w:val="-2"/>
          <w:sz w:val="24"/>
          <w:szCs w:val="24"/>
        </w:rPr>
        <w:t>H</w:t>
      </w:r>
      <w:r w:rsidRPr="00AB25F4">
        <w:rPr>
          <w:rFonts w:cs="Times New Roman"/>
          <w:color w:val="000000"/>
          <w:spacing w:val="-3"/>
          <w:sz w:val="24"/>
          <w:szCs w:val="24"/>
        </w:rPr>
        <w:t>ear</w:t>
      </w:r>
      <w:r w:rsidRPr="00AB25F4">
        <w:rPr>
          <w:rFonts w:cs="Times New Roman"/>
          <w:color w:val="000000"/>
          <w:sz w:val="24"/>
          <w:szCs w:val="24"/>
        </w:rPr>
        <w:t>i</w:t>
      </w:r>
      <w:r w:rsidRPr="00AB25F4">
        <w:rPr>
          <w:rFonts w:cs="Times New Roman"/>
          <w:color w:val="000000"/>
          <w:spacing w:val="-2"/>
          <w:sz w:val="24"/>
          <w:szCs w:val="24"/>
        </w:rPr>
        <w:t>ng d</w:t>
      </w:r>
      <w:r w:rsidRPr="00AB25F4">
        <w:rPr>
          <w:rFonts w:cs="Times New Roman"/>
          <w:color w:val="000000"/>
          <w:spacing w:val="-3"/>
          <w:sz w:val="24"/>
          <w:szCs w:val="24"/>
        </w:rPr>
        <w:t>a</w:t>
      </w:r>
      <w:r w:rsidRPr="00AB25F4">
        <w:rPr>
          <w:rFonts w:cs="Times New Roman"/>
          <w:color w:val="000000"/>
          <w:sz w:val="24"/>
          <w:szCs w:val="24"/>
        </w:rPr>
        <w:t>t</w:t>
      </w:r>
      <w:r w:rsidRPr="00AB25F4">
        <w:rPr>
          <w:rFonts w:cs="Times New Roman"/>
          <w:color w:val="000000"/>
          <w:spacing w:val="-5"/>
          <w:sz w:val="24"/>
          <w:szCs w:val="24"/>
        </w:rPr>
        <w:t>e</w:t>
      </w:r>
      <w:r w:rsidRPr="00AB25F4">
        <w:rPr>
          <w:rFonts w:cs="Times New Roman"/>
          <w:color w:val="000000"/>
          <w:sz w:val="24"/>
          <w:szCs w:val="24"/>
        </w:rPr>
        <w:t>:</w:t>
      </w:r>
      <w:r>
        <w:rPr>
          <w:rFonts w:cs="Times New Roman"/>
          <w:color w:val="000000"/>
          <w:spacing w:val="-4"/>
          <w:sz w:val="24"/>
          <w:szCs w:val="24"/>
        </w:rPr>
        <w:t xml:space="preserve"> </w:t>
      </w:r>
      <w:r w:rsidR="006C5797">
        <w:rPr>
          <w:rFonts w:cs="Times New Roman"/>
          <w:color w:val="000000"/>
          <w:spacing w:val="-4"/>
          <w:sz w:val="24"/>
          <w:szCs w:val="24"/>
        </w:rPr>
        <w:t>14</w:t>
      </w:r>
      <w:r>
        <w:rPr>
          <w:rFonts w:cs="Times New Roman"/>
          <w:color w:val="000000"/>
          <w:spacing w:val="-4"/>
          <w:sz w:val="24"/>
          <w:szCs w:val="24"/>
        </w:rPr>
        <w:t xml:space="preserve"> </w:t>
      </w:r>
      <w:r w:rsidR="006C5797">
        <w:rPr>
          <w:rFonts w:cs="Times New Roman"/>
          <w:color w:val="000000"/>
          <w:spacing w:val="-4"/>
          <w:sz w:val="24"/>
          <w:szCs w:val="24"/>
        </w:rPr>
        <w:t>November</w:t>
      </w:r>
      <w:r>
        <w:rPr>
          <w:rFonts w:cs="Times New Roman"/>
          <w:color w:val="000000"/>
          <w:spacing w:val="-4"/>
          <w:sz w:val="24"/>
          <w:szCs w:val="24"/>
        </w:rPr>
        <w:t xml:space="preserve"> 202</w:t>
      </w:r>
      <w:r w:rsidR="006C5797">
        <w:rPr>
          <w:rFonts w:cs="Times New Roman"/>
          <w:color w:val="000000"/>
          <w:spacing w:val="-4"/>
          <w:sz w:val="24"/>
          <w:szCs w:val="24"/>
        </w:rPr>
        <w:t>3</w:t>
      </w:r>
    </w:p>
    <w:p w14:paraId="0C1D5051" w14:textId="77777777" w:rsidR="00B968CF" w:rsidRPr="00AB25F4" w:rsidRDefault="00B968CF" w:rsidP="00443F54">
      <w:pPr>
        <w:spacing w:line="275" w:lineRule="exact"/>
        <w:jc w:val="center"/>
        <w:rPr>
          <w:rFonts w:cs="Times New Roman"/>
          <w:color w:val="010302"/>
          <w:sz w:val="24"/>
          <w:szCs w:val="24"/>
        </w:rPr>
      </w:pP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5"/>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4"/>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r w:rsidRPr="00AB25F4">
        <w:rPr>
          <w:rFonts w:cs="Times New Roman"/>
          <w:color w:val="000000"/>
          <w:spacing w:val="-2"/>
          <w:sz w:val="24"/>
          <w:szCs w:val="24"/>
        </w:rPr>
        <w:t xml:space="preserve"> </w:t>
      </w:r>
      <w:r w:rsidRPr="00AB25F4">
        <w:rPr>
          <w:rFonts w:cs="Times New Roman"/>
          <w:color w:val="000000"/>
          <w:spacing w:val="-3"/>
          <w:sz w:val="24"/>
          <w:szCs w:val="24"/>
        </w:rPr>
        <w:t>-</w:t>
      </w:r>
    </w:p>
    <w:p w14:paraId="5B9EDE82" w14:textId="683D90DC" w:rsidR="00B968CF" w:rsidRDefault="00B968CF" w:rsidP="00443F54">
      <w:pPr>
        <w:spacing w:line="398" w:lineRule="exact"/>
        <w:jc w:val="center"/>
        <w:rPr>
          <w:rFonts w:cs="Times New Roman"/>
          <w:color w:val="010302"/>
        </w:rPr>
      </w:pPr>
      <w:r>
        <w:rPr>
          <w:rFonts w:cs="Times New Roman"/>
          <w:b/>
          <w:bCs/>
          <w:color w:val="000000"/>
          <w:sz w:val="36"/>
          <w:szCs w:val="36"/>
        </w:rPr>
        <w:t>JUDGMENT</w:t>
      </w:r>
    </w:p>
    <w:p w14:paraId="78CB0C12" w14:textId="77777777" w:rsidR="00B968CF" w:rsidRDefault="00B968CF" w:rsidP="00443F54">
      <w:pPr>
        <w:spacing w:after="37"/>
        <w:rPr>
          <w:color w:val="000000"/>
          <w:sz w:val="24"/>
          <w:szCs w:val="24"/>
        </w:rPr>
      </w:pPr>
    </w:p>
    <w:p w14:paraId="209B0F7E" w14:textId="77777777" w:rsidR="00B968CF" w:rsidRDefault="00B968CF" w:rsidP="00443F54">
      <w:pPr>
        <w:spacing w:after="37"/>
        <w:rPr>
          <w:color w:val="000000"/>
          <w:sz w:val="24"/>
          <w:szCs w:val="24"/>
        </w:rPr>
      </w:pPr>
    </w:p>
    <w:p w14:paraId="77AE1F79" w14:textId="77777777" w:rsidR="00B968CF" w:rsidRDefault="00B968CF" w:rsidP="00443F54">
      <w:pPr>
        <w:spacing w:after="37"/>
        <w:rPr>
          <w:color w:val="000000"/>
          <w:sz w:val="24"/>
          <w:szCs w:val="24"/>
        </w:rPr>
      </w:pPr>
    </w:p>
    <w:p w14:paraId="6DFA68D4" w14:textId="77777777" w:rsidR="00B968CF" w:rsidRPr="00DE6D00" w:rsidRDefault="00B968CF" w:rsidP="00DE6D00">
      <w:pPr>
        <w:spacing w:after="37"/>
        <w:rPr>
          <w:color w:val="000000"/>
          <w:sz w:val="24"/>
          <w:szCs w:val="24"/>
        </w:rPr>
      </w:pPr>
    </w:p>
    <w:p w14:paraId="3A94813B" w14:textId="77777777" w:rsidR="00B968CF" w:rsidRDefault="00B968CF" w:rsidP="00F371D5">
      <w:pPr>
        <w:spacing w:line="480" w:lineRule="auto"/>
        <w:contextualSpacing/>
        <w:jc w:val="both"/>
        <w:rPr>
          <w:color w:val="000000"/>
          <w:sz w:val="24"/>
          <w:szCs w:val="24"/>
        </w:rPr>
      </w:pPr>
    </w:p>
    <w:p w14:paraId="07480027" w14:textId="77777777" w:rsidR="00826E66" w:rsidRPr="009134CB" w:rsidRDefault="00B968CF" w:rsidP="00826E66">
      <w:pPr>
        <w:spacing w:line="480" w:lineRule="auto"/>
        <w:contextualSpacing/>
        <w:jc w:val="both"/>
        <w:rPr>
          <w:rFonts w:cs="Times New Roman"/>
          <w:color w:val="010302"/>
          <w:u w:val="single"/>
        </w:rPr>
      </w:pPr>
      <w:r>
        <w:rPr>
          <w:color w:val="000000"/>
          <w:sz w:val="24"/>
          <w:szCs w:val="24"/>
        </w:rPr>
        <w:br w:type="page"/>
      </w:r>
      <w:r w:rsidR="00826E66" w:rsidRPr="009134CB">
        <w:rPr>
          <w:rFonts w:cs="Times New Roman"/>
          <w:b/>
          <w:bCs/>
          <w:color w:val="000000"/>
          <w:sz w:val="24"/>
          <w:szCs w:val="24"/>
          <w:u w:val="single"/>
        </w:rPr>
        <w:lastRenderedPageBreak/>
        <w:t>SUMMARY</w:t>
      </w:r>
    </w:p>
    <w:p w14:paraId="703A977B" w14:textId="77777777" w:rsidR="00826E66" w:rsidRDefault="00826E66" w:rsidP="00826E66">
      <w:pPr>
        <w:spacing w:line="480" w:lineRule="auto"/>
        <w:contextualSpacing/>
        <w:jc w:val="both"/>
        <w:rPr>
          <w:color w:val="000000"/>
          <w:sz w:val="24"/>
          <w:szCs w:val="24"/>
        </w:rPr>
      </w:pPr>
      <w:r>
        <w:rPr>
          <w:rFonts w:cs="Times New Roman"/>
          <w:b/>
          <w:bCs/>
          <w:color w:val="000000"/>
          <w:sz w:val="24"/>
          <w:szCs w:val="24"/>
        </w:rPr>
        <w:t xml:space="preserve">Practice and Procedure, Sex Discrimination </w:t>
      </w:r>
    </w:p>
    <w:p w14:paraId="12D2362F" w14:textId="77777777" w:rsidR="00826E66" w:rsidRDefault="00826E66" w:rsidP="00826E66">
      <w:pPr>
        <w:spacing w:line="480" w:lineRule="auto"/>
        <w:contextualSpacing/>
        <w:jc w:val="both"/>
        <w:rPr>
          <w:color w:val="000000"/>
          <w:sz w:val="24"/>
          <w:szCs w:val="24"/>
        </w:rPr>
      </w:pPr>
      <w:r w:rsidRPr="000001DE">
        <w:rPr>
          <w:color w:val="000000"/>
          <w:sz w:val="24"/>
          <w:szCs w:val="24"/>
        </w:rPr>
        <w:t xml:space="preserve">The EAT allowed an appeal against the decision of an Employment Judge in which the Claimant’s claims of sex discrimination were struck out at a Preliminary Hearing. The Judge erred in </w:t>
      </w:r>
      <w:proofErr w:type="gramStart"/>
      <w:r w:rsidRPr="000001DE">
        <w:rPr>
          <w:color w:val="000000"/>
          <w:sz w:val="24"/>
          <w:szCs w:val="24"/>
        </w:rPr>
        <w:t>a number of</w:t>
      </w:r>
      <w:proofErr w:type="gramEnd"/>
      <w:r w:rsidRPr="000001DE">
        <w:rPr>
          <w:color w:val="000000"/>
          <w:sz w:val="24"/>
          <w:szCs w:val="24"/>
        </w:rPr>
        <w:t xml:space="preserve"> respects. First, the PH had been listed to consider applications to strike out pursuant to r.37 of the ET Rules 2013. However, the Judge, rather than striking out the claims for any identified reason set out in r.37(1)(a) to (e) appeared to have determined, summarily, whether the claims were brought in time (within the meaning of s.123(1) of the EqA 2010) and having determined that they were not, and that there was no act which extended over a period, determined, summarily, that time should not be extended. Further, the Claimant’s claims and allegations had not been properly identified. No evidence was </w:t>
      </w:r>
      <w:proofErr w:type="gramStart"/>
      <w:r w:rsidRPr="000001DE">
        <w:rPr>
          <w:color w:val="000000"/>
          <w:sz w:val="24"/>
          <w:szCs w:val="24"/>
        </w:rPr>
        <w:t>heard</w:t>
      </w:r>
      <w:proofErr w:type="gramEnd"/>
      <w:r w:rsidRPr="000001DE">
        <w:rPr>
          <w:color w:val="000000"/>
          <w:sz w:val="24"/>
          <w:szCs w:val="24"/>
        </w:rPr>
        <w:t xml:space="preserve"> and it appeared that no consideration had been given to whether evidence should be prepared or considered in order to determine preliminary issues. Comments made regarding the importance of not allowing the volume of work before Tribunals to lead to decision making without proper procedures being followed. Reiteration of caution in respect of strike out in respect of discrimination claims.</w:t>
      </w:r>
    </w:p>
    <w:p w14:paraId="312788E8" w14:textId="25755D27" w:rsidR="009134CB" w:rsidRDefault="009134CB" w:rsidP="00826E66">
      <w:pPr>
        <w:spacing w:line="480" w:lineRule="auto"/>
        <w:contextualSpacing/>
        <w:jc w:val="both"/>
        <w:rPr>
          <w:color w:val="000000"/>
          <w:sz w:val="24"/>
          <w:szCs w:val="24"/>
        </w:rPr>
      </w:pPr>
    </w:p>
    <w:p w14:paraId="47C8B889" w14:textId="77777777" w:rsidR="009134CB" w:rsidRDefault="009134CB" w:rsidP="009134CB">
      <w:pPr>
        <w:spacing w:line="480" w:lineRule="auto"/>
        <w:contextualSpacing/>
        <w:jc w:val="both"/>
        <w:rPr>
          <w:color w:val="000000"/>
          <w:sz w:val="24"/>
          <w:szCs w:val="24"/>
        </w:rPr>
      </w:pPr>
    </w:p>
    <w:p w14:paraId="3E3D914D" w14:textId="77777777" w:rsidR="009134CB" w:rsidRDefault="009134CB" w:rsidP="009134CB">
      <w:pPr>
        <w:spacing w:line="480" w:lineRule="auto"/>
        <w:contextualSpacing/>
        <w:jc w:val="both"/>
        <w:rPr>
          <w:color w:val="000000"/>
          <w:sz w:val="24"/>
          <w:szCs w:val="24"/>
        </w:rPr>
      </w:pPr>
    </w:p>
    <w:p w14:paraId="149EFBE8" w14:textId="77777777" w:rsidR="009134CB" w:rsidRDefault="009134CB" w:rsidP="009134CB">
      <w:pPr>
        <w:spacing w:line="480" w:lineRule="auto"/>
        <w:contextualSpacing/>
        <w:jc w:val="both"/>
        <w:rPr>
          <w:color w:val="000000"/>
          <w:sz w:val="24"/>
          <w:szCs w:val="24"/>
        </w:rPr>
      </w:pPr>
    </w:p>
    <w:p w14:paraId="5F9E0AD5" w14:textId="77777777" w:rsidR="009134CB" w:rsidRDefault="009134CB" w:rsidP="009134CB">
      <w:pPr>
        <w:spacing w:line="480" w:lineRule="auto"/>
        <w:contextualSpacing/>
        <w:jc w:val="both"/>
        <w:rPr>
          <w:color w:val="000000"/>
          <w:sz w:val="24"/>
          <w:szCs w:val="24"/>
        </w:rPr>
      </w:pPr>
    </w:p>
    <w:p w14:paraId="57F74B07" w14:textId="77777777" w:rsidR="009134CB" w:rsidRDefault="009134CB" w:rsidP="009134CB">
      <w:pPr>
        <w:spacing w:line="480" w:lineRule="auto"/>
        <w:contextualSpacing/>
        <w:jc w:val="both"/>
        <w:rPr>
          <w:color w:val="000000"/>
          <w:sz w:val="24"/>
          <w:szCs w:val="24"/>
        </w:rPr>
      </w:pPr>
    </w:p>
    <w:p w14:paraId="1C02422B" w14:textId="77777777" w:rsidR="009134CB" w:rsidRDefault="009134CB" w:rsidP="009134CB">
      <w:pPr>
        <w:spacing w:line="480" w:lineRule="auto"/>
        <w:contextualSpacing/>
        <w:jc w:val="both"/>
        <w:rPr>
          <w:color w:val="000000"/>
          <w:sz w:val="24"/>
          <w:szCs w:val="24"/>
        </w:rPr>
      </w:pPr>
    </w:p>
    <w:p w14:paraId="2F2B11F2" w14:textId="77777777" w:rsidR="009134CB" w:rsidRDefault="009134CB" w:rsidP="009134CB">
      <w:pPr>
        <w:spacing w:line="480" w:lineRule="auto"/>
        <w:contextualSpacing/>
        <w:jc w:val="both"/>
        <w:rPr>
          <w:color w:val="000000"/>
          <w:sz w:val="24"/>
          <w:szCs w:val="24"/>
        </w:rPr>
      </w:pPr>
    </w:p>
    <w:p w14:paraId="46B5C1ED" w14:textId="77777777" w:rsidR="009134CB" w:rsidRDefault="009134CB" w:rsidP="009134CB">
      <w:pPr>
        <w:spacing w:line="480" w:lineRule="auto"/>
        <w:contextualSpacing/>
        <w:jc w:val="both"/>
        <w:rPr>
          <w:color w:val="000000"/>
          <w:sz w:val="24"/>
          <w:szCs w:val="24"/>
        </w:rPr>
      </w:pPr>
    </w:p>
    <w:p w14:paraId="5EC1C3D6" w14:textId="77777777" w:rsidR="009134CB" w:rsidRDefault="009134CB" w:rsidP="009134CB">
      <w:pPr>
        <w:spacing w:line="480" w:lineRule="auto"/>
        <w:contextualSpacing/>
        <w:jc w:val="both"/>
        <w:rPr>
          <w:color w:val="000000"/>
          <w:sz w:val="24"/>
          <w:szCs w:val="24"/>
        </w:rPr>
      </w:pPr>
    </w:p>
    <w:p w14:paraId="1A6BE662" w14:textId="77777777" w:rsidR="009134CB" w:rsidRDefault="009134CB" w:rsidP="009134CB">
      <w:pPr>
        <w:spacing w:line="480" w:lineRule="auto"/>
        <w:contextualSpacing/>
        <w:jc w:val="both"/>
        <w:rPr>
          <w:color w:val="000000"/>
          <w:sz w:val="24"/>
          <w:szCs w:val="24"/>
        </w:rPr>
      </w:pPr>
    </w:p>
    <w:p w14:paraId="6E2E83C8" w14:textId="7977E9EF" w:rsidR="00B968CF" w:rsidRDefault="00BD5E28" w:rsidP="009134CB">
      <w:pPr>
        <w:spacing w:line="480" w:lineRule="auto"/>
        <w:contextualSpacing/>
        <w:jc w:val="both"/>
        <w:rPr>
          <w:rFonts w:cs="Times New Roman"/>
          <w:b/>
          <w:bCs/>
          <w:color w:val="000000"/>
          <w:sz w:val="24"/>
          <w:szCs w:val="24"/>
        </w:rPr>
      </w:pPr>
      <w:r w:rsidRPr="0049611D">
        <w:rPr>
          <w:b/>
          <w:bCs/>
          <w:color w:val="000000"/>
          <w:sz w:val="24"/>
          <w:szCs w:val="24"/>
        </w:rPr>
        <w:lastRenderedPageBreak/>
        <w:t>HER HONOUR</w:t>
      </w:r>
      <w:r>
        <w:rPr>
          <w:color w:val="000000"/>
          <w:sz w:val="24"/>
          <w:szCs w:val="24"/>
        </w:rPr>
        <w:t xml:space="preserve"> </w:t>
      </w:r>
      <w:r w:rsidR="00B968CF">
        <w:rPr>
          <w:rFonts w:cs="Times New Roman"/>
          <w:b/>
          <w:bCs/>
          <w:color w:val="000000"/>
          <w:sz w:val="24"/>
          <w:szCs w:val="24"/>
        </w:rPr>
        <w:t>JUDGE TUCKER:</w:t>
      </w:r>
    </w:p>
    <w:p w14:paraId="09827736" w14:textId="3338773B" w:rsidR="00B968CF" w:rsidRPr="0091566F" w:rsidRDefault="00B968CF" w:rsidP="003667F0">
      <w:pPr>
        <w:pStyle w:val="ListParagraph"/>
        <w:numPr>
          <w:ilvl w:val="0"/>
          <w:numId w:val="2"/>
        </w:numPr>
        <w:tabs>
          <w:tab w:val="left" w:pos="0"/>
        </w:tabs>
        <w:spacing w:before="240" w:line="480" w:lineRule="auto"/>
        <w:ind w:left="0" w:firstLine="0"/>
        <w:jc w:val="both"/>
        <w:rPr>
          <w:color w:val="010302"/>
          <w:sz w:val="24"/>
          <w:szCs w:val="24"/>
        </w:rPr>
      </w:pPr>
      <w:r w:rsidRPr="0091566F">
        <w:rPr>
          <w:sz w:val="24"/>
          <w:szCs w:val="24"/>
        </w:rPr>
        <w:t xml:space="preserve">By a Notice of Appeal received by the Employment Appeal Tribunal on 11 April 2022 the Appellant </w:t>
      </w:r>
      <w:r w:rsidR="005C41F1">
        <w:rPr>
          <w:sz w:val="24"/>
          <w:szCs w:val="24"/>
        </w:rPr>
        <w:t xml:space="preserve">appeals </w:t>
      </w:r>
      <w:r w:rsidRPr="0091566F">
        <w:rPr>
          <w:sz w:val="24"/>
          <w:szCs w:val="24"/>
        </w:rPr>
        <w:t xml:space="preserve">against the decision of Employment Judge </w:t>
      </w:r>
      <w:proofErr w:type="spellStart"/>
      <w:r w:rsidRPr="0091566F">
        <w:rPr>
          <w:sz w:val="24"/>
          <w:szCs w:val="24"/>
        </w:rPr>
        <w:t>Alliott</w:t>
      </w:r>
      <w:proofErr w:type="spellEnd"/>
      <w:r w:rsidRPr="0091566F">
        <w:rPr>
          <w:sz w:val="24"/>
          <w:szCs w:val="24"/>
        </w:rPr>
        <w:t xml:space="preserve"> sitting in the Watford Tribunal on 26 April 2021. By that decision the </w:t>
      </w:r>
      <w:r w:rsidR="005C41F1">
        <w:rPr>
          <w:sz w:val="24"/>
          <w:szCs w:val="24"/>
        </w:rPr>
        <w:t>J</w:t>
      </w:r>
      <w:r w:rsidRPr="0091566F">
        <w:rPr>
          <w:sz w:val="24"/>
          <w:szCs w:val="24"/>
        </w:rPr>
        <w:t xml:space="preserve">udge held that the </w:t>
      </w:r>
      <w:r w:rsidR="005C41F1">
        <w:rPr>
          <w:sz w:val="24"/>
          <w:szCs w:val="24"/>
        </w:rPr>
        <w:t>Claim</w:t>
      </w:r>
      <w:r w:rsidRPr="0091566F">
        <w:rPr>
          <w:sz w:val="24"/>
          <w:szCs w:val="24"/>
        </w:rPr>
        <w:t xml:space="preserve">ant’s </w:t>
      </w:r>
      <w:r w:rsidR="005C41F1">
        <w:rPr>
          <w:sz w:val="24"/>
          <w:szCs w:val="24"/>
        </w:rPr>
        <w:t>claims</w:t>
      </w:r>
      <w:r w:rsidRPr="0091566F">
        <w:rPr>
          <w:sz w:val="24"/>
          <w:szCs w:val="24"/>
        </w:rPr>
        <w:t xml:space="preserve"> of sex discrimination, harassment, victimisation </w:t>
      </w:r>
      <w:r w:rsidR="005C41F1">
        <w:rPr>
          <w:sz w:val="24"/>
          <w:szCs w:val="24"/>
        </w:rPr>
        <w:t xml:space="preserve">(alleged to have arisen </w:t>
      </w:r>
      <w:r w:rsidRPr="0091566F">
        <w:rPr>
          <w:sz w:val="24"/>
          <w:szCs w:val="24"/>
        </w:rPr>
        <w:t>out of treatment said to have occurred prior to 7 October 2019</w:t>
      </w:r>
      <w:r w:rsidR="005C41F1">
        <w:rPr>
          <w:sz w:val="24"/>
          <w:szCs w:val="24"/>
        </w:rPr>
        <w:t>)</w:t>
      </w:r>
      <w:r w:rsidRPr="0091566F">
        <w:rPr>
          <w:sz w:val="24"/>
          <w:szCs w:val="24"/>
        </w:rPr>
        <w:t xml:space="preserve"> were out of time</w:t>
      </w:r>
      <w:r w:rsidR="005C41F1">
        <w:rPr>
          <w:sz w:val="24"/>
          <w:szCs w:val="24"/>
        </w:rPr>
        <w:t>. The Judge</w:t>
      </w:r>
      <w:r w:rsidRPr="0091566F">
        <w:rPr>
          <w:sz w:val="24"/>
          <w:szCs w:val="24"/>
        </w:rPr>
        <w:t xml:space="preserve"> struck out</w:t>
      </w:r>
      <w:r w:rsidR="005C41F1">
        <w:rPr>
          <w:sz w:val="24"/>
          <w:szCs w:val="24"/>
        </w:rPr>
        <w:t xml:space="preserve"> the claims</w:t>
      </w:r>
      <w:r w:rsidRPr="0091566F">
        <w:rPr>
          <w:sz w:val="24"/>
          <w:szCs w:val="24"/>
        </w:rPr>
        <w:t xml:space="preserve">. </w:t>
      </w:r>
    </w:p>
    <w:p w14:paraId="6D24074A" w14:textId="004EA325" w:rsidR="00B968CF" w:rsidRPr="005C41F1" w:rsidRDefault="00B968CF" w:rsidP="003667F0">
      <w:pPr>
        <w:pStyle w:val="ListParagraph"/>
        <w:numPr>
          <w:ilvl w:val="0"/>
          <w:numId w:val="2"/>
        </w:numPr>
        <w:tabs>
          <w:tab w:val="left" w:pos="0"/>
        </w:tabs>
        <w:spacing w:before="240" w:line="480" w:lineRule="auto"/>
        <w:ind w:left="0" w:firstLine="0"/>
        <w:jc w:val="both"/>
        <w:rPr>
          <w:color w:val="010302"/>
          <w:sz w:val="24"/>
          <w:szCs w:val="24"/>
        </w:rPr>
      </w:pPr>
      <w:r w:rsidRPr="0091566F">
        <w:rPr>
          <w:sz w:val="24"/>
          <w:szCs w:val="24"/>
        </w:rPr>
        <w:t xml:space="preserve">In this Judgment I refer to the Appellant as the </w:t>
      </w:r>
      <w:r w:rsidR="005C41F1">
        <w:rPr>
          <w:sz w:val="24"/>
          <w:szCs w:val="24"/>
        </w:rPr>
        <w:t>Claim</w:t>
      </w:r>
      <w:r w:rsidRPr="0091566F">
        <w:rPr>
          <w:sz w:val="24"/>
          <w:szCs w:val="24"/>
        </w:rPr>
        <w:t>ant and to the Respondent to the appeal as the Respondent as they were before the Tribunal.</w:t>
      </w:r>
    </w:p>
    <w:p w14:paraId="00B2688C" w14:textId="3B048E8E" w:rsidR="005C41F1" w:rsidRPr="005C41F1" w:rsidRDefault="005C41F1" w:rsidP="005C41F1">
      <w:pPr>
        <w:pStyle w:val="ListParagraph"/>
        <w:tabs>
          <w:tab w:val="left" w:pos="0"/>
        </w:tabs>
        <w:spacing w:before="240" w:line="480" w:lineRule="auto"/>
        <w:jc w:val="both"/>
        <w:rPr>
          <w:b/>
          <w:bCs/>
          <w:color w:val="010302"/>
          <w:sz w:val="24"/>
          <w:szCs w:val="24"/>
          <w:u w:val="single"/>
        </w:rPr>
      </w:pPr>
      <w:r>
        <w:rPr>
          <w:b/>
          <w:bCs/>
          <w:sz w:val="24"/>
          <w:szCs w:val="24"/>
          <w:u w:val="single"/>
        </w:rPr>
        <w:t>Grounds of appeal</w:t>
      </w:r>
    </w:p>
    <w:p w14:paraId="1A389653" w14:textId="65E7542F" w:rsidR="00B968CF" w:rsidRPr="0091566F" w:rsidRDefault="00B968CF" w:rsidP="003667F0">
      <w:pPr>
        <w:pStyle w:val="ListParagraph"/>
        <w:numPr>
          <w:ilvl w:val="0"/>
          <w:numId w:val="2"/>
        </w:numPr>
        <w:tabs>
          <w:tab w:val="left" w:pos="0"/>
        </w:tabs>
        <w:spacing w:before="240" w:line="480" w:lineRule="auto"/>
        <w:ind w:left="0" w:firstLine="0"/>
        <w:jc w:val="both"/>
        <w:rPr>
          <w:color w:val="010302"/>
          <w:sz w:val="24"/>
          <w:szCs w:val="24"/>
        </w:rPr>
      </w:pPr>
      <w:r w:rsidRPr="0091566F">
        <w:rPr>
          <w:sz w:val="24"/>
          <w:szCs w:val="24"/>
        </w:rPr>
        <w:t>The followi</w:t>
      </w:r>
      <w:r w:rsidR="005B6FCC" w:rsidRPr="0091566F">
        <w:rPr>
          <w:sz w:val="24"/>
          <w:szCs w:val="24"/>
        </w:rPr>
        <w:t>ng</w:t>
      </w:r>
      <w:r w:rsidRPr="0091566F">
        <w:rPr>
          <w:sz w:val="24"/>
          <w:szCs w:val="24"/>
        </w:rPr>
        <w:t xml:space="preserve"> two grounds were permitted to proceed to a full hearing following a hearing before His Honour Judge Tayler.  </w:t>
      </w:r>
    </w:p>
    <w:p w14:paraId="57291E13" w14:textId="0EE8AC3F" w:rsidR="005C41F1" w:rsidRDefault="005C41F1" w:rsidP="005C41F1">
      <w:pPr>
        <w:pStyle w:val="ListParagraph"/>
        <w:numPr>
          <w:ilvl w:val="0"/>
          <w:numId w:val="6"/>
        </w:numPr>
        <w:tabs>
          <w:tab w:val="left" w:pos="284"/>
        </w:tabs>
        <w:spacing w:before="240" w:line="480" w:lineRule="auto"/>
        <w:jc w:val="both"/>
        <w:rPr>
          <w:rFonts w:cs="Times New Roman"/>
          <w:color w:val="000000"/>
          <w:sz w:val="24"/>
          <w:szCs w:val="24"/>
        </w:rPr>
      </w:pPr>
      <w:r>
        <w:rPr>
          <w:color w:val="010302"/>
          <w:sz w:val="24"/>
          <w:szCs w:val="24"/>
        </w:rPr>
        <w:t>Gr</w:t>
      </w:r>
      <w:r w:rsidR="00596AD7" w:rsidRPr="0091566F">
        <w:rPr>
          <w:color w:val="010302"/>
          <w:sz w:val="24"/>
          <w:szCs w:val="24"/>
        </w:rPr>
        <w:t>ound 1:</w:t>
      </w:r>
      <w:r>
        <w:rPr>
          <w:color w:val="010302"/>
          <w:sz w:val="24"/>
          <w:szCs w:val="24"/>
        </w:rPr>
        <w:t xml:space="preserve"> </w:t>
      </w:r>
      <w:r w:rsidR="00B968CF" w:rsidRPr="0091566F">
        <w:rPr>
          <w:rFonts w:cs="Times New Roman"/>
          <w:color w:val="000000"/>
          <w:sz w:val="24"/>
          <w:szCs w:val="24"/>
        </w:rPr>
        <w:t xml:space="preserve">The Employment Tribunal erred in its approach when considering </w:t>
      </w:r>
      <w:proofErr w:type="gramStart"/>
      <w:r w:rsidR="00B968CF" w:rsidRPr="0091566F">
        <w:rPr>
          <w:rFonts w:cs="Times New Roman"/>
          <w:color w:val="000000"/>
          <w:sz w:val="24"/>
          <w:szCs w:val="24"/>
        </w:rPr>
        <w:t>whether or not</w:t>
      </w:r>
      <w:proofErr w:type="gramEnd"/>
      <w:r w:rsidR="00B968CF" w:rsidRPr="0091566F">
        <w:rPr>
          <w:rFonts w:cs="Times New Roman"/>
          <w:color w:val="000000"/>
          <w:sz w:val="24"/>
          <w:szCs w:val="24"/>
        </w:rPr>
        <w:t xml:space="preserve"> the </w:t>
      </w:r>
      <w:r>
        <w:rPr>
          <w:rFonts w:cs="Times New Roman"/>
          <w:color w:val="000000"/>
          <w:sz w:val="24"/>
          <w:szCs w:val="24"/>
        </w:rPr>
        <w:t>Claim</w:t>
      </w:r>
      <w:r w:rsidR="00B968CF" w:rsidRPr="0091566F">
        <w:rPr>
          <w:rFonts w:cs="Times New Roman"/>
          <w:color w:val="000000"/>
          <w:sz w:val="24"/>
          <w:szCs w:val="24"/>
        </w:rPr>
        <w:t xml:space="preserve">ant’s complaints under the </w:t>
      </w:r>
      <w:r w:rsidR="00B968CF" w:rsidRPr="0091566F">
        <w:rPr>
          <w:rFonts w:cs="Times New Roman"/>
          <w:b/>
          <w:bCs/>
          <w:color w:val="000000"/>
          <w:sz w:val="24"/>
          <w:szCs w:val="24"/>
        </w:rPr>
        <w:t>Equality Act 2010</w:t>
      </w:r>
      <w:r w:rsidR="00B968CF" w:rsidRPr="0091566F">
        <w:rPr>
          <w:rFonts w:cs="Times New Roman"/>
          <w:color w:val="000000"/>
          <w:sz w:val="24"/>
          <w:szCs w:val="24"/>
        </w:rPr>
        <w:t xml:space="preserve"> extended over a period of time within the meaning of section 123 of the </w:t>
      </w:r>
      <w:r w:rsidR="00B968CF" w:rsidRPr="0091566F">
        <w:rPr>
          <w:rFonts w:cs="Times New Roman"/>
          <w:b/>
          <w:bCs/>
          <w:color w:val="000000"/>
          <w:sz w:val="24"/>
          <w:szCs w:val="24"/>
        </w:rPr>
        <w:t xml:space="preserve">EqA </w:t>
      </w:r>
      <w:r w:rsidR="00074C99" w:rsidRPr="0091566F">
        <w:rPr>
          <w:rFonts w:cs="Times New Roman"/>
          <w:b/>
          <w:bCs/>
          <w:color w:val="000000"/>
          <w:sz w:val="24"/>
          <w:szCs w:val="24"/>
        </w:rPr>
        <w:t>2010</w:t>
      </w:r>
      <w:r w:rsidR="00074C99" w:rsidRPr="0091566F">
        <w:rPr>
          <w:rFonts w:cs="Times New Roman"/>
          <w:color w:val="000000"/>
          <w:sz w:val="24"/>
          <w:szCs w:val="24"/>
        </w:rPr>
        <w:t>.</w:t>
      </w:r>
    </w:p>
    <w:p w14:paraId="0ECB39FB" w14:textId="1842CE9B" w:rsidR="00B968CF" w:rsidRDefault="005C41F1" w:rsidP="005C41F1">
      <w:pPr>
        <w:pStyle w:val="ListParagraph"/>
        <w:numPr>
          <w:ilvl w:val="0"/>
          <w:numId w:val="6"/>
        </w:numPr>
        <w:tabs>
          <w:tab w:val="left" w:pos="284"/>
        </w:tabs>
        <w:spacing w:before="240" w:line="480" w:lineRule="auto"/>
        <w:jc w:val="both"/>
        <w:rPr>
          <w:rFonts w:cs="Times New Roman"/>
          <w:color w:val="000000"/>
          <w:sz w:val="24"/>
          <w:szCs w:val="24"/>
        </w:rPr>
      </w:pPr>
      <w:r w:rsidRPr="005C41F1">
        <w:rPr>
          <w:rFonts w:cs="Times New Roman"/>
          <w:color w:val="000000"/>
          <w:sz w:val="24"/>
          <w:szCs w:val="24"/>
        </w:rPr>
        <w:t>G</w:t>
      </w:r>
      <w:r w:rsidR="00B968CF" w:rsidRPr="005C41F1">
        <w:rPr>
          <w:rFonts w:cs="Times New Roman"/>
          <w:color w:val="000000"/>
          <w:sz w:val="24"/>
          <w:szCs w:val="24"/>
        </w:rPr>
        <w:t>round 2:</w:t>
      </w:r>
      <w:r w:rsidRPr="005C41F1">
        <w:rPr>
          <w:rFonts w:cs="Times New Roman"/>
          <w:color w:val="000000"/>
          <w:sz w:val="24"/>
          <w:szCs w:val="24"/>
        </w:rPr>
        <w:t xml:space="preserve"> </w:t>
      </w:r>
      <w:r w:rsidR="00B968CF" w:rsidRPr="005C41F1">
        <w:rPr>
          <w:rFonts w:cs="Times New Roman"/>
          <w:color w:val="000000"/>
          <w:sz w:val="24"/>
          <w:szCs w:val="24"/>
        </w:rPr>
        <w:t xml:space="preserve">The Tribunal erred in its approach when considering </w:t>
      </w:r>
      <w:proofErr w:type="gramStart"/>
      <w:r w:rsidR="00B968CF" w:rsidRPr="005C41F1">
        <w:rPr>
          <w:rFonts w:cs="Times New Roman"/>
          <w:color w:val="000000"/>
          <w:sz w:val="24"/>
          <w:szCs w:val="24"/>
        </w:rPr>
        <w:t>whether or not</w:t>
      </w:r>
      <w:proofErr w:type="gramEnd"/>
      <w:r w:rsidR="00B968CF" w:rsidRPr="005C41F1">
        <w:rPr>
          <w:rFonts w:cs="Times New Roman"/>
          <w:color w:val="000000"/>
          <w:sz w:val="24"/>
          <w:szCs w:val="24"/>
        </w:rPr>
        <w:t xml:space="preserve"> it was just and equitable to extend time under section 123(1)(b) of the </w:t>
      </w:r>
      <w:r w:rsidR="00B968CF" w:rsidRPr="005C41F1">
        <w:rPr>
          <w:rFonts w:cs="Times New Roman"/>
          <w:b/>
          <w:bCs/>
          <w:color w:val="000000"/>
          <w:sz w:val="24"/>
          <w:szCs w:val="24"/>
        </w:rPr>
        <w:t>EqA 2010</w:t>
      </w:r>
      <w:r w:rsidR="00B968CF" w:rsidRPr="005C41F1">
        <w:rPr>
          <w:rFonts w:cs="Times New Roman"/>
          <w:color w:val="000000"/>
          <w:sz w:val="24"/>
          <w:szCs w:val="24"/>
        </w:rPr>
        <w:t>.</w:t>
      </w:r>
    </w:p>
    <w:p w14:paraId="55FCBE50" w14:textId="77777777" w:rsidR="005B7727" w:rsidRDefault="005B7727" w:rsidP="005B7727">
      <w:pPr>
        <w:pStyle w:val="ListParagraph"/>
        <w:tabs>
          <w:tab w:val="left" w:pos="284"/>
        </w:tabs>
        <w:spacing w:before="240" w:line="480" w:lineRule="auto"/>
        <w:ind w:left="1494"/>
        <w:jc w:val="both"/>
        <w:rPr>
          <w:rFonts w:cs="Times New Roman"/>
          <w:color w:val="000000"/>
          <w:sz w:val="24"/>
          <w:szCs w:val="24"/>
        </w:rPr>
      </w:pPr>
    </w:p>
    <w:p w14:paraId="74D3935C" w14:textId="01CBF1DD" w:rsidR="005C41F1" w:rsidRPr="005C41F1" w:rsidRDefault="005C41F1" w:rsidP="005B7727">
      <w:pPr>
        <w:tabs>
          <w:tab w:val="left" w:pos="284"/>
        </w:tabs>
        <w:spacing w:before="240" w:line="480" w:lineRule="auto"/>
        <w:jc w:val="both"/>
        <w:rPr>
          <w:rFonts w:cs="Times New Roman"/>
          <w:b/>
          <w:bCs/>
          <w:color w:val="000000"/>
          <w:sz w:val="24"/>
          <w:szCs w:val="24"/>
          <w:u w:val="single"/>
        </w:rPr>
      </w:pPr>
      <w:r>
        <w:rPr>
          <w:rFonts w:cs="Times New Roman"/>
          <w:b/>
          <w:bCs/>
          <w:color w:val="000000"/>
          <w:sz w:val="24"/>
          <w:szCs w:val="24"/>
          <w:u w:val="single"/>
        </w:rPr>
        <w:t>The background to the litigation</w:t>
      </w:r>
      <w:r w:rsidR="00810C4D">
        <w:rPr>
          <w:rFonts w:cs="Times New Roman"/>
          <w:b/>
          <w:bCs/>
          <w:color w:val="000000"/>
          <w:sz w:val="24"/>
          <w:szCs w:val="24"/>
          <w:u w:val="single"/>
        </w:rPr>
        <w:t>, the facts</w:t>
      </w:r>
      <w:r>
        <w:rPr>
          <w:rFonts w:cs="Times New Roman"/>
          <w:b/>
          <w:bCs/>
          <w:color w:val="000000"/>
          <w:sz w:val="24"/>
          <w:szCs w:val="24"/>
          <w:u w:val="single"/>
        </w:rPr>
        <w:t xml:space="preserve"> and the Tribunal’s decision</w:t>
      </w:r>
    </w:p>
    <w:p w14:paraId="257C0835" w14:textId="5C1DF121" w:rsidR="00B968CF" w:rsidRPr="0091566F" w:rsidRDefault="005C41F1" w:rsidP="003667F0">
      <w:pPr>
        <w:numPr>
          <w:ilvl w:val="0"/>
          <w:numId w:val="2"/>
        </w:numPr>
        <w:spacing w:before="240" w:line="480" w:lineRule="auto"/>
        <w:ind w:left="0" w:firstLine="0"/>
        <w:jc w:val="both"/>
        <w:rPr>
          <w:rFonts w:cs="Times New Roman"/>
          <w:color w:val="000000"/>
          <w:sz w:val="24"/>
          <w:szCs w:val="24"/>
        </w:rPr>
      </w:pPr>
      <w:r>
        <w:rPr>
          <w:rFonts w:cs="Times New Roman"/>
          <w:color w:val="000000"/>
          <w:sz w:val="24"/>
          <w:szCs w:val="24"/>
        </w:rPr>
        <w:t>T</w:t>
      </w:r>
      <w:r w:rsidR="00B968CF" w:rsidRPr="0091566F">
        <w:rPr>
          <w:rFonts w:cs="Times New Roman"/>
          <w:color w:val="000000"/>
          <w:sz w:val="24"/>
          <w:szCs w:val="24"/>
        </w:rPr>
        <w:t xml:space="preserve">he </w:t>
      </w:r>
      <w:r>
        <w:rPr>
          <w:rFonts w:cs="Times New Roman"/>
          <w:color w:val="000000"/>
          <w:sz w:val="24"/>
          <w:szCs w:val="24"/>
        </w:rPr>
        <w:t>Claim</w:t>
      </w:r>
      <w:r w:rsidR="00B968CF" w:rsidRPr="0091566F">
        <w:rPr>
          <w:rFonts w:cs="Times New Roman"/>
          <w:color w:val="000000"/>
          <w:sz w:val="24"/>
          <w:szCs w:val="24"/>
        </w:rPr>
        <w:t xml:space="preserve">ant lodged a </w:t>
      </w:r>
      <w:r>
        <w:rPr>
          <w:rFonts w:cs="Times New Roman"/>
          <w:color w:val="000000"/>
          <w:sz w:val="24"/>
          <w:szCs w:val="24"/>
        </w:rPr>
        <w:t>claim</w:t>
      </w:r>
      <w:r w:rsidR="00B968CF" w:rsidRPr="0091566F">
        <w:rPr>
          <w:rFonts w:cs="Times New Roman"/>
          <w:color w:val="000000"/>
          <w:sz w:val="24"/>
          <w:szCs w:val="24"/>
        </w:rPr>
        <w:t xml:space="preserve"> before the </w:t>
      </w:r>
      <w:r>
        <w:rPr>
          <w:rFonts w:cs="Times New Roman"/>
          <w:color w:val="000000"/>
          <w:sz w:val="24"/>
          <w:szCs w:val="24"/>
        </w:rPr>
        <w:t>Employment Tribunal (“</w:t>
      </w:r>
      <w:r w:rsidR="00B968CF" w:rsidRPr="0091566F">
        <w:rPr>
          <w:rFonts w:cs="Times New Roman"/>
          <w:color w:val="000000"/>
          <w:sz w:val="24"/>
          <w:szCs w:val="24"/>
        </w:rPr>
        <w:t>ET</w:t>
      </w:r>
      <w:r>
        <w:rPr>
          <w:rFonts w:cs="Times New Roman"/>
          <w:color w:val="000000"/>
          <w:sz w:val="24"/>
          <w:szCs w:val="24"/>
        </w:rPr>
        <w:t>”)</w:t>
      </w:r>
      <w:r w:rsidR="00B968CF" w:rsidRPr="0091566F">
        <w:rPr>
          <w:rFonts w:cs="Times New Roman"/>
          <w:color w:val="000000"/>
          <w:sz w:val="24"/>
          <w:szCs w:val="24"/>
        </w:rPr>
        <w:t xml:space="preserve"> on 15 May 2020. That included, the Tribunal later found, a </w:t>
      </w:r>
      <w:r>
        <w:rPr>
          <w:rFonts w:cs="Times New Roman"/>
          <w:color w:val="000000"/>
          <w:sz w:val="24"/>
          <w:szCs w:val="24"/>
        </w:rPr>
        <w:t>claim</w:t>
      </w:r>
      <w:r w:rsidR="00B968CF" w:rsidRPr="0091566F">
        <w:rPr>
          <w:rFonts w:cs="Times New Roman"/>
          <w:color w:val="000000"/>
          <w:sz w:val="24"/>
          <w:szCs w:val="24"/>
        </w:rPr>
        <w:t xml:space="preserve"> </w:t>
      </w:r>
      <w:r w:rsidR="006F7D5A" w:rsidRPr="0091566F">
        <w:rPr>
          <w:rFonts w:cs="Times New Roman"/>
          <w:color w:val="000000"/>
          <w:sz w:val="24"/>
          <w:szCs w:val="24"/>
        </w:rPr>
        <w:t>of unfair</w:t>
      </w:r>
      <w:r w:rsidR="00B968CF" w:rsidRPr="0091566F">
        <w:rPr>
          <w:rFonts w:cs="Times New Roman"/>
          <w:color w:val="000000"/>
          <w:sz w:val="24"/>
          <w:szCs w:val="24"/>
        </w:rPr>
        <w:t xml:space="preserve"> dismissal, automatic unfair dismissal, a </w:t>
      </w:r>
      <w:r>
        <w:rPr>
          <w:rFonts w:cs="Times New Roman"/>
          <w:color w:val="000000"/>
          <w:sz w:val="24"/>
          <w:szCs w:val="24"/>
        </w:rPr>
        <w:t>claim</w:t>
      </w:r>
      <w:r w:rsidR="00B968CF" w:rsidRPr="0091566F">
        <w:rPr>
          <w:rFonts w:cs="Times New Roman"/>
          <w:color w:val="000000"/>
          <w:sz w:val="24"/>
          <w:szCs w:val="24"/>
        </w:rPr>
        <w:t xml:space="preserve"> of sex discrimination and other </w:t>
      </w:r>
      <w:r>
        <w:rPr>
          <w:rFonts w:cs="Times New Roman"/>
          <w:color w:val="000000"/>
          <w:sz w:val="24"/>
          <w:szCs w:val="24"/>
        </w:rPr>
        <w:t>claim</w:t>
      </w:r>
      <w:r w:rsidR="00B968CF" w:rsidRPr="0091566F">
        <w:rPr>
          <w:rFonts w:cs="Times New Roman"/>
          <w:color w:val="000000"/>
          <w:sz w:val="24"/>
          <w:szCs w:val="24"/>
        </w:rPr>
        <w:t xml:space="preserve">s.  The </w:t>
      </w:r>
      <w:r>
        <w:rPr>
          <w:rFonts w:cs="Times New Roman"/>
          <w:color w:val="000000"/>
          <w:sz w:val="24"/>
          <w:szCs w:val="24"/>
        </w:rPr>
        <w:t>claim</w:t>
      </w:r>
      <w:r w:rsidR="00B968CF" w:rsidRPr="0091566F">
        <w:rPr>
          <w:rFonts w:cs="Times New Roman"/>
          <w:color w:val="000000"/>
          <w:sz w:val="24"/>
          <w:szCs w:val="24"/>
        </w:rPr>
        <w:t xml:space="preserve"> of unfair dismissal was</w:t>
      </w:r>
      <w:r>
        <w:rPr>
          <w:rFonts w:cs="Times New Roman"/>
          <w:color w:val="000000"/>
          <w:sz w:val="24"/>
          <w:szCs w:val="24"/>
        </w:rPr>
        <w:t xml:space="preserve"> lodged within the relevant statutory limitation period</w:t>
      </w:r>
      <w:r w:rsidR="00B968CF" w:rsidRPr="0091566F">
        <w:rPr>
          <w:rFonts w:cs="Times New Roman"/>
          <w:color w:val="000000"/>
          <w:sz w:val="24"/>
          <w:szCs w:val="24"/>
        </w:rPr>
        <w:t>.</w:t>
      </w:r>
      <w:r>
        <w:rPr>
          <w:rFonts w:cs="Times New Roman"/>
          <w:color w:val="000000"/>
          <w:sz w:val="24"/>
          <w:szCs w:val="24"/>
        </w:rPr>
        <w:t xml:space="preserve"> A</w:t>
      </w:r>
      <w:r w:rsidR="00B968CF" w:rsidRPr="0091566F">
        <w:rPr>
          <w:rFonts w:cs="Times New Roman"/>
          <w:color w:val="000000"/>
          <w:sz w:val="24"/>
          <w:szCs w:val="24"/>
        </w:rPr>
        <w:t xml:space="preserve">lthough it was a little difficult to define precisely the </w:t>
      </w:r>
      <w:r>
        <w:rPr>
          <w:rFonts w:cs="Times New Roman"/>
          <w:color w:val="000000"/>
          <w:sz w:val="24"/>
          <w:szCs w:val="24"/>
        </w:rPr>
        <w:t>claim</w:t>
      </w:r>
      <w:r w:rsidR="00B968CF" w:rsidRPr="0091566F">
        <w:rPr>
          <w:rFonts w:cs="Times New Roman"/>
          <w:color w:val="000000"/>
          <w:sz w:val="24"/>
          <w:szCs w:val="24"/>
        </w:rPr>
        <w:t xml:space="preserve">s made by </w:t>
      </w:r>
      <w:r w:rsidR="00B968CF" w:rsidRPr="0091566F">
        <w:rPr>
          <w:rFonts w:cs="Times New Roman"/>
          <w:color w:val="000000"/>
          <w:sz w:val="24"/>
          <w:szCs w:val="24"/>
        </w:rPr>
        <w:lastRenderedPageBreak/>
        <w:t xml:space="preserve">the </w:t>
      </w:r>
      <w:r>
        <w:rPr>
          <w:rFonts w:cs="Times New Roman"/>
          <w:color w:val="000000"/>
          <w:sz w:val="24"/>
          <w:szCs w:val="24"/>
        </w:rPr>
        <w:t>Claim</w:t>
      </w:r>
      <w:r w:rsidR="00B968CF" w:rsidRPr="0091566F">
        <w:rPr>
          <w:rFonts w:cs="Times New Roman"/>
          <w:color w:val="000000"/>
          <w:sz w:val="24"/>
          <w:szCs w:val="24"/>
        </w:rPr>
        <w:t xml:space="preserve">ant in the </w:t>
      </w:r>
      <w:r>
        <w:rPr>
          <w:rFonts w:cs="Times New Roman"/>
          <w:color w:val="000000"/>
          <w:sz w:val="24"/>
          <w:szCs w:val="24"/>
        </w:rPr>
        <w:t>Claim</w:t>
      </w:r>
      <w:r w:rsidR="00B968CF" w:rsidRPr="0091566F">
        <w:rPr>
          <w:rFonts w:cs="Times New Roman"/>
          <w:color w:val="000000"/>
          <w:sz w:val="24"/>
          <w:szCs w:val="24"/>
        </w:rPr>
        <w:t xml:space="preserve"> Form, the </w:t>
      </w:r>
      <w:r>
        <w:rPr>
          <w:rFonts w:cs="Times New Roman"/>
          <w:color w:val="000000"/>
          <w:sz w:val="24"/>
          <w:szCs w:val="24"/>
        </w:rPr>
        <w:t>Claim</w:t>
      </w:r>
      <w:r w:rsidR="00B968CF" w:rsidRPr="0091566F">
        <w:rPr>
          <w:rFonts w:cs="Times New Roman"/>
          <w:color w:val="000000"/>
          <w:sz w:val="24"/>
          <w:szCs w:val="24"/>
        </w:rPr>
        <w:t xml:space="preserve">ant complained both about his dismissal which took place in December 2019 </w:t>
      </w:r>
      <w:proofErr w:type="gramStart"/>
      <w:r w:rsidR="00B968CF" w:rsidRPr="0091566F">
        <w:rPr>
          <w:rFonts w:cs="Times New Roman"/>
          <w:color w:val="000000"/>
          <w:sz w:val="24"/>
          <w:szCs w:val="24"/>
        </w:rPr>
        <w:t>and also</w:t>
      </w:r>
      <w:proofErr w:type="gramEnd"/>
      <w:r w:rsidR="00B968CF" w:rsidRPr="0091566F">
        <w:rPr>
          <w:rFonts w:cs="Times New Roman"/>
          <w:color w:val="000000"/>
          <w:sz w:val="24"/>
          <w:szCs w:val="24"/>
        </w:rPr>
        <w:t xml:space="preserve"> </w:t>
      </w:r>
      <w:r>
        <w:rPr>
          <w:rFonts w:cs="Times New Roman"/>
          <w:color w:val="000000"/>
          <w:sz w:val="24"/>
          <w:szCs w:val="24"/>
        </w:rPr>
        <w:t xml:space="preserve">about </w:t>
      </w:r>
      <w:r w:rsidR="00B968CF" w:rsidRPr="0091566F">
        <w:rPr>
          <w:rFonts w:cs="Times New Roman"/>
          <w:color w:val="000000"/>
          <w:sz w:val="24"/>
          <w:szCs w:val="24"/>
        </w:rPr>
        <w:t xml:space="preserve">conduct which was said to have occurred before that. In </w:t>
      </w:r>
      <w:r w:rsidRPr="0091566F">
        <w:rPr>
          <w:rFonts w:cs="Times New Roman"/>
          <w:color w:val="000000"/>
          <w:sz w:val="24"/>
          <w:szCs w:val="24"/>
        </w:rPr>
        <w:t>particular</w:t>
      </w:r>
      <w:r>
        <w:rPr>
          <w:rFonts w:cs="Times New Roman"/>
          <w:color w:val="000000"/>
          <w:sz w:val="24"/>
          <w:szCs w:val="24"/>
        </w:rPr>
        <w:t xml:space="preserve">, </w:t>
      </w:r>
      <w:r w:rsidRPr="0091566F">
        <w:rPr>
          <w:rFonts w:cs="Times New Roman"/>
          <w:color w:val="000000"/>
          <w:sz w:val="24"/>
          <w:szCs w:val="24"/>
        </w:rPr>
        <w:t>in</w:t>
      </w:r>
      <w:r w:rsidR="00B968CF" w:rsidRPr="0091566F">
        <w:rPr>
          <w:rFonts w:cs="Times New Roman"/>
          <w:color w:val="000000"/>
          <w:sz w:val="24"/>
          <w:szCs w:val="24"/>
        </w:rPr>
        <w:t xml:space="preserve"> the opening paragraph of the</w:t>
      </w:r>
      <w:r>
        <w:rPr>
          <w:rFonts w:cs="Times New Roman"/>
          <w:color w:val="000000"/>
          <w:sz w:val="24"/>
          <w:szCs w:val="24"/>
        </w:rPr>
        <w:t xml:space="preserve"> form</w:t>
      </w:r>
      <w:r w:rsidR="005B7727">
        <w:rPr>
          <w:rFonts w:cs="Times New Roman"/>
          <w:color w:val="000000"/>
          <w:sz w:val="24"/>
          <w:szCs w:val="24"/>
        </w:rPr>
        <w:t>,</w:t>
      </w:r>
      <w:r>
        <w:rPr>
          <w:rFonts w:cs="Times New Roman"/>
          <w:color w:val="000000"/>
          <w:sz w:val="24"/>
          <w:szCs w:val="24"/>
        </w:rPr>
        <w:t xml:space="preserve"> where he was required to describe the d</w:t>
      </w:r>
      <w:r w:rsidR="00B968CF" w:rsidRPr="0091566F">
        <w:rPr>
          <w:rFonts w:cs="Times New Roman"/>
          <w:color w:val="000000"/>
          <w:sz w:val="24"/>
          <w:szCs w:val="24"/>
        </w:rPr>
        <w:t xml:space="preserve">etails of his </w:t>
      </w:r>
      <w:r>
        <w:rPr>
          <w:rFonts w:cs="Times New Roman"/>
          <w:color w:val="000000"/>
          <w:sz w:val="24"/>
          <w:szCs w:val="24"/>
        </w:rPr>
        <w:t>claim,</w:t>
      </w:r>
      <w:r w:rsidR="00B968CF" w:rsidRPr="0091566F">
        <w:rPr>
          <w:rFonts w:cs="Times New Roman"/>
          <w:color w:val="000000"/>
          <w:sz w:val="24"/>
          <w:szCs w:val="24"/>
        </w:rPr>
        <w:t xml:space="preserve"> he complained that he was denied promotion on three occasions in three consecutive years for jobs which were then offered to women who were less qualified than him. In addition, he complained that he had been bullied and harassed in 2018. His </w:t>
      </w:r>
      <w:r>
        <w:rPr>
          <w:rFonts w:cs="Times New Roman"/>
          <w:color w:val="000000"/>
          <w:sz w:val="24"/>
          <w:szCs w:val="24"/>
        </w:rPr>
        <w:t>claim</w:t>
      </w:r>
      <w:r w:rsidR="00B968CF" w:rsidRPr="0091566F">
        <w:rPr>
          <w:rFonts w:cs="Times New Roman"/>
          <w:color w:val="000000"/>
          <w:sz w:val="24"/>
          <w:szCs w:val="24"/>
        </w:rPr>
        <w:t xml:space="preserve"> about dismissal was also linked to a complaint he made about being refused a sabbatical.</w:t>
      </w:r>
    </w:p>
    <w:p w14:paraId="2253B1AC" w14:textId="0E99BDEB" w:rsidR="00B968CF" w:rsidRPr="0091566F" w:rsidRDefault="005C41F1" w:rsidP="003667F0">
      <w:pPr>
        <w:numPr>
          <w:ilvl w:val="0"/>
          <w:numId w:val="2"/>
        </w:numPr>
        <w:tabs>
          <w:tab w:val="left" w:pos="709"/>
        </w:tabs>
        <w:spacing w:before="240" w:line="480" w:lineRule="auto"/>
        <w:ind w:left="0" w:firstLine="0"/>
        <w:jc w:val="both"/>
        <w:rPr>
          <w:rFonts w:cs="Times New Roman"/>
          <w:color w:val="000000"/>
          <w:sz w:val="24"/>
          <w:szCs w:val="24"/>
        </w:rPr>
      </w:pPr>
      <w:r>
        <w:rPr>
          <w:rFonts w:cs="Times New Roman"/>
          <w:color w:val="000000"/>
          <w:sz w:val="24"/>
          <w:szCs w:val="24"/>
        </w:rPr>
        <w:t>Prior to dismissal, t</w:t>
      </w:r>
      <w:r w:rsidR="00B968CF" w:rsidRPr="0091566F">
        <w:rPr>
          <w:rFonts w:cs="Times New Roman"/>
          <w:color w:val="000000"/>
          <w:sz w:val="24"/>
          <w:szCs w:val="24"/>
        </w:rPr>
        <w:t xml:space="preserve">he </w:t>
      </w:r>
      <w:r>
        <w:rPr>
          <w:rFonts w:cs="Times New Roman"/>
          <w:color w:val="000000"/>
          <w:sz w:val="24"/>
          <w:szCs w:val="24"/>
        </w:rPr>
        <w:t>Claim</w:t>
      </w:r>
      <w:r w:rsidR="00B968CF" w:rsidRPr="0091566F">
        <w:rPr>
          <w:rFonts w:cs="Times New Roman"/>
          <w:color w:val="000000"/>
          <w:sz w:val="24"/>
          <w:szCs w:val="24"/>
        </w:rPr>
        <w:t xml:space="preserve">ant had secured alternative work with another educational institution, Coventry University. He had communicated with the Respondent about that </w:t>
      </w:r>
      <w:r>
        <w:rPr>
          <w:rFonts w:cs="Times New Roman"/>
          <w:color w:val="000000"/>
          <w:sz w:val="24"/>
          <w:szCs w:val="24"/>
        </w:rPr>
        <w:t>matter. Corre</w:t>
      </w:r>
      <w:r w:rsidR="00B968CF" w:rsidRPr="0091566F">
        <w:rPr>
          <w:rFonts w:cs="Times New Roman"/>
          <w:color w:val="000000"/>
          <w:sz w:val="24"/>
          <w:szCs w:val="24"/>
        </w:rPr>
        <w:t>spondence took place about whether the Respondent would grant him</w:t>
      </w:r>
      <w:r>
        <w:rPr>
          <w:rFonts w:cs="Times New Roman"/>
          <w:color w:val="000000"/>
          <w:sz w:val="24"/>
          <w:szCs w:val="24"/>
        </w:rPr>
        <w:t xml:space="preserve"> leave of</w:t>
      </w:r>
      <w:r w:rsidR="00B968CF" w:rsidRPr="0091566F">
        <w:rPr>
          <w:rFonts w:cs="Times New Roman"/>
          <w:color w:val="000000"/>
          <w:sz w:val="24"/>
          <w:szCs w:val="24"/>
        </w:rPr>
        <w:t xml:space="preserve"> absence so that he could take up that </w:t>
      </w:r>
      <w:r>
        <w:rPr>
          <w:rFonts w:cs="Times New Roman"/>
          <w:color w:val="000000"/>
          <w:sz w:val="24"/>
          <w:szCs w:val="24"/>
        </w:rPr>
        <w:t xml:space="preserve">alternative </w:t>
      </w:r>
      <w:r w:rsidR="00B968CF" w:rsidRPr="0091566F">
        <w:rPr>
          <w:rFonts w:cs="Times New Roman"/>
          <w:color w:val="000000"/>
          <w:sz w:val="24"/>
          <w:szCs w:val="24"/>
        </w:rPr>
        <w:t xml:space="preserve">post for </w:t>
      </w:r>
      <w:proofErr w:type="gramStart"/>
      <w:r w:rsidR="00B968CF" w:rsidRPr="0091566F">
        <w:rPr>
          <w:rFonts w:cs="Times New Roman"/>
          <w:color w:val="000000"/>
          <w:sz w:val="24"/>
          <w:szCs w:val="24"/>
        </w:rPr>
        <w:t>a period of time</w:t>
      </w:r>
      <w:proofErr w:type="gramEnd"/>
      <w:r w:rsidR="00B968CF" w:rsidRPr="0091566F">
        <w:rPr>
          <w:rFonts w:cs="Times New Roman"/>
          <w:color w:val="000000"/>
          <w:sz w:val="24"/>
          <w:szCs w:val="24"/>
        </w:rPr>
        <w:t>. Ultimately, he made an application for a sabbatical. That</w:t>
      </w:r>
      <w:r>
        <w:rPr>
          <w:rFonts w:cs="Times New Roman"/>
          <w:color w:val="000000"/>
          <w:sz w:val="24"/>
          <w:szCs w:val="24"/>
        </w:rPr>
        <w:t xml:space="preserve"> application for a</w:t>
      </w:r>
      <w:r w:rsidR="00B968CF" w:rsidRPr="0091566F">
        <w:rPr>
          <w:rFonts w:cs="Times New Roman"/>
          <w:color w:val="000000"/>
          <w:sz w:val="24"/>
          <w:szCs w:val="24"/>
        </w:rPr>
        <w:t xml:space="preserve"> sabbatical was not granted. Nonetheless, the </w:t>
      </w:r>
      <w:r>
        <w:rPr>
          <w:rFonts w:cs="Times New Roman"/>
          <w:color w:val="000000"/>
          <w:sz w:val="24"/>
          <w:szCs w:val="24"/>
        </w:rPr>
        <w:t>Claim</w:t>
      </w:r>
      <w:r w:rsidR="00B968CF" w:rsidRPr="0091566F">
        <w:rPr>
          <w:rFonts w:cs="Times New Roman"/>
          <w:color w:val="000000"/>
          <w:sz w:val="24"/>
          <w:szCs w:val="24"/>
        </w:rPr>
        <w:t xml:space="preserve">ant appears to have accepted </w:t>
      </w:r>
      <w:r w:rsidR="005B7727">
        <w:rPr>
          <w:rFonts w:cs="Times New Roman"/>
          <w:color w:val="000000"/>
          <w:sz w:val="24"/>
          <w:szCs w:val="24"/>
        </w:rPr>
        <w:t xml:space="preserve">the </w:t>
      </w:r>
      <w:r>
        <w:rPr>
          <w:rFonts w:cs="Times New Roman"/>
          <w:color w:val="000000"/>
          <w:sz w:val="24"/>
          <w:szCs w:val="24"/>
        </w:rPr>
        <w:t>role he was offered</w:t>
      </w:r>
      <w:r w:rsidR="00B968CF" w:rsidRPr="0091566F">
        <w:rPr>
          <w:rFonts w:cs="Times New Roman"/>
          <w:color w:val="000000"/>
          <w:sz w:val="24"/>
          <w:szCs w:val="24"/>
        </w:rPr>
        <w:t xml:space="preserve"> with Coventry University.</w:t>
      </w:r>
    </w:p>
    <w:p w14:paraId="161EF483" w14:textId="77777777" w:rsidR="005B7727" w:rsidRDefault="00B968CF" w:rsidP="003667F0">
      <w:pPr>
        <w:numPr>
          <w:ilvl w:val="0"/>
          <w:numId w:val="2"/>
        </w:numPr>
        <w:tabs>
          <w:tab w:val="left" w:pos="709"/>
        </w:tabs>
        <w:spacing w:before="240" w:line="480" w:lineRule="auto"/>
        <w:ind w:left="0" w:firstLine="0"/>
        <w:jc w:val="both"/>
        <w:rPr>
          <w:rFonts w:cs="Times New Roman"/>
          <w:color w:val="000000"/>
          <w:sz w:val="24"/>
          <w:szCs w:val="24"/>
        </w:rPr>
      </w:pPr>
      <w:r w:rsidRPr="0091566F">
        <w:rPr>
          <w:rFonts w:cs="Times New Roman"/>
          <w:color w:val="000000"/>
          <w:sz w:val="24"/>
          <w:szCs w:val="24"/>
        </w:rPr>
        <w:t>Disciplinary proceedings were</w:t>
      </w:r>
      <w:r w:rsidR="005C41F1">
        <w:rPr>
          <w:rFonts w:cs="Times New Roman"/>
          <w:color w:val="000000"/>
          <w:sz w:val="24"/>
          <w:szCs w:val="24"/>
        </w:rPr>
        <w:t xml:space="preserve"> commenced against the Claimant. Those disciplinary proceedings included an allegation that he had failed</w:t>
      </w:r>
      <w:r w:rsidRPr="0091566F">
        <w:rPr>
          <w:rFonts w:cs="Times New Roman"/>
          <w:color w:val="000000"/>
          <w:sz w:val="24"/>
          <w:szCs w:val="24"/>
        </w:rPr>
        <w:t xml:space="preserve"> to follow the correct procedure regarding </w:t>
      </w:r>
      <w:r w:rsidR="005C41F1">
        <w:rPr>
          <w:rFonts w:cs="Times New Roman"/>
          <w:color w:val="000000"/>
          <w:sz w:val="24"/>
          <w:szCs w:val="24"/>
        </w:rPr>
        <w:t xml:space="preserve">work being undertaken </w:t>
      </w:r>
      <w:r w:rsidRPr="0091566F">
        <w:rPr>
          <w:rFonts w:cs="Times New Roman"/>
          <w:color w:val="000000"/>
          <w:sz w:val="24"/>
          <w:szCs w:val="24"/>
        </w:rPr>
        <w:t xml:space="preserve">for another institution. </w:t>
      </w:r>
    </w:p>
    <w:p w14:paraId="7FD3D3D8" w14:textId="3DAFB966" w:rsidR="00B968CF" w:rsidRPr="0091566F" w:rsidRDefault="00B968CF" w:rsidP="003667F0">
      <w:pPr>
        <w:numPr>
          <w:ilvl w:val="0"/>
          <w:numId w:val="2"/>
        </w:numPr>
        <w:tabs>
          <w:tab w:val="left" w:pos="709"/>
        </w:tabs>
        <w:spacing w:before="240" w:line="480" w:lineRule="auto"/>
        <w:ind w:left="0" w:firstLine="0"/>
        <w:jc w:val="both"/>
        <w:rPr>
          <w:rFonts w:cs="Times New Roman"/>
          <w:color w:val="000000"/>
          <w:sz w:val="24"/>
          <w:szCs w:val="24"/>
        </w:rPr>
      </w:pPr>
      <w:r w:rsidRPr="0091566F">
        <w:rPr>
          <w:rFonts w:cs="Times New Roman"/>
          <w:color w:val="000000"/>
          <w:sz w:val="24"/>
          <w:szCs w:val="24"/>
        </w:rPr>
        <w:t xml:space="preserve">The </w:t>
      </w:r>
      <w:r w:rsidR="005C41F1">
        <w:rPr>
          <w:rFonts w:cs="Times New Roman"/>
          <w:color w:val="000000"/>
          <w:sz w:val="24"/>
          <w:szCs w:val="24"/>
        </w:rPr>
        <w:t>Claim</w:t>
      </w:r>
      <w:r w:rsidRPr="0091566F">
        <w:rPr>
          <w:rFonts w:cs="Times New Roman"/>
          <w:color w:val="000000"/>
          <w:sz w:val="24"/>
          <w:szCs w:val="24"/>
        </w:rPr>
        <w:t xml:space="preserve">ant </w:t>
      </w:r>
      <w:r w:rsidR="005B7727">
        <w:rPr>
          <w:rFonts w:cs="Times New Roman"/>
          <w:color w:val="000000"/>
          <w:sz w:val="24"/>
          <w:szCs w:val="24"/>
        </w:rPr>
        <w:t xml:space="preserve">also </w:t>
      </w:r>
      <w:r w:rsidRPr="0091566F">
        <w:rPr>
          <w:rFonts w:cs="Times New Roman"/>
          <w:color w:val="000000"/>
          <w:sz w:val="24"/>
          <w:szCs w:val="24"/>
        </w:rPr>
        <w:t xml:space="preserve">complained about treatment </w:t>
      </w:r>
      <w:r w:rsidR="005C41F1">
        <w:rPr>
          <w:rFonts w:cs="Times New Roman"/>
          <w:color w:val="000000"/>
          <w:sz w:val="24"/>
          <w:szCs w:val="24"/>
        </w:rPr>
        <w:t xml:space="preserve">he asserted he was subjected to </w:t>
      </w:r>
      <w:r w:rsidRPr="0091566F">
        <w:rPr>
          <w:rFonts w:cs="Times New Roman"/>
          <w:color w:val="000000"/>
          <w:sz w:val="24"/>
          <w:szCs w:val="24"/>
        </w:rPr>
        <w:t xml:space="preserve">whilst he had been on sickness absence </w:t>
      </w:r>
      <w:r w:rsidR="005C41F1">
        <w:rPr>
          <w:rFonts w:cs="Times New Roman"/>
          <w:color w:val="000000"/>
          <w:sz w:val="24"/>
          <w:szCs w:val="24"/>
        </w:rPr>
        <w:t xml:space="preserve">after breaking his leg. He compared the treatment he received with that the Respondent afforded to </w:t>
      </w:r>
      <w:r w:rsidRPr="0091566F">
        <w:rPr>
          <w:rFonts w:cs="Times New Roman"/>
          <w:color w:val="000000"/>
          <w:sz w:val="24"/>
          <w:szCs w:val="24"/>
        </w:rPr>
        <w:t xml:space="preserve">a </w:t>
      </w:r>
      <w:r w:rsidR="005C41F1">
        <w:rPr>
          <w:rFonts w:cs="Times New Roman"/>
          <w:color w:val="000000"/>
          <w:sz w:val="24"/>
          <w:szCs w:val="24"/>
        </w:rPr>
        <w:t xml:space="preserve">female colleague when she experienced challenging </w:t>
      </w:r>
      <w:r w:rsidRPr="0091566F">
        <w:rPr>
          <w:rFonts w:cs="Times New Roman"/>
          <w:color w:val="000000"/>
          <w:sz w:val="24"/>
          <w:szCs w:val="24"/>
        </w:rPr>
        <w:t>personal events in her life.</w:t>
      </w:r>
    </w:p>
    <w:p w14:paraId="7C7306CB" w14:textId="6D1320C9" w:rsidR="00B968CF" w:rsidRPr="0091566F" w:rsidRDefault="00B968CF" w:rsidP="003667F0">
      <w:pPr>
        <w:numPr>
          <w:ilvl w:val="0"/>
          <w:numId w:val="2"/>
        </w:numPr>
        <w:tabs>
          <w:tab w:val="left" w:pos="851"/>
        </w:tabs>
        <w:spacing w:before="240" w:line="480" w:lineRule="auto"/>
        <w:ind w:left="0" w:firstLine="0"/>
        <w:jc w:val="both"/>
        <w:rPr>
          <w:rFonts w:cs="Times New Roman"/>
          <w:color w:val="000000"/>
          <w:sz w:val="24"/>
          <w:szCs w:val="24"/>
        </w:rPr>
      </w:pPr>
      <w:r w:rsidRPr="0091566F">
        <w:rPr>
          <w:rFonts w:cs="Times New Roman"/>
          <w:color w:val="000000"/>
          <w:sz w:val="24"/>
          <w:szCs w:val="24"/>
        </w:rPr>
        <w:t>There is a specific heading in the</w:t>
      </w:r>
      <w:r w:rsidR="005C41F1">
        <w:rPr>
          <w:rFonts w:cs="Times New Roman"/>
          <w:color w:val="000000"/>
          <w:sz w:val="24"/>
          <w:szCs w:val="24"/>
        </w:rPr>
        <w:t xml:space="preserve"> Claimant’s</w:t>
      </w:r>
      <w:r w:rsidRPr="0091566F">
        <w:rPr>
          <w:rFonts w:cs="Times New Roman"/>
          <w:color w:val="000000"/>
          <w:sz w:val="24"/>
          <w:szCs w:val="24"/>
        </w:rPr>
        <w:t xml:space="preserve"> </w:t>
      </w:r>
      <w:r w:rsidR="005C41F1">
        <w:rPr>
          <w:rFonts w:cs="Times New Roman"/>
          <w:color w:val="000000"/>
          <w:sz w:val="24"/>
          <w:szCs w:val="24"/>
        </w:rPr>
        <w:t>Claim</w:t>
      </w:r>
      <w:r w:rsidRPr="0091566F">
        <w:rPr>
          <w:rFonts w:cs="Times New Roman"/>
          <w:color w:val="000000"/>
          <w:sz w:val="24"/>
          <w:szCs w:val="24"/>
        </w:rPr>
        <w:t xml:space="preserve"> Form of </w:t>
      </w:r>
      <w:r w:rsidR="005C41F1">
        <w:rPr>
          <w:rFonts w:cs="Times New Roman"/>
          <w:color w:val="000000"/>
          <w:sz w:val="24"/>
          <w:szCs w:val="24"/>
        </w:rPr>
        <w:t>“G</w:t>
      </w:r>
      <w:r w:rsidRPr="0091566F">
        <w:rPr>
          <w:rFonts w:cs="Times New Roman"/>
          <w:color w:val="000000"/>
          <w:sz w:val="24"/>
          <w:szCs w:val="24"/>
        </w:rPr>
        <w:t xml:space="preserve">ender </w:t>
      </w:r>
      <w:r w:rsidR="005C41F1">
        <w:rPr>
          <w:rFonts w:cs="Times New Roman"/>
          <w:color w:val="000000"/>
          <w:sz w:val="24"/>
          <w:szCs w:val="24"/>
        </w:rPr>
        <w:t>D</w:t>
      </w:r>
      <w:r w:rsidRPr="0091566F">
        <w:rPr>
          <w:rFonts w:cs="Times New Roman"/>
          <w:color w:val="000000"/>
          <w:sz w:val="24"/>
          <w:szCs w:val="24"/>
        </w:rPr>
        <w:t>iscrimination</w:t>
      </w:r>
      <w:r w:rsidR="005B7727">
        <w:rPr>
          <w:rFonts w:cs="Times New Roman"/>
          <w:color w:val="000000"/>
          <w:sz w:val="24"/>
          <w:szCs w:val="24"/>
        </w:rPr>
        <w:t>”</w:t>
      </w:r>
      <w:r w:rsidRPr="0091566F">
        <w:rPr>
          <w:rFonts w:cs="Times New Roman"/>
          <w:color w:val="000000"/>
          <w:sz w:val="24"/>
          <w:szCs w:val="24"/>
        </w:rPr>
        <w:t xml:space="preserve">. Under that </w:t>
      </w:r>
      <w:r w:rsidR="005C41F1">
        <w:rPr>
          <w:rFonts w:cs="Times New Roman"/>
          <w:color w:val="000000"/>
          <w:sz w:val="24"/>
          <w:szCs w:val="24"/>
        </w:rPr>
        <w:t xml:space="preserve">heading </w:t>
      </w:r>
      <w:r w:rsidRPr="0091566F">
        <w:rPr>
          <w:rFonts w:cs="Times New Roman"/>
          <w:color w:val="000000"/>
          <w:sz w:val="24"/>
          <w:szCs w:val="24"/>
        </w:rPr>
        <w:t xml:space="preserve">the </w:t>
      </w:r>
      <w:r w:rsidR="005C41F1">
        <w:rPr>
          <w:rFonts w:cs="Times New Roman"/>
          <w:color w:val="000000"/>
          <w:sz w:val="24"/>
          <w:szCs w:val="24"/>
        </w:rPr>
        <w:t>Claim</w:t>
      </w:r>
      <w:r w:rsidRPr="0091566F">
        <w:rPr>
          <w:rFonts w:cs="Times New Roman"/>
          <w:color w:val="000000"/>
          <w:sz w:val="24"/>
          <w:szCs w:val="24"/>
        </w:rPr>
        <w:t>ant stated:</w:t>
      </w:r>
    </w:p>
    <w:p w14:paraId="63D8875D" w14:textId="11DDAE71" w:rsidR="00B968CF" w:rsidRDefault="00B968CF" w:rsidP="005C41F1">
      <w:pPr>
        <w:tabs>
          <w:tab w:val="left" w:pos="851"/>
        </w:tabs>
        <w:spacing w:before="240"/>
        <w:ind w:left="720"/>
        <w:jc w:val="both"/>
        <w:rPr>
          <w:rFonts w:ascii="TimesNewRomanPSMT" w:hAnsi="TimesNewRomanPSMT" w:cs="TimesNewRomanPSMT"/>
          <w:color w:val="000000"/>
          <w:sz w:val="24"/>
          <w:szCs w:val="24"/>
        </w:rPr>
      </w:pPr>
      <w:r w:rsidRPr="0091566F">
        <w:rPr>
          <w:rFonts w:cs="Times New Roman"/>
          <w:color w:val="000000"/>
          <w:sz w:val="24"/>
          <w:szCs w:val="24"/>
        </w:rPr>
        <w:t>“</w:t>
      </w:r>
      <w:r w:rsidRPr="0091566F">
        <w:rPr>
          <w:rFonts w:ascii="TimesNewRomanPSMT" w:hAnsi="TimesNewRomanPSMT" w:cs="TimesNewRomanPSMT"/>
          <w:color w:val="000000"/>
          <w:sz w:val="24"/>
          <w:szCs w:val="24"/>
        </w:rPr>
        <w:t xml:space="preserve">The Respondent is a complicated eco-system where, with a bit of over-simplification, the female administrators, Dean Anna </w:t>
      </w:r>
      <w:proofErr w:type="spellStart"/>
      <w:r w:rsidRPr="0091566F">
        <w:rPr>
          <w:rFonts w:ascii="TimesNewRomanPSMT" w:hAnsi="TimesNewRomanPSMT" w:cs="TimesNewRomanPSMT"/>
          <w:color w:val="000000"/>
          <w:sz w:val="24"/>
          <w:szCs w:val="24"/>
        </w:rPr>
        <w:t>Cyprio</w:t>
      </w:r>
      <w:proofErr w:type="spellEnd"/>
      <w:r w:rsidRPr="0091566F">
        <w:rPr>
          <w:rFonts w:ascii="TimesNewRomanPSMT" w:hAnsi="TimesNewRomanPSMT" w:cs="TimesNewRomanPSMT"/>
          <w:color w:val="000000"/>
          <w:sz w:val="24"/>
          <w:szCs w:val="24"/>
        </w:rPr>
        <w:t xml:space="preserve">, Deputy Dean Heather Clay before, Deputy Dean Tracy </w:t>
      </w:r>
      <w:proofErr w:type="spellStart"/>
      <w:r w:rsidRPr="0091566F">
        <w:rPr>
          <w:rFonts w:ascii="TimesNewRomanPSMT" w:hAnsi="TimesNewRomanPSMT" w:cs="TimesNewRomanPSMT"/>
          <w:color w:val="000000"/>
          <w:sz w:val="24"/>
          <w:szCs w:val="24"/>
        </w:rPr>
        <w:t>Copperton</w:t>
      </w:r>
      <w:proofErr w:type="spellEnd"/>
      <w:r w:rsidRPr="0091566F">
        <w:rPr>
          <w:rFonts w:ascii="TimesNewRomanPSMT" w:hAnsi="TimesNewRomanPSMT" w:cs="TimesNewRomanPSMT"/>
          <w:color w:val="000000"/>
          <w:sz w:val="24"/>
          <w:szCs w:val="24"/>
        </w:rPr>
        <w:t xml:space="preserve"> at the time I was dismissed</w:t>
      </w:r>
      <w:r w:rsidR="005C41F1">
        <w:rPr>
          <w:rFonts w:ascii="TimesNewRomanPSMT" w:hAnsi="TimesNewRomanPSMT" w:cs="TimesNewRomanPSMT"/>
          <w:color w:val="000000"/>
          <w:sz w:val="24"/>
          <w:szCs w:val="24"/>
        </w:rPr>
        <w:t>,</w:t>
      </w:r>
      <w:r w:rsidRPr="0091566F">
        <w:rPr>
          <w:rFonts w:ascii="TimesNewRomanPSMT" w:hAnsi="TimesNewRomanPSMT" w:cs="TimesNewRomanPSMT"/>
          <w:color w:val="000000"/>
          <w:sz w:val="24"/>
          <w:szCs w:val="24"/>
        </w:rPr>
        <w:t xml:space="preserve"> come to work and run the day to day affairs </w:t>
      </w:r>
      <w:r w:rsidRPr="0091566F">
        <w:rPr>
          <w:rFonts w:ascii="TimesNewRomanPSMT" w:hAnsi="TimesNewRomanPSMT" w:cs="TimesNewRomanPSMT"/>
          <w:color w:val="000000"/>
          <w:sz w:val="24"/>
          <w:szCs w:val="24"/>
        </w:rPr>
        <w:lastRenderedPageBreak/>
        <w:t>unchecked.”</w:t>
      </w:r>
    </w:p>
    <w:p w14:paraId="0079DC6D" w14:textId="77777777" w:rsidR="005B7727" w:rsidRPr="0091566F" w:rsidRDefault="005B7727" w:rsidP="005C41F1">
      <w:pPr>
        <w:tabs>
          <w:tab w:val="left" w:pos="851"/>
        </w:tabs>
        <w:spacing w:before="240"/>
        <w:ind w:left="720"/>
        <w:jc w:val="both"/>
        <w:rPr>
          <w:rFonts w:ascii="TimesNewRomanPSMT" w:hAnsi="TimesNewRomanPSMT" w:cs="TimesNewRomanPSMT"/>
          <w:color w:val="000000"/>
          <w:sz w:val="24"/>
          <w:szCs w:val="24"/>
        </w:rPr>
      </w:pPr>
    </w:p>
    <w:p w14:paraId="04CDF11A" w14:textId="58C96E64" w:rsidR="00B968CF" w:rsidRPr="0091566F" w:rsidRDefault="00810C4D"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T</w:t>
      </w:r>
      <w:r w:rsidR="00B968CF" w:rsidRPr="0091566F">
        <w:rPr>
          <w:rFonts w:ascii="TimesNewRomanPSMT" w:hAnsi="TimesNewRomanPSMT" w:cs="TimesNewRomanPSMT"/>
          <w:color w:val="000000"/>
          <w:sz w:val="24"/>
          <w:szCs w:val="24"/>
        </w:rPr>
        <w:t xml:space="preserve">he </w:t>
      </w:r>
      <w:r w:rsidR="005C41F1">
        <w:rPr>
          <w:rFonts w:ascii="TimesNewRomanPSMT" w:hAnsi="TimesNewRomanPSMT" w:cs="TimesNewRomanPSMT"/>
          <w:color w:val="000000"/>
          <w:sz w:val="24"/>
          <w:szCs w:val="24"/>
        </w:rPr>
        <w:t>Claim</w:t>
      </w:r>
      <w:r w:rsidR="00B968CF" w:rsidRPr="0091566F">
        <w:rPr>
          <w:rFonts w:ascii="TimesNewRomanPSMT" w:hAnsi="TimesNewRomanPSMT" w:cs="TimesNewRomanPSMT"/>
          <w:color w:val="000000"/>
          <w:sz w:val="24"/>
          <w:szCs w:val="24"/>
        </w:rPr>
        <w:t xml:space="preserve">ant made </w:t>
      </w:r>
      <w:proofErr w:type="gramStart"/>
      <w:r w:rsidR="00B968CF" w:rsidRPr="0091566F">
        <w:rPr>
          <w:rFonts w:ascii="TimesNewRomanPSMT" w:hAnsi="TimesNewRomanPSMT" w:cs="TimesNewRomanPSMT"/>
          <w:color w:val="000000"/>
          <w:sz w:val="24"/>
          <w:szCs w:val="24"/>
        </w:rPr>
        <w:t>a number of</w:t>
      </w:r>
      <w:proofErr w:type="gramEnd"/>
      <w:r w:rsidR="00B968CF" w:rsidRPr="0091566F">
        <w:rPr>
          <w:rFonts w:ascii="TimesNewRomanPSMT" w:hAnsi="TimesNewRomanPSMT" w:cs="TimesNewRomanPSMT"/>
          <w:color w:val="000000"/>
          <w:sz w:val="24"/>
          <w:szCs w:val="24"/>
        </w:rPr>
        <w:t xml:space="preserve"> specific allegations about what h</w:t>
      </w:r>
      <w:r>
        <w:rPr>
          <w:rFonts w:ascii="TimesNewRomanPSMT" w:hAnsi="TimesNewRomanPSMT" w:cs="TimesNewRomanPSMT"/>
          <w:color w:val="000000"/>
          <w:sz w:val="24"/>
          <w:szCs w:val="24"/>
        </w:rPr>
        <w:t xml:space="preserve">e alleged </w:t>
      </w:r>
      <w:r w:rsidR="00B968CF" w:rsidRPr="0091566F">
        <w:rPr>
          <w:rFonts w:ascii="TimesNewRomanPSMT" w:hAnsi="TimesNewRomanPSMT" w:cs="TimesNewRomanPSMT"/>
          <w:color w:val="000000"/>
          <w:sz w:val="24"/>
          <w:szCs w:val="24"/>
        </w:rPr>
        <w:t xml:space="preserve">was less favourable treatment of him because of his sex. He identified </w:t>
      </w:r>
      <w:r>
        <w:rPr>
          <w:rFonts w:ascii="TimesNewRomanPSMT" w:hAnsi="TimesNewRomanPSMT" w:cs="TimesNewRomanPSMT"/>
          <w:color w:val="000000"/>
          <w:sz w:val="24"/>
          <w:szCs w:val="24"/>
        </w:rPr>
        <w:t>specific</w:t>
      </w:r>
      <w:r w:rsidR="00B968CF" w:rsidRPr="0091566F">
        <w:rPr>
          <w:rFonts w:ascii="TimesNewRomanPSMT" w:hAnsi="TimesNewRomanPSMT" w:cs="TimesNewRomanPSMT"/>
          <w:color w:val="000000"/>
          <w:sz w:val="24"/>
          <w:szCs w:val="24"/>
        </w:rPr>
        <w:t xml:space="preserve"> female comparators. First, he had stated that a female colleague had asked for a </w:t>
      </w:r>
      <w:r w:rsidR="006F7D5A" w:rsidRPr="0091566F">
        <w:rPr>
          <w:rFonts w:ascii="TimesNewRomanPSMT" w:hAnsi="TimesNewRomanPSMT" w:cs="TimesNewRomanPSMT"/>
          <w:color w:val="000000"/>
          <w:sz w:val="24"/>
          <w:szCs w:val="24"/>
        </w:rPr>
        <w:t>sabbatical,</w:t>
      </w:r>
      <w:r w:rsidR="00B968CF" w:rsidRPr="0091566F">
        <w:rPr>
          <w:rFonts w:ascii="TimesNewRomanPSMT" w:hAnsi="TimesNewRomanPSMT" w:cs="TimesNewRomanPSMT"/>
          <w:color w:val="000000"/>
          <w:sz w:val="24"/>
          <w:szCs w:val="24"/>
        </w:rPr>
        <w:t xml:space="preserve"> and </w:t>
      </w:r>
      <w:r>
        <w:rPr>
          <w:rFonts w:ascii="TimesNewRomanPSMT" w:hAnsi="TimesNewRomanPSMT" w:cs="TimesNewRomanPSMT"/>
          <w:color w:val="000000"/>
          <w:sz w:val="24"/>
          <w:szCs w:val="24"/>
        </w:rPr>
        <w:t xml:space="preserve">that </w:t>
      </w:r>
      <w:r w:rsidR="00B968CF" w:rsidRPr="0091566F">
        <w:rPr>
          <w:rFonts w:ascii="TimesNewRomanPSMT" w:hAnsi="TimesNewRomanPSMT" w:cs="TimesNewRomanPSMT"/>
          <w:color w:val="000000"/>
          <w:sz w:val="24"/>
          <w:szCs w:val="24"/>
        </w:rPr>
        <w:t>she was given it</w:t>
      </w:r>
      <w:r w:rsidR="005B7727">
        <w:rPr>
          <w:rFonts w:ascii="TimesNewRomanPSMT" w:hAnsi="TimesNewRomanPSMT" w:cs="TimesNewRomanPSMT"/>
          <w:color w:val="000000"/>
          <w:sz w:val="24"/>
          <w:szCs w:val="24"/>
        </w:rPr>
        <w:t>,</w:t>
      </w:r>
      <w:r w:rsidR="00B968CF" w:rsidRPr="0091566F">
        <w:rPr>
          <w:rFonts w:ascii="TimesNewRomanPSMT" w:hAnsi="TimesNewRomanPSMT" w:cs="TimesNewRomanPSMT"/>
          <w:color w:val="000000"/>
          <w:sz w:val="24"/>
          <w:szCs w:val="24"/>
        </w:rPr>
        <w:t xml:space="preserve"> in no time</w:t>
      </w:r>
      <w:r w:rsidR="005B7727">
        <w:rPr>
          <w:rFonts w:ascii="TimesNewRomanPSMT" w:hAnsi="TimesNewRomanPSMT" w:cs="TimesNewRomanPSMT"/>
          <w:color w:val="000000"/>
          <w:sz w:val="24"/>
          <w:szCs w:val="24"/>
        </w:rPr>
        <w:t>,</w:t>
      </w:r>
      <w:r w:rsidR="00B968CF" w:rsidRPr="0091566F">
        <w:rPr>
          <w:rFonts w:ascii="TimesNewRomanPSMT" w:hAnsi="TimesNewRomanPSMT" w:cs="TimesNewRomanPSMT"/>
          <w:color w:val="000000"/>
          <w:sz w:val="24"/>
          <w:szCs w:val="24"/>
        </w:rPr>
        <w:t xml:space="preserve"> without any problem. </w:t>
      </w:r>
      <w:r>
        <w:rPr>
          <w:rFonts w:ascii="TimesNewRomanPSMT" w:hAnsi="TimesNewRomanPSMT" w:cs="TimesNewRomanPSMT"/>
          <w:color w:val="000000"/>
          <w:sz w:val="24"/>
          <w:szCs w:val="24"/>
        </w:rPr>
        <w:t>He asserted that, conversely,</w:t>
      </w:r>
      <w:r w:rsidR="00B968CF" w:rsidRPr="0091566F">
        <w:rPr>
          <w:rFonts w:ascii="TimesNewRomanPSMT" w:hAnsi="TimesNewRomanPSMT" w:cs="TimesNewRomanPSMT"/>
          <w:color w:val="000000"/>
          <w:sz w:val="24"/>
          <w:szCs w:val="24"/>
        </w:rPr>
        <w:t xml:space="preserve"> when he asked for a </w:t>
      </w:r>
      <w:r w:rsidR="006F7D5A" w:rsidRPr="0091566F">
        <w:rPr>
          <w:rFonts w:ascii="TimesNewRomanPSMT" w:hAnsi="TimesNewRomanPSMT" w:cs="TimesNewRomanPSMT"/>
          <w:color w:val="000000"/>
          <w:sz w:val="24"/>
          <w:szCs w:val="24"/>
        </w:rPr>
        <w:t>sabbatical,</w:t>
      </w:r>
      <w:r w:rsidR="00B968CF" w:rsidRPr="0091566F">
        <w:rPr>
          <w:rFonts w:ascii="TimesNewRomanPSMT" w:hAnsi="TimesNewRomanPSMT" w:cs="TimesNewRomanPSMT"/>
          <w:color w:val="000000"/>
          <w:sz w:val="24"/>
          <w:szCs w:val="24"/>
        </w:rPr>
        <w:t xml:space="preserve"> he was</w:t>
      </w:r>
      <w:r>
        <w:rPr>
          <w:rFonts w:ascii="TimesNewRomanPSMT" w:hAnsi="TimesNewRomanPSMT" w:cs="TimesNewRomanPSMT"/>
          <w:color w:val="000000"/>
          <w:sz w:val="24"/>
          <w:szCs w:val="24"/>
        </w:rPr>
        <w:t>”</w:t>
      </w:r>
      <w:r w:rsidR="00B968CF" w:rsidRPr="0091566F">
        <w:rPr>
          <w:rFonts w:ascii="TimesNewRomanPSMT" w:hAnsi="TimesNewRomanPSMT" w:cs="TimesNewRomanPSMT"/>
          <w:color w:val="000000"/>
          <w:sz w:val="24"/>
          <w:szCs w:val="24"/>
        </w:rPr>
        <w:t xml:space="preserve"> dragged through the disciplinarian circus</w:t>
      </w:r>
      <w:r>
        <w:rPr>
          <w:rFonts w:ascii="TimesNewRomanPSMT" w:hAnsi="TimesNewRomanPSMT" w:cs="TimesNewRomanPSMT"/>
          <w:color w:val="000000"/>
          <w:sz w:val="24"/>
          <w:szCs w:val="24"/>
        </w:rPr>
        <w:t>”</w:t>
      </w:r>
      <w:r w:rsidR="00B968CF" w:rsidRPr="0091566F">
        <w:rPr>
          <w:rFonts w:ascii="TimesNewRomanPSMT" w:hAnsi="TimesNewRomanPSMT" w:cs="TimesNewRomanPSMT"/>
          <w:color w:val="000000"/>
          <w:sz w:val="24"/>
          <w:szCs w:val="24"/>
        </w:rPr>
        <w:t>. He complained about applications for posts</w:t>
      </w:r>
      <w:r>
        <w:rPr>
          <w:rFonts w:ascii="TimesNewRomanPSMT" w:hAnsi="TimesNewRomanPSMT" w:cs="TimesNewRomanPSMT"/>
          <w:color w:val="000000"/>
          <w:sz w:val="24"/>
          <w:szCs w:val="24"/>
        </w:rPr>
        <w:t xml:space="preserve"> he had made, asserting that </w:t>
      </w:r>
      <w:r w:rsidR="00B968CF" w:rsidRPr="0091566F">
        <w:rPr>
          <w:rFonts w:ascii="TimesNewRomanPSMT" w:hAnsi="TimesNewRomanPSMT" w:cs="TimesNewRomanPSMT"/>
          <w:color w:val="000000"/>
          <w:sz w:val="24"/>
          <w:szCs w:val="24"/>
        </w:rPr>
        <w:t>women were appointed who were less qualified than him. He stated that</w:t>
      </w:r>
      <w:r>
        <w:rPr>
          <w:rFonts w:ascii="TimesNewRomanPSMT" w:hAnsi="TimesNewRomanPSMT" w:cs="TimesNewRomanPSMT"/>
          <w:color w:val="000000"/>
          <w:sz w:val="24"/>
          <w:szCs w:val="24"/>
        </w:rPr>
        <w:t>, in that regard,</w:t>
      </w:r>
      <w:r w:rsidR="00B968CF" w:rsidRPr="0091566F">
        <w:rPr>
          <w:rFonts w:ascii="TimesNewRomanPSMT" w:hAnsi="TimesNewRomanPSMT" w:cs="TimesNewRomanPSMT"/>
          <w:color w:val="000000"/>
          <w:sz w:val="24"/>
          <w:szCs w:val="24"/>
        </w:rPr>
        <w:t xml:space="preserve"> he was treated less favourably than an actual comparator, </w:t>
      </w:r>
      <w:r>
        <w:rPr>
          <w:rFonts w:ascii="TimesNewRomanPSMT" w:hAnsi="TimesNewRomanPSMT" w:cs="TimesNewRomanPSMT"/>
          <w:color w:val="000000"/>
          <w:sz w:val="24"/>
          <w:szCs w:val="24"/>
        </w:rPr>
        <w:t>“F</w:t>
      </w:r>
      <w:r w:rsidR="00B968CF" w:rsidRPr="0091566F">
        <w:rPr>
          <w:rFonts w:ascii="TimesNewRomanPSMT" w:hAnsi="TimesNewRomanPSMT" w:cs="TimesNewRomanPSMT"/>
          <w:color w:val="000000"/>
          <w:sz w:val="24"/>
          <w:szCs w:val="24"/>
        </w:rPr>
        <w:t>emale 1</w:t>
      </w:r>
      <w:r>
        <w:rPr>
          <w:rFonts w:ascii="TimesNewRomanPSMT" w:hAnsi="TimesNewRomanPSMT" w:cs="TimesNewRomanPSMT"/>
          <w:color w:val="000000"/>
          <w:sz w:val="24"/>
          <w:szCs w:val="24"/>
        </w:rPr>
        <w:t>”:</w:t>
      </w:r>
      <w:r w:rsidR="00B968CF" w:rsidRPr="0091566F">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h</w:t>
      </w:r>
      <w:r w:rsidR="00B968CF" w:rsidRPr="0091566F">
        <w:rPr>
          <w:rFonts w:ascii="TimesNewRomanPSMT" w:hAnsi="TimesNewRomanPSMT" w:cs="TimesNewRomanPSMT"/>
          <w:color w:val="000000"/>
          <w:sz w:val="24"/>
          <w:szCs w:val="24"/>
        </w:rPr>
        <w:t xml:space="preserve">er husband </w:t>
      </w:r>
      <w:r>
        <w:rPr>
          <w:rFonts w:ascii="TimesNewRomanPSMT" w:hAnsi="TimesNewRomanPSMT" w:cs="TimesNewRomanPSMT"/>
          <w:color w:val="000000"/>
          <w:sz w:val="24"/>
          <w:szCs w:val="24"/>
        </w:rPr>
        <w:t>had been</w:t>
      </w:r>
      <w:r w:rsidR="00B968CF" w:rsidRPr="0091566F">
        <w:rPr>
          <w:rFonts w:ascii="TimesNewRomanPSMT" w:hAnsi="TimesNewRomanPSMT" w:cs="TimesNewRomanPSMT"/>
          <w:color w:val="000000"/>
          <w:sz w:val="24"/>
          <w:szCs w:val="24"/>
        </w:rPr>
        <w:t xml:space="preserve"> </w:t>
      </w:r>
      <w:proofErr w:type="gramStart"/>
      <w:r w:rsidR="00B968CF" w:rsidRPr="0091566F">
        <w:rPr>
          <w:rFonts w:ascii="TimesNewRomanPSMT" w:hAnsi="TimesNewRomanPSMT" w:cs="TimesNewRomanPSMT"/>
          <w:color w:val="000000"/>
          <w:sz w:val="24"/>
          <w:szCs w:val="24"/>
        </w:rPr>
        <w:t>ill</w:t>
      </w:r>
      <w:proofErr w:type="gramEnd"/>
      <w:r w:rsidR="00B968CF" w:rsidRPr="0091566F">
        <w:rPr>
          <w:rFonts w:ascii="TimesNewRomanPSMT" w:hAnsi="TimesNewRomanPSMT" w:cs="TimesNewRomanPSMT"/>
          <w:color w:val="000000"/>
          <w:sz w:val="24"/>
          <w:szCs w:val="24"/>
        </w:rPr>
        <w:t xml:space="preserve"> and she was given time away from teaching for a whole year. On the contrary, he stated that when he broke his leg</w:t>
      </w:r>
      <w:r w:rsidR="005B7727">
        <w:rPr>
          <w:rFonts w:ascii="TimesNewRomanPSMT" w:hAnsi="TimesNewRomanPSMT" w:cs="TimesNewRomanPSMT"/>
          <w:color w:val="000000"/>
          <w:sz w:val="24"/>
          <w:szCs w:val="24"/>
        </w:rPr>
        <w:t>,</w:t>
      </w:r>
      <w:r w:rsidR="00B968CF" w:rsidRPr="0091566F">
        <w:rPr>
          <w:rFonts w:ascii="TimesNewRomanPSMT" w:hAnsi="TimesNewRomanPSMT" w:cs="TimesNewRomanPSMT"/>
          <w:color w:val="000000"/>
          <w:sz w:val="24"/>
          <w:szCs w:val="24"/>
        </w:rPr>
        <w:t xml:space="preserve"> he was dragged through months of disciplinary investigations.</w:t>
      </w:r>
    </w:p>
    <w:p w14:paraId="6BA71EA7" w14:textId="25E9C64F" w:rsidR="00B968CF" w:rsidRPr="0091566F" w:rsidRDefault="00810C4D"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There were other complaints within the Claimant’s </w:t>
      </w:r>
      <w:r w:rsidR="005C41F1">
        <w:rPr>
          <w:rFonts w:ascii="TimesNewRomanPSMT" w:hAnsi="TimesNewRomanPSMT" w:cs="TimesNewRomanPSMT"/>
          <w:color w:val="000000"/>
          <w:sz w:val="24"/>
          <w:szCs w:val="24"/>
        </w:rPr>
        <w:t>Claim</w:t>
      </w:r>
      <w:r w:rsidR="00B968CF" w:rsidRPr="0091566F">
        <w:rPr>
          <w:rFonts w:ascii="TimesNewRomanPSMT" w:hAnsi="TimesNewRomanPSMT" w:cs="TimesNewRomanPSMT"/>
          <w:color w:val="000000"/>
          <w:sz w:val="24"/>
          <w:szCs w:val="24"/>
        </w:rPr>
        <w:t xml:space="preserve"> Form</w:t>
      </w:r>
      <w:r>
        <w:rPr>
          <w:rFonts w:ascii="TimesNewRomanPSMT" w:hAnsi="TimesNewRomanPSMT" w:cs="TimesNewRomanPSMT"/>
          <w:color w:val="000000"/>
          <w:sz w:val="24"/>
          <w:szCs w:val="24"/>
        </w:rPr>
        <w:t xml:space="preserve">. For example, complaints where reference is made to a male comparator. </w:t>
      </w:r>
      <w:r w:rsidR="00B968CF" w:rsidRPr="0091566F">
        <w:rPr>
          <w:rFonts w:ascii="TimesNewRomanPSMT" w:hAnsi="TimesNewRomanPSMT" w:cs="TimesNewRomanPSMT"/>
          <w:color w:val="000000"/>
          <w:sz w:val="24"/>
          <w:szCs w:val="24"/>
        </w:rPr>
        <w:t xml:space="preserve">Nonetheless, in the </w:t>
      </w:r>
      <w:r w:rsidR="005C41F1">
        <w:rPr>
          <w:rFonts w:ascii="TimesNewRomanPSMT" w:hAnsi="TimesNewRomanPSMT" w:cs="TimesNewRomanPSMT"/>
          <w:color w:val="000000"/>
          <w:sz w:val="24"/>
          <w:szCs w:val="24"/>
        </w:rPr>
        <w:t>Claim</w:t>
      </w:r>
      <w:r w:rsidR="00B968CF" w:rsidRPr="0091566F">
        <w:rPr>
          <w:rFonts w:ascii="TimesNewRomanPSMT" w:hAnsi="TimesNewRomanPSMT" w:cs="TimesNewRomanPSMT"/>
          <w:color w:val="000000"/>
          <w:sz w:val="24"/>
          <w:szCs w:val="24"/>
        </w:rPr>
        <w:t xml:space="preserve"> Form the </w:t>
      </w:r>
      <w:r w:rsidR="005C41F1">
        <w:rPr>
          <w:rFonts w:ascii="TimesNewRomanPSMT" w:hAnsi="TimesNewRomanPSMT" w:cs="TimesNewRomanPSMT"/>
          <w:color w:val="000000"/>
          <w:sz w:val="24"/>
          <w:szCs w:val="24"/>
        </w:rPr>
        <w:t>Claim</w:t>
      </w:r>
      <w:r w:rsidR="00B968CF" w:rsidRPr="0091566F">
        <w:rPr>
          <w:rFonts w:ascii="TimesNewRomanPSMT" w:hAnsi="TimesNewRomanPSMT" w:cs="TimesNewRomanPSMT"/>
          <w:color w:val="000000"/>
          <w:sz w:val="24"/>
          <w:szCs w:val="24"/>
        </w:rPr>
        <w:t xml:space="preserve">ant makes </w:t>
      </w:r>
      <w:proofErr w:type="gramStart"/>
      <w:r w:rsidR="00B968CF" w:rsidRPr="0091566F">
        <w:rPr>
          <w:rFonts w:ascii="TimesNewRomanPSMT" w:hAnsi="TimesNewRomanPSMT" w:cs="TimesNewRomanPSMT"/>
          <w:color w:val="000000"/>
          <w:sz w:val="24"/>
          <w:szCs w:val="24"/>
        </w:rPr>
        <w:t>a number of</w:t>
      </w:r>
      <w:proofErr w:type="gramEnd"/>
      <w:r w:rsidR="00B968CF" w:rsidRPr="0091566F">
        <w:rPr>
          <w:rFonts w:ascii="TimesNewRomanPSMT" w:hAnsi="TimesNewRomanPSMT" w:cs="TimesNewRomanPSMT"/>
          <w:color w:val="000000"/>
          <w:sz w:val="24"/>
          <w:szCs w:val="24"/>
        </w:rPr>
        <w:t xml:space="preserve"> specific allegations of sex discrimination and also link</w:t>
      </w:r>
      <w:r>
        <w:rPr>
          <w:rFonts w:ascii="TimesNewRomanPSMT" w:hAnsi="TimesNewRomanPSMT" w:cs="TimesNewRomanPSMT"/>
          <w:color w:val="000000"/>
          <w:sz w:val="24"/>
          <w:szCs w:val="24"/>
        </w:rPr>
        <w:t>ed</w:t>
      </w:r>
      <w:r w:rsidR="00B968CF" w:rsidRPr="0091566F">
        <w:rPr>
          <w:rFonts w:ascii="TimesNewRomanPSMT" w:hAnsi="TimesNewRomanPSMT" w:cs="TimesNewRomanPSMT"/>
          <w:color w:val="000000"/>
          <w:sz w:val="24"/>
          <w:szCs w:val="24"/>
        </w:rPr>
        <w:t xml:space="preserve"> his request for a sabbatical with the subsequent disciplinary proceedings that he was subjected to.  </w:t>
      </w:r>
    </w:p>
    <w:p w14:paraId="054FCCF4" w14:textId="3B429F6D" w:rsidR="00B968CF" w:rsidRPr="0091566F" w:rsidRDefault="00B968CF"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sidRPr="0091566F">
        <w:rPr>
          <w:rFonts w:ascii="TimesNewRomanPSMT" w:hAnsi="TimesNewRomanPSMT" w:cs="TimesNewRomanPSMT"/>
          <w:color w:val="000000"/>
          <w:sz w:val="24"/>
          <w:szCs w:val="24"/>
        </w:rPr>
        <w:t>The Respondent lodged a Response. In it</w:t>
      </w:r>
      <w:r w:rsidR="00810C4D">
        <w:rPr>
          <w:rFonts w:ascii="TimesNewRomanPSMT" w:hAnsi="TimesNewRomanPSMT" w:cs="TimesNewRomanPSMT"/>
          <w:color w:val="000000"/>
          <w:sz w:val="24"/>
          <w:szCs w:val="24"/>
        </w:rPr>
        <w:t>,</w:t>
      </w:r>
      <w:r w:rsidRPr="0091566F">
        <w:rPr>
          <w:rFonts w:ascii="TimesNewRomanPSMT" w:hAnsi="TimesNewRomanPSMT" w:cs="TimesNewRomanPSMT"/>
          <w:color w:val="000000"/>
          <w:sz w:val="24"/>
          <w:szCs w:val="24"/>
        </w:rPr>
        <w:t xml:space="preserve"> it asserted that the </w:t>
      </w:r>
      <w:r w:rsidR="005C41F1">
        <w:rPr>
          <w:rFonts w:ascii="TimesNewRomanPSMT" w:hAnsi="TimesNewRomanPSMT" w:cs="TimesNewRomanPSMT"/>
          <w:color w:val="000000"/>
          <w:sz w:val="24"/>
          <w:szCs w:val="24"/>
        </w:rPr>
        <w:t>Claim</w:t>
      </w:r>
      <w:r w:rsidRPr="0091566F">
        <w:rPr>
          <w:rFonts w:ascii="TimesNewRomanPSMT" w:hAnsi="TimesNewRomanPSMT" w:cs="TimesNewRomanPSMT"/>
          <w:color w:val="000000"/>
          <w:sz w:val="24"/>
          <w:szCs w:val="24"/>
        </w:rPr>
        <w:t xml:space="preserve">ant’s </w:t>
      </w:r>
      <w:r w:rsidR="00810C4D">
        <w:rPr>
          <w:rFonts w:ascii="TimesNewRomanPSMT" w:hAnsi="TimesNewRomanPSMT" w:cs="TimesNewRomanPSMT"/>
          <w:color w:val="000000"/>
          <w:sz w:val="24"/>
          <w:szCs w:val="24"/>
        </w:rPr>
        <w:t>c</w:t>
      </w:r>
      <w:r w:rsidR="005C41F1">
        <w:rPr>
          <w:rFonts w:ascii="TimesNewRomanPSMT" w:hAnsi="TimesNewRomanPSMT" w:cs="TimesNewRomanPSMT"/>
          <w:color w:val="000000"/>
          <w:sz w:val="24"/>
          <w:szCs w:val="24"/>
        </w:rPr>
        <w:t>laim</w:t>
      </w:r>
      <w:r w:rsidRPr="0091566F">
        <w:rPr>
          <w:rFonts w:ascii="TimesNewRomanPSMT" w:hAnsi="TimesNewRomanPSMT" w:cs="TimesNewRomanPSMT"/>
          <w:color w:val="000000"/>
          <w:sz w:val="24"/>
          <w:szCs w:val="24"/>
        </w:rPr>
        <w:t xml:space="preserve">s of sex discrimination were out of time. Furthermore, the Respondent stated that the </w:t>
      </w:r>
      <w:r w:rsidR="005C41F1">
        <w:rPr>
          <w:rFonts w:ascii="TimesNewRomanPSMT" w:hAnsi="TimesNewRomanPSMT" w:cs="TimesNewRomanPSMT"/>
          <w:color w:val="000000"/>
          <w:sz w:val="24"/>
          <w:szCs w:val="24"/>
        </w:rPr>
        <w:t>Claim</w:t>
      </w:r>
      <w:r w:rsidRPr="0091566F">
        <w:rPr>
          <w:rFonts w:ascii="TimesNewRomanPSMT" w:hAnsi="TimesNewRomanPSMT" w:cs="TimesNewRomanPSMT"/>
          <w:color w:val="000000"/>
          <w:sz w:val="24"/>
          <w:szCs w:val="24"/>
        </w:rPr>
        <w:t>ant had been dismissed following an investigation into various acts of alleged misconduct</w:t>
      </w:r>
      <w:r w:rsidR="00810C4D">
        <w:rPr>
          <w:rFonts w:ascii="TimesNewRomanPSMT" w:hAnsi="TimesNewRomanPSMT" w:cs="TimesNewRomanPSMT"/>
          <w:color w:val="000000"/>
          <w:sz w:val="24"/>
          <w:szCs w:val="24"/>
        </w:rPr>
        <w:t>,</w:t>
      </w:r>
      <w:r w:rsidRPr="0091566F">
        <w:rPr>
          <w:rFonts w:ascii="TimesNewRomanPSMT" w:hAnsi="TimesNewRomanPSMT" w:cs="TimesNewRomanPSMT"/>
          <w:color w:val="000000"/>
          <w:sz w:val="24"/>
          <w:szCs w:val="24"/>
        </w:rPr>
        <w:t xml:space="preserve"> including potential breach of his employment contract and failure to follow the Respondent’s procedures.</w:t>
      </w:r>
    </w:p>
    <w:p w14:paraId="61766FD9" w14:textId="683BA33E" w:rsidR="00B968CF" w:rsidRPr="0091566F" w:rsidRDefault="00B968CF"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sidRPr="0091566F">
        <w:rPr>
          <w:rFonts w:ascii="TimesNewRomanPSMT" w:hAnsi="TimesNewRomanPSMT" w:cs="TimesNewRomanPSMT"/>
          <w:color w:val="000000"/>
          <w:sz w:val="24"/>
          <w:szCs w:val="24"/>
        </w:rPr>
        <w:t>By an email letter dated 24 August 2020</w:t>
      </w:r>
      <w:r w:rsidR="00810C4D">
        <w:rPr>
          <w:rFonts w:ascii="TimesNewRomanPSMT" w:hAnsi="TimesNewRomanPSMT" w:cs="TimesNewRomanPSMT"/>
          <w:color w:val="000000"/>
          <w:sz w:val="24"/>
          <w:szCs w:val="24"/>
        </w:rPr>
        <w:t>,</w:t>
      </w:r>
      <w:r w:rsidRPr="0091566F">
        <w:rPr>
          <w:rFonts w:ascii="TimesNewRomanPSMT" w:hAnsi="TimesNewRomanPSMT" w:cs="TimesNewRomanPSMT"/>
          <w:color w:val="000000"/>
          <w:sz w:val="24"/>
          <w:szCs w:val="24"/>
        </w:rPr>
        <w:t xml:space="preserve"> solicitors acting for the Respondent made an application for an </w:t>
      </w:r>
      <w:r w:rsidR="00810C4D">
        <w:rPr>
          <w:rFonts w:ascii="TimesNewRomanPSMT" w:hAnsi="TimesNewRomanPSMT" w:cs="TimesNewRomanPSMT"/>
          <w:color w:val="000000"/>
          <w:sz w:val="24"/>
          <w:szCs w:val="24"/>
        </w:rPr>
        <w:t>O</w:t>
      </w:r>
      <w:r w:rsidRPr="0091566F">
        <w:rPr>
          <w:rFonts w:ascii="TimesNewRomanPSMT" w:hAnsi="TimesNewRomanPSMT" w:cs="TimesNewRomanPSMT"/>
          <w:color w:val="000000"/>
          <w:sz w:val="24"/>
          <w:szCs w:val="24"/>
        </w:rPr>
        <w:t xml:space="preserve">rder </w:t>
      </w:r>
      <w:r w:rsidR="00810C4D">
        <w:rPr>
          <w:rFonts w:ascii="TimesNewRomanPSMT" w:hAnsi="TimesNewRomanPSMT" w:cs="TimesNewRomanPSMT"/>
          <w:color w:val="000000"/>
          <w:sz w:val="24"/>
          <w:szCs w:val="24"/>
        </w:rPr>
        <w:t xml:space="preserve">striking out </w:t>
      </w:r>
      <w:r w:rsidRPr="0091566F">
        <w:rPr>
          <w:rFonts w:ascii="TimesNewRomanPSMT" w:hAnsi="TimesNewRomanPSMT" w:cs="TimesNewRomanPSMT"/>
          <w:color w:val="000000"/>
          <w:sz w:val="24"/>
          <w:szCs w:val="24"/>
        </w:rPr>
        <w:t xml:space="preserve">the </w:t>
      </w:r>
      <w:r w:rsidR="005C41F1">
        <w:rPr>
          <w:rFonts w:ascii="TimesNewRomanPSMT" w:hAnsi="TimesNewRomanPSMT" w:cs="TimesNewRomanPSMT"/>
          <w:color w:val="000000"/>
          <w:sz w:val="24"/>
          <w:szCs w:val="24"/>
        </w:rPr>
        <w:t>Claim</w:t>
      </w:r>
      <w:r w:rsidRPr="0091566F">
        <w:rPr>
          <w:rFonts w:ascii="TimesNewRomanPSMT" w:hAnsi="TimesNewRomanPSMT" w:cs="TimesNewRomanPSMT"/>
          <w:color w:val="000000"/>
          <w:sz w:val="24"/>
          <w:szCs w:val="24"/>
        </w:rPr>
        <w:t xml:space="preserve">ant’s </w:t>
      </w:r>
      <w:r w:rsidR="005C41F1">
        <w:rPr>
          <w:rFonts w:ascii="TimesNewRomanPSMT" w:hAnsi="TimesNewRomanPSMT" w:cs="TimesNewRomanPSMT"/>
          <w:color w:val="000000"/>
          <w:sz w:val="24"/>
          <w:szCs w:val="24"/>
        </w:rPr>
        <w:t>Claim</w:t>
      </w:r>
      <w:r w:rsidRPr="0091566F">
        <w:rPr>
          <w:rFonts w:ascii="TimesNewRomanPSMT" w:hAnsi="TimesNewRomanPSMT" w:cs="TimesNewRomanPSMT"/>
          <w:color w:val="000000"/>
          <w:sz w:val="24"/>
          <w:szCs w:val="24"/>
        </w:rPr>
        <w:t xml:space="preserve">, alternatively for a Deposit Order. I accepted the submissions on behalf of the </w:t>
      </w:r>
      <w:r w:rsidR="005C41F1">
        <w:rPr>
          <w:rFonts w:ascii="TimesNewRomanPSMT" w:hAnsi="TimesNewRomanPSMT" w:cs="TimesNewRomanPSMT"/>
          <w:color w:val="000000"/>
          <w:sz w:val="24"/>
          <w:szCs w:val="24"/>
        </w:rPr>
        <w:t>Claim</w:t>
      </w:r>
      <w:r w:rsidRPr="0091566F">
        <w:rPr>
          <w:rFonts w:ascii="TimesNewRomanPSMT" w:hAnsi="TimesNewRomanPSMT" w:cs="TimesNewRomanPSMT"/>
          <w:color w:val="000000"/>
          <w:sz w:val="24"/>
          <w:szCs w:val="24"/>
        </w:rPr>
        <w:t xml:space="preserve">ant that the precise basis and grounds </w:t>
      </w:r>
      <w:r w:rsidR="00810C4D">
        <w:rPr>
          <w:rFonts w:ascii="TimesNewRomanPSMT" w:hAnsi="TimesNewRomanPSMT" w:cs="TimesNewRomanPSMT"/>
          <w:color w:val="000000"/>
          <w:sz w:val="24"/>
          <w:szCs w:val="24"/>
        </w:rPr>
        <w:t xml:space="preserve">upon which those Orders were sought was not </w:t>
      </w:r>
      <w:r w:rsidRPr="0091566F">
        <w:rPr>
          <w:rFonts w:ascii="TimesNewRomanPSMT" w:hAnsi="TimesNewRomanPSMT" w:cs="TimesNewRomanPSMT"/>
          <w:color w:val="000000"/>
          <w:sz w:val="24"/>
          <w:szCs w:val="24"/>
        </w:rPr>
        <w:t>entirely clear</w:t>
      </w:r>
      <w:r w:rsidR="00810C4D">
        <w:rPr>
          <w:rFonts w:ascii="TimesNewRomanPSMT" w:hAnsi="TimesNewRomanPSMT" w:cs="TimesNewRomanPSMT"/>
          <w:color w:val="000000"/>
          <w:sz w:val="24"/>
          <w:szCs w:val="24"/>
        </w:rPr>
        <w:t xml:space="preserve"> </w:t>
      </w:r>
      <w:r w:rsidR="005B7727">
        <w:rPr>
          <w:rFonts w:ascii="TimesNewRomanPSMT" w:hAnsi="TimesNewRomanPSMT" w:cs="TimesNewRomanPSMT"/>
          <w:color w:val="000000"/>
          <w:sz w:val="24"/>
          <w:szCs w:val="24"/>
        </w:rPr>
        <w:t>in</w:t>
      </w:r>
      <w:r w:rsidR="00810C4D">
        <w:rPr>
          <w:rFonts w:ascii="TimesNewRomanPSMT" w:hAnsi="TimesNewRomanPSMT" w:cs="TimesNewRomanPSMT"/>
          <w:color w:val="000000"/>
          <w:sz w:val="24"/>
          <w:szCs w:val="24"/>
        </w:rPr>
        <w:t xml:space="preserve"> the email. </w:t>
      </w:r>
      <w:r w:rsidRPr="0091566F">
        <w:rPr>
          <w:rFonts w:ascii="TimesNewRomanPSMT" w:hAnsi="TimesNewRomanPSMT" w:cs="TimesNewRomanPSMT"/>
          <w:color w:val="000000"/>
          <w:sz w:val="24"/>
          <w:szCs w:val="24"/>
        </w:rPr>
        <w:t xml:space="preserve">It </w:t>
      </w:r>
      <w:r w:rsidR="00810C4D">
        <w:rPr>
          <w:rFonts w:ascii="TimesNewRomanPSMT" w:hAnsi="TimesNewRomanPSMT" w:cs="TimesNewRomanPSMT"/>
          <w:color w:val="000000"/>
          <w:sz w:val="24"/>
          <w:szCs w:val="24"/>
        </w:rPr>
        <w:t>wa</w:t>
      </w:r>
      <w:r w:rsidRPr="0091566F">
        <w:rPr>
          <w:rFonts w:ascii="TimesNewRomanPSMT" w:hAnsi="TimesNewRomanPSMT" w:cs="TimesNewRomanPSMT"/>
          <w:color w:val="000000"/>
          <w:sz w:val="24"/>
          <w:szCs w:val="24"/>
        </w:rPr>
        <w:t xml:space="preserve">s clear, however, that the Respondent was asserting that the </w:t>
      </w:r>
      <w:r w:rsidR="00810C4D">
        <w:rPr>
          <w:rFonts w:ascii="TimesNewRomanPSMT" w:hAnsi="TimesNewRomanPSMT" w:cs="TimesNewRomanPSMT"/>
          <w:color w:val="000000"/>
          <w:sz w:val="24"/>
          <w:szCs w:val="24"/>
        </w:rPr>
        <w:t>c</w:t>
      </w:r>
      <w:r w:rsidR="005C41F1">
        <w:rPr>
          <w:rFonts w:ascii="TimesNewRomanPSMT" w:hAnsi="TimesNewRomanPSMT" w:cs="TimesNewRomanPSMT"/>
          <w:color w:val="000000"/>
          <w:sz w:val="24"/>
          <w:szCs w:val="24"/>
        </w:rPr>
        <w:t>laim</w:t>
      </w:r>
      <w:r w:rsidRPr="0091566F">
        <w:rPr>
          <w:rFonts w:ascii="TimesNewRomanPSMT" w:hAnsi="TimesNewRomanPSMT" w:cs="TimesNewRomanPSMT"/>
          <w:color w:val="000000"/>
          <w:sz w:val="24"/>
          <w:szCs w:val="24"/>
        </w:rPr>
        <w:t xml:space="preserve">s of sex discrimination, harassment, </w:t>
      </w:r>
      <w:r w:rsidR="00B00AE9" w:rsidRPr="0091566F">
        <w:rPr>
          <w:rFonts w:ascii="TimesNewRomanPSMT" w:hAnsi="TimesNewRomanPSMT" w:cs="TimesNewRomanPSMT"/>
          <w:color w:val="000000"/>
          <w:sz w:val="24"/>
          <w:szCs w:val="24"/>
        </w:rPr>
        <w:t>bullying,</w:t>
      </w:r>
      <w:r w:rsidRPr="0091566F">
        <w:rPr>
          <w:rFonts w:ascii="TimesNewRomanPSMT" w:hAnsi="TimesNewRomanPSMT" w:cs="TimesNewRomanPSMT"/>
          <w:color w:val="000000"/>
          <w:sz w:val="24"/>
          <w:szCs w:val="24"/>
        </w:rPr>
        <w:t xml:space="preserve"> and victimisation were time barred and should be struck out. Further, the Respondent appeared to assert </w:t>
      </w:r>
      <w:r w:rsidRPr="0091566F">
        <w:rPr>
          <w:rFonts w:ascii="TimesNewRomanPSMT" w:hAnsi="TimesNewRomanPSMT" w:cs="TimesNewRomanPSMT"/>
          <w:color w:val="000000"/>
          <w:sz w:val="24"/>
          <w:szCs w:val="24"/>
        </w:rPr>
        <w:lastRenderedPageBreak/>
        <w:t xml:space="preserve">that the </w:t>
      </w:r>
      <w:r w:rsidR="00810C4D">
        <w:rPr>
          <w:rFonts w:ascii="TimesNewRomanPSMT" w:hAnsi="TimesNewRomanPSMT" w:cs="TimesNewRomanPSMT"/>
          <w:color w:val="000000"/>
          <w:sz w:val="24"/>
          <w:szCs w:val="24"/>
        </w:rPr>
        <w:t>c</w:t>
      </w:r>
      <w:r w:rsidR="005C41F1">
        <w:rPr>
          <w:rFonts w:ascii="TimesNewRomanPSMT" w:hAnsi="TimesNewRomanPSMT" w:cs="TimesNewRomanPSMT"/>
          <w:color w:val="000000"/>
          <w:sz w:val="24"/>
          <w:szCs w:val="24"/>
        </w:rPr>
        <w:t>laim</w:t>
      </w:r>
      <w:r w:rsidRPr="0091566F">
        <w:rPr>
          <w:rFonts w:ascii="TimesNewRomanPSMT" w:hAnsi="TimesNewRomanPSMT" w:cs="TimesNewRomanPSMT"/>
          <w:color w:val="000000"/>
          <w:sz w:val="24"/>
          <w:szCs w:val="24"/>
        </w:rPr>
        <w:t>s of sex discrimination</w:t>
      </w:r>
      <w:r w:rsidR="005B7727">
        <w:rPr>
          <w:rFonts w:ascii="TimesNewRomanPSMT" w:hAnsi="TimesNewRomanPSMT" w:cs="TimesNewRomanPSMT"/>
          <w:color w:val="000000"/>
          <w:sz w:val="24"/>
          <w:szCs w:val="24"/>
        </w:rPr>
        <w:t>,</w:t>
      </w:r>
      <w:r w:rsidRPr="0091566F">
        <w:rPr>
          <w:rFonts w:ascii="TimesNewRomanPSMT" w:hAnsi="TimesNewRomanPSMT" w:cs="TimesNewRomanPSMT"/>
          <w:color w:val="000000"/>
          <w:sz w:val="24"/>
          <w:szCs w:val="24"/>
        </w:rPr>
        <w:t xml:space="preserve"> and </w:t>
      </w:r>
      <w:r w:rsidR="00810C4D">
        <w:rPr>
          <w:rFonts w:ascii="TimesNewRomanPSMT" w:hAnsi="TimesNewRomanPSMT" w:cs="TimesNewRomanPSMT"/>
          <w:color w:val="000000"/>
          <w:sz w:val="24"/>
          <w:szCs w:val="24"/>
        </w:rPr>
        <w:t xml:space="preserve">some of his </w:t>
      </w:r>
      <w:r w:rsidRPr="0091566F">
        <w:rPr>
          <w:rFonts w:ascii="TimesNewRomanPSMT" w:hAnsi="TimesNewRomanPSMT" w:cs="TimesNewRomanPSMT"/>
          <w:color w:val="000000"/>
          <w:sz w:val="24"/>
          <w:szCs w:val="24"/>
        </w:rPr>
        <w:t xml:space="preserve">other </w:t>
      </w:r>
      <w:r w:rsidR="005C41F1">
        <w:rPr>
          <w:rFonts w:ascii="TimesNewRomanPSMT" w:hAnsi="TimesNewRomanPSMT" w:cs="TimesNewRomanPSMT"/>
          <w:color w:val="000000"/>
          <w:sz w:val="24"/>
          <w:szCs w:val="24"/>
        </w:rPr>
        <w:t>claim</w:t>
      </w:r>
      <w:r w:rsidRPr="0091566F">
        <w:rPr>
          <w:rFonts w:ascii="TimesNewRomanPSMT" w:hAnsi="TimesNewRomanPSMT" w:cs="TimesNewRomanPSMT"/>
          <w:color w:val="000000"/>
          <w:sz w:val="24"/>
          <w:szCs w:val="24"/>
        </w:rPr>
        <w:t>s</w:t>
      </w:r>
      <w:r w:rsidR="005B7727">
        <w:rPr>
          <w:rFonts w:ascii="TimesNewRomanPSMT" w:hAnsi="TimesNewRomanPSMT" w:cs="TimesNewRomanPSMT"/>
          <w:color w:val="000000"/>
          <w:sz w:val="24"/>
          <w:szCs w:val="24"/>
        </w:rPr>
        <w:t>,</w:t>
      </w:r>
      <w:r w:rsidRPr="0091566F">
        <w:rPr>
          <w:rFonts w:ascii="TimesNewRomanPSMT" w:hAnsi="TimesNewRomanPSMT" w:cs="TimesNewRomanPSMT"/>
          <w:color w:val="000000"/>
          <w:sz w:val="24"/>
          <w:szCs w:val="24"/>
        </w:rPr>
        <w:t xml:space="preserve"> were scandalous, vexatious and had no reasonable prospect of success and should be struck out. Alternatively, the Respondent appeared to seek an order that the </w:t>
      </w:r>
      <w:r w:rsidR="005C41F1">
        <w:rPr>
          <w:rFonts w:ascii="TimesNewRomanPSMT" w:hAnsi="TimesNewRomanPSMT" w:cs="TimesNewRomanPSMT"/>
          <w:color w:val="000000"/>
          <w:sz w:val="24"/>
          <w:szCs w:val="24"/>
        </w:rPr>
        <w:t>Claim</w:t>
      </w:r>
      <w:r w:rsidRPr="0091566F">
        <w:rPr>
          <w:rFonts w:ascii="TimesNewRomanPSMT" w:hAnsi="TimesNewRomanPSMT" w:cs="TimesNewRomanPSMT"/>
          <w:color w:val="000000"/>
          <w:sz w:val="24"/>
          <w:szCs w:val="24"/>
        </w:rPr>
        <w:t xml:space="preserve">ant should be made to pay a deposit as a condition of proceeding with his </w:t>
      </w:r>
      <w:r w:rsidR="00810C4D">
        <w:rPr>
          <w:rFonts w:ascii="TimesNewRomanPSMT" w:hAnsi="TimesNewRomanPSMT" w:cs="TimesNewRomanPSMT"/>
          <w:color w:val="000000"/>
          <w:sz w:val="24"/>
          <w:szCs w:val="24"/>
        </w:rPr>
        <w:t>c</w:t>
      </w:r>
      <w:r w:rsidR="005C41F1">
        <w:rPr>
          <w:rFonts w:ascii="TimesNewRomanPSMT" w:hAnsi="TimesNewRomanPSMT" w:cs="TimesNewRomanPSMT"/>
          <w:color w:val="000000"/>
          <w:sz w:val="24"/>
          <w:szCs w:val="24"/>
        </w:rPr>
        <w:t>laim</w:t>
      </w:r>
      <w:r w:rsidR="00810C4D">
        <w:rPr>
          <w:rFonts w:ascii="TimesNewRomanPSMT" w:hAnsi="TimesNewRomanPSMT" w:cs="TimesNewRomanPSMT"/>
          <w:color w:val="000000"/>
          <w:sz w:val="24"/>
          <w:szCs w:val="24"/>
        </w:rPr>
        <w:t>(s)</w:t>
      </w:r>
      <w:r w:rsidRPr="0091566F">
        <w:rPr>
          <w:rFonts w:ascii="TimesNewRomanPSMT" w:hAnsi="TimesNewRomanPSMT" w:cs="TimesNewRomanPSMT"/>
          <w:color w:val="000000"/>
          <w:sz w:val="24"/>
          <w:szCs w:val="24"/>
        </w:rPr>
        <w:t>.</w:t>
      </w:r>
    </w:p>
    <w:p w14:paraId="17ADD56A" w14:textId="35EA3F5A" w:rsidR="00B968CF" w:rsidRPr="0091566F" w:rsidRDefault="00B968CF"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sidRPr="0091566F">
        <w:rPr>
          <w:rFonts w:ascii="TimesNewRomanPSMT" w:hAnsi="TimesNewRomanPSMT" w:cs="TimesNewRomanPSMT"/>
          <w:color w:val="000000"/>
          <w:sz w:val="24"/>
          <w:szCs w:val="24"/>
        </w:rPr>
        <w:t xml:space="preserve">On 18 October 2020 an Employment </w:t>
      </w:r>
      <w:r w:rsidR="00810C4D">
        <w:rPr>
          <w:rFonts w:ascii="TimesNewRomanPSMT" w:hAnsi="TimesNewRomanPSMT" w:cs="TimesNewRomanPSMT"/>
          <w:color w:val="000000"/>
          <w:sz w:val="24"/>
          <w:szCs w:val="24"/>
        </w:rPr>
        <w:t>J</w:t>
      </w:r>
      <w:r w:rsidRPr="0091566F">
        <w:rPr>
          <w:rFonts w:ascii="TimesNewRomanPSMT" w:hAnsi="TimesNewRomanPSMT" w:cs="TimesNewRomanPSMT"/>
          <w:color w:val="000000"/>
          <w:sz w:val="24"/>
          <w:szCs w:val="24"/>
        </w:rPr>
        <w:t xml:space="preserve">udge directed that the case be considered at a </w:t>
      </w:r>
      <w:r w:rsidR="00810C4D">
        <w:rPr>
          <w:rFonts w:ascii="TimesNewRomanPSMT" w:hAnsi="TimesNewRomanPSMT" w:cs="TimesNewRomanPSMT"/>
          <w:color w:val="000000"/>
          <w:sz w:val="24"/>
          <w:szCs w:val="24"/>
        </w:rPr>
        <w:t>P</w:t>
      </w:r>
      <w:r w:rsidRPr="0091566F">
        <w:rPr>
          <w:rFonts w:ascii="TimesNewRomanPSMT" w:hAnsi="TimesNewRomanPSMT" w:cs="TimesNewRomanPSMT"/>
          <w:color w:val="000000"/>
          <w:sz w:val="24"/>
          <w:szCs w:val="24"/>
        </w:rPr>
        <w:t xml:space="preserve">reliminary </w:t>
      </w:r>
      <w:r w:rsidR="00810C4D">
        <w:rPr>
          <w:rFonts w:ascii="TimesNewRomanPSMT" w:hAnsi="TimesNewRomanPSMT" w:cs="TimesNewRomanPSMT"/>
          <w:color w:val="000000"/>
          <w:sz w:val="24"/>
          <w:szCs w:val="24"/>
        </w:rPr>
        <w:t>H</w:t>
      </w:r>
      <w:r w:rsidRPr="0091566F">
        <w:rPr>
          <w:rFonts w:ascii="TimesNewRomanPSMT" w:hAnsi="TimesNewRomanPSMT" w:cs="TimesNewRomanPSMT"/>
          <w:color w:val="000000"/>
          <w:sz w:val="24"/>
          <w:szCs w:val="24"/>
        </w:rPr>
        <w:t xml:space="preserve">earing </w:t>
      </w:r>
      <w:r w:rsidR="00810C4D">
        <w:rPr>
          <w:rFonts w:ascii="TimesNewRomanPSMT" w:hAnsi="TimesNewRomanPSMT" w:cs="TimesNewRomanPSMT"/>
          <w:color w:val="000000"/>
          <w:sz w:val="24"/>
          <w:szCs w:val="24"/>
        </w:rPr>
        <w:t xml:space="preserve">(PH) </w:t>
      </w:r>
      <w:r w:rsidRPr="0091566F">
        <w:rPr>
          <w:rFonts w:ascii="TimesNewRomanPSMT" w:hAnsi="TimesNewRomanPSMT" w:cs="TimesNewRomanPSMT"/>
          <w:color w:val="000000"/>
          <w:sz w:val="24"/>
          <w:szCs w:val="24"/>
        </w:rPr>
        <w:t>to</w:t>
      </w:r>
      <w:r w:rsidR="00810C4D">
        <w:rPr>
          <w:rFonts w:ascii="TimesNewRomanPSMT" w:hAnsi="TimesNewRomanPSMT" w:cs="TimesNewRomanPSMT"/>
          <w:color w:val="000000"/>
          <w:sz w:val="24"/>
          <w:szCs w:val="24"/>
        </w:rPr>
        <w:t>,</w:t>
      </w:r>
      <w:r w:rsidRPr="0091566F">
        <w:rPr>
          <w:rFonts w:ascii="TimesNewRomanPSMT" w:hAnsi="TimesNewRomanPSMT" w:cs="TimesNewRomanPSMT"/>
          <w:color w:val="000000"/>
          <w:sz w:val="24"/>
          <w:szCs w:val="24"/>
        </w:rPr>
        <w:t xml:space="preserve"> “consider any application for Strike-out or Deposit Orders”. The parties were informed that the </w:t>
      </w:r>
      <w:r w:rsidR="00745DEF">
        <w:rPr>
          <w:rFonts w:ascii="TimesNewRomanPSMT" w:hAnsi="TimesNewRomanPSMT" w:cs="TimesNewRomanPSMT"/>
          <w:color w:val="000000"/>
          <w:sz w:val="24"/>
          <w:szCs w:val="24"/>
        </w:rPr>
        <w:t xml:space="preserve">PH </w:t>
      </w:r>
      <w:r w:rsidRPr="0091566F">
        <w:rPr>
          <w:rFonts w:ascii="TimesNewRomanPSMT" w:hAnsi="TimesNewRomanPSMT" w:cs="TimesNewRomanPSMT"/>
          <w:color w:val="000000"/>
          <w:sz w:val="24"/>
          <w:szCs w:val="24"/>
        </w:rPr>
        <w:t>would take place on 17 March 2021. The letter informing the parties of that listing included the following</w:t>
      </w:r>
      <w:r w:rsidR="00745DEF">
        <w:rPr>
          <w:rFonts w:ascii="TimesNewRomanPSMT" w:hAnsi="TimesNewRomanPSMT" w:cs="TimesNewRomanPSMT"/>
          <w:color w:val="000000"/>
          <w:sz w:val="24"/>
          <w:szCs w:val="24"/>
        </w:rPr>
        <w:t xml:space="preserve"> information</w:t>
      </w:r>
      <w:r w:rsidRPr="0091566F">
        <w:rPr>
          <w:rFonts w:ascii="TimesNewRomanPSMT" w:hAnsi="TimesNewRomanPSMT" w:cs="TimesNewRomanPSMT"/>
          <w:color w:val="000000"/>
          <w:sz w:val="24"/>
          <w:szCs w:val="24"/>
        </w:rPr>
        <w:t>:</w:t>
      </w:r>
    </w:p>
    <w:p w14:paraId="02E10779" w14:textId="768D1F75" w:rsidR="00B968CF" w:rsidRPr="00C52CEA" w:rsidRDefault="00B968CF" w:rsidP="003667F0">
      <w:pPr>
        <w:ind w:left="1418" w:right="567" w:hanging="284"/>
        <w:contextualSpacing/>
        <w:jc w:val="both"/>
        <w:rPr>
          <w:rFonts w:ascii="TimesNewRomanPSMT" w:hAnsi="TimesNewRomanPSMT" w:cs="TimesNewRomanPSMT"/>
          <w:color w:val="000000"/>
          <w:sz w:val="20"/>
          <w:szCs w:val="20"/>
        </w:rPr>
      </w:pPr>
      <w:r>
        <w:rPr>
          <w:rFonts w:ascii="TimesNewRomanPSMT" w:hAnsi="TimesNewRomanPSMT" w:cs="TimesNewRomanPSMT"/>
          <w:color w:val="000000"/>
          <w:sz w:val="24"/>
          <w:szCs w:val="24"/>
        </w:rPr>
        <w:tab/>
      </w:r>
      <w:r w:rsidRPr="00C52CEA">
        <w:rPr>
          <w:rFonts w:ascii="TimesNewRomanPSMT" w:hAnsi="TimesNewRomanPSMT" w:cs="TimesNewRomanPSMT"/>
          <w:color w:val="000000"/>
          <w:sz w:val="20"/>
          <w:szCs w:val="20"/>
        </w:rPr>
        <w:tab/>
        <w:t>“You may submit written representations for consideration at the hearing. If so</w:t>
      </w:r>
      <w:r w:rsidR="00745DEF">
        <w:rPr>
          <w:rFonts w:ascii="TimesNewRomanPSMT" w:hAnsi="TimesNewRomanPSMT" w:cs="TimesNewRomanPSMT"/>
          <w:color w:val="000000"/>
          <w:sz w:val="20"/>
          <w:szCs w:val="20"/>
        </w:rPr>
        <w:t>,</w:t>
      </w:r>
      <w:r w:rsidRPr="00C52CEA">
        <w:rPr>
          <w:rFonts w:ascii="TimesNewRomanPSMT" w:hAnsi="TimesNewRomanPSMT" w:cs="TimesNewRomanPSMT"/>
          <w:color w:val="000000"/>
          <w:sz w:val="20"/>
          <w:szCs w:val="20"/>
        </w:rPr>
        <w:t xml:space="preserve"> they must be sent to the Tribunal and to all other parties not less than seven days before the hearing.  You will have the chance to put forward oral arguments in any case.”</w:t>
      </w:r>
    </w:p>
    <w:p w14:paraId="0DE856C5" w14:textId="77777777" w:rsidR="00B968CF" w:rsidRDefault="00B968CF" w:rsidP="003667F0">
      <w:pPr>
        <w:tabs>
          <w:tab w:val="left" w:pos="1418"/>
        </w:tabs>
        <w:ind w:left="1418"/>
        <w:contextualSpacing/>
        <w:jc w:val="both"/>
        <w:rPr>
          <w:rFonts w:ascii="TimesNewRomanPSMT" w:hAnsi="TimesNewRomanPSMT" w:cs="TimesNewRomanPSMT"/>
          <w:color w:val="000000"/>
          <w:sz w:val="24"/>
          <w:szCs w:val="24"/>
        </w:rPr>
      </w:pPr>
    </w:p>
    <w:p w14:paraId="255584AF" w14:textId="4AB917F3" w:rsidR="00B968CF" w:rsidRDefault="00B968CF"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w:t>
      </w:r>
      <w:r w:rsidR="00745DEF">
        <w:rPr>
          <w:rFonts w:ascii="TimesNewRomanPSMT" w:hAnsi="TimesNewRomanPSMT" w:cs="TimesNewRomanPSMT"/>
          <w:color w:val="000000"/>
          <w:sz w:val="24"/>
          <w:szCs w:val="24"/>
        </w:rPr>
        <w:t>PH</w:t>
      </w:r>
      <w:r>
        <w:rPr>
          <w:rFonts w:ascii="TimesNewRomanPSMT" w:hAnsi="TimesNewRomanPSMT" w:cs="TimesNewRomanPSMT"/>
          <w:color w:val="000000"/>
          <w:sz w:val="24"/>
          <w:szCs w:val="24"/>
        </w:rPr>
        <w:t xml:space="preserve"> took place before EJ </w:t>
      </w:r>
      <w:proofErr w:type="spellStart"/>
      <w:r>
        <w:rPr>
          <w:rFonts w:ascii="TimesNewRomanPSMT" w:hAnsi="TimesNewRomanPSMT" w:cs="TimesNewRomanPSMT"/>
          <w:color w:val="000000"/>
          <w:sz w:val="24"/>
          <w:szCs w:val="24"/>
        </w:rPr>
        <w:t>Alliott</w:t>
      </w:r>
      <w:proofErr w:type="spellEnd"/>
      <w:r>
        <w:rPr>
          <w:rFonts w:ascii="TimesNewRomanPSMT" w:hAnsi="TimesNewRomanPSMT" w:cs="TimesNewRomanPSMT"/>
          <w:color w:val="000000"/>
          <w:sz w:val="24"/>
          <w:szCs w:val="24"/>
        </w:rPr>
        <w:t xml:space="preserve">. The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ant represented himself and the Respondent was represented by counsel.  The Judgment of the Tribunal was as follows:</w:t>
      </w:r>
    </w:p>
    <w:p w14:paraId="5CCFF222" w14:textId="5267A30A" w:rsidR="00B968CF" w:rsidRPr="007C4932" w:rsidRDefault="00B968CF" w:rsidP="007C4932">
      <w:pPr>
        <w:tabs>
          <w:tab w:val="left" w:pos="851"/>
        </w:tabs>
        <w:ind w:left="1418" w:right="567"/>
        <w:contextualSpacing/>
        <w:jc w:val="both"/>
        <w:rPr>
          <w:rFonts w:ascii="TimesNewRomanPSMT" w:hAnsi="TimesNewRomanPSMT" w:cs="TimesNewRomanPSMT"/>
          <w:color w:val="000000"/>
          <w:sz w:val="20"/>
          <w:szCs w:val="20"/>
        </w:rPr>
      </w:pPr>
      <w:r w:rsidRPr="007C4932">
        <w:rPr>
          <w:rFonts w:ascii="TimesNewRomanPSMT" w:hAnsi="TimesNewRomanPSMT" w:cs="TimesNewRomanPSMT"/>
          <w:color w:val="000000"/>
          <w:sz w:val="20"/>
          <w:szCs w:val="20"/>
        </w:rPr>
        <w:t xml:space="preserve">“The </w:t>
      </w:r>
      <w:r w:rsidR="005C41F1">
        <w:rPr>
          <w:rFonts w:ascii="TimesNewRomanPSMT" w:hAnsi="TimesNewRomanPSMT" w:cs="TimesNewRomanPSMT"/>
          <w:color w:val="000000"/>
          <w:sz w:val="20"/>
          <w:szCs w:val="20"/>
        </w:rPr>
        <w:t>Claim</w:t>
      </w:r>
      <w:r w:rsidRPr="007C4932">
        <w:rPr>
          <w:rFonts w:ascii="TimesNewRomanPSMT" w:hAnsi="TimesNewRomanPSMT" w:cs="TimesNewRomanPSMT"/>
          <w:color w:val="000000"/>
          <w:sz w:val="20"/>
          <w:szCs w:val="20"/>
        </w:rPr>
        <w:t xml:space="preserve">ant’s </w:t>
      </w:r>
      <w:r w:rsidR="005C41F1">
        <w:rPr>
          <w:rFonts w:ascii="TimesNewRomanPSMT" w:hAnsi="TimesNewRomanPSMT" w:cs="TimesNewRomanPSMT"/>
          <w:color w:val="000000"/>
          <w:sz w:val="20"/>
          <w:szCs w:val="20"/>
        </w:rPr>
        <w:t>Claim</w:t>
      </w:r>
      <w:r w:rsidRPr="007C4932">
        <w:rPr>
          <w:rFonts w:ascii="TimesNewRomanPSMT" w:hAnsi="TimesNewRomanPSMT" w:cs="TimesNewRomanPSMT"/>
          <w:color w:val="000000"/>
          <w:sz w:val="20"/>
          <w:szCs w:val="20"/>
        </w:rPr>
        <w:t xml:space="preserve"> of sex discrimination, harassment, victimisation arising out of alleged treatment prior to 7 October 2019 are out of time and it is not just and equitable to extend time. Accordingly, those </w:t>
      </w:r>
      <w:r w:rsidR="005C41F1">
        <w:rPr>
          <w:rFonts w:ascii="TimesNewRomanPSMT" w:hAnsi="TimesNewRomanPSMT" w:cs="TimesNewRomanPSMT"/>
          <w:color w:val="000000"/>
          <w:sz w:val="20"/>
          <w:szCs w:val="20"/>
        </w:rPr>
        <w:t>Claim</w:t>
      </w:r>
      <w:r w:rsidRPr="007C4932">
        <w:rPr>
          <w:rFonts w:ascii="TimesNewRomanPSMT" w:hAnsi="TimesNewRomanPSMT" w:cs="TimesNewRomanPSMT"/>
          <w:color w:val="000000"/>
          <w:sz w:val="20"/>
          <w:szCs w:val="20"/>
        </w:rPr>
        <w:t>s are struck out.”</w:t>
      </w:r>
    </w:p>
    <w:p w14:paraId="3088E3E9" w14:textId="77777777" w:rsidR="00B968CF" w:rsidRDefault="00B968CF" w:rsidP="007C4932">
      <w:pPr>
        <w:tabs>
          <w:tab w:val="left" w:pos="851"/>
        </w:tabs>
        <w:contextualSpacing/>
        <w:jc w:val="both"/>
        <w:rPr>
          <w:rFonts w:ascii="TimesNewRomanPSMT" w:hAnsi="TimesNewRomanPSMT" w:cs="TimesNewRomanPSMT"/>
          <w:color w:val="000000"/>
          <w:sz w:val="24"/>
          <w:szCs w:val="24"/>
        </w:rPr>
      </w:pPr>
    </w:p>
    <w:p w14:paraId="0E9C2828" w14:textId="694E78D9" w:rsidR="00B968CF" w:rsidRDefault="00B968CF"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Before I go on to </w:t>
      </w:r>
      <w:r w:rsidR="005B7727">
        <w:rPr>
          <w:rFonts w:ascii="TimesNewRomanPSMT" w:hAnsi="TimesNewRomanPSMT" w:cs="TimesNewRomanPSMT"/>
          <w:color w:val="000000"/>
          <w:sz w:val="24"/>
          <w:szCs w:val="24"/>
        </w:rPr>
        <w:t xml:space="preserve">consider </w:t>
      </w:r>
      <w:r>
        <w:rPr>
          <w:rFonts w:ascii="TimesNewRomanPSMT" w:hAnsi="TimesNewRomanPSMT" w:cs="TimesNewRomanPSMT"/>
          <w:color w:val="000000"/>
          <w:sz w:val="24"/>
          <w:szCs w:val="24"/>
        </w:rPr>
        <w:t xml:space="preserve">the </w:t>
      </w:r>
      <w:r w:rsidR="00745DEF">
        <w:rPr>
          <w:rFonts w:ascii="TimesNewRomanPSMT" w:hAnsi="TimesNewRomanPSMT" w:cs="TimesNewRomanPSMT"/>
          <w:color w:val="000000"/>
          <w:sz w:val="24"/>
          <w:szCs w:val="24"/>
        </w:rPr>
        <w:t>specific g</w:t>
      </w:r>
      <w:r>
        <w:rPr>
          <w:rFonts w:ascii="TimesNewRomanPSMT" w:hAnsi="TimesNewRomanPSMT" w:cs="TimesNewRomanPSMT"/>
          <w:color w:val="000000"/>
          <w:sz w:val="24"/>
          <w:szCs w:val="24"/>
        </w:rPr>
        <w:t xml:space="preserve">rounds of </w:t>
      </w:r>
      <w:proofErr w:type="gramStart"/>
      <w:r w:rsidR="00745DEF">
        <w:rPr>
          <w:rFonts w:ascii="TimesNewRomanPSMT" w:hAnsi="TimesNewRomanPSMT" w:cs="TimesNewRomanPSMT"/>
          <w:color w:val="000000"/>
          <w:sz w:val="24"/>
          <w:szCs w:val="24"/>
        </w:rPr>
        <w:t>a</w:t>
      </w:r>
      <w:r>
        <w:rPr>
          <w:rFonts w:ascii="TimesNewRomanPSMT" w:hAnsi="TimesNewRomanPSMT" w:cs="TimesNewRomanPSMT"/>
          <w:color w:val="000000"/>
          <w:sz w:val="24"/>
          <w:szCs w:val="24"/>
        </w:rPr>
        <w:t>ppeal</w:t>
      </w:r>
      <w:proofErr w:type="gramEnd"/>
      <w:r>
        <w:rPr>
          <w:rFonts w:ascii="TimesNewRomanPSMT" w:hAnsi="TimesNewRomanPSMT" w:cs="TimesNewRomanPSMT"/>
          <w:color w:val="000000"/>
          <w:sz w:val="24"/>
          <w:szCs w:val="24"/>
        </w:rPr>
        <w:t xml:space="preserve"> I note the following.</w:t>
      </w:r>
      <w:r w:rsidR="00745DEF">
        <w:rPr>
          <w:rFonts w:ascii="TimesNewRomanPSMT" w:hAnsi="TimesNewRomanPSMT" w:cs="TimesNewRomanPSMT"/>
          <w:color w:val="000000"/>
          <w:sz w:val="24"/>
          <w:szCs w:val="24"/>
        </w:rPr>
        <w:t xml:space="preserve"> First, i</w:t>
      </w:r>
      <w:r>
        <w:rPr>
          <w:rFonts w:ascii="TimesNewRomanPSMT" w:hAnsi="TimesNewRomanPSMT" w:cs="TimesNewRomanPSMT"/>
          <w:color w:val="000000"/>
          <w:sz w:val="24"/>
          <w:szCs w:val="24"/>
        </w:rPr>
        <w:t>t appears to be common ground that</w:t>
      </w:r>
      <w:r w:rsidR="00745DEF">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in breach of the directions provided in the letter of 18 October 2020</w:t>
      </w:r>
      <w:r w:rsidR="00745DEF">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written submissions were not sent to either party not less than seven days before the hearing. The Respondent provided </w:t>
      </w:r>
      <w:r w:rsidR="00745DEF">
        <w:rPr>
          <w:rFonts w:ascii="TimesNewRomanPSMT" w:hAnsi="TimesNewRomanPSMT" w:cs="TimesNewRomanPSMT"/>
          <w:color w:val="000000"/>
          <w:sz w:val="24"/>
          <w:szCs w:val="24"/>
        </w:rPr>
        <w:t xml:space="preserve">written submissions </w:t>
      </w:r>
      <w:r>
        <w:rPr>
          <w:rFonts w:ascii="TimesNewRomanPSMT" w:hAnsi="TimesNewRomanPSMT" w:cs="TimesNewRomanPSMT"/>
          <w:color w:val="000000"/>
          <w:sz w:val="24"/>
          <w:szCs w:val="24"/>
        </w:rPr>
        <w:t xml:space="preserve">to the Tribunal and </w:t>
      </w:r>
      <w:r w:rsidR="00745DEF">
        <w:rPr>
          <w:rFonts w:ascii="TimesNewRomanPSMT" w:hAnsi="TimesNewRomanPSMT" w:cs="TimesNewRomanPSMT"/>
          <w:color w:val="000000"/>
          <w:sz w:val="24"/>
          <w:szCs w:val="24"/>
        </w:rPr>
        <w:t xml:space="preserve">to </w:t>
      </w:r>
      <w:r>
        <w:rPr>
          <w:rFonts w:ascii="TimesNewRomanPSMT" w:hAnsi="TimesNewRomanPSMT" w:cs="TimesNewRomanPSMT"/>
          <w:color w:val="000000"/>
          <w:sz w:val="24"/>
          <w:szCs w:val="24"/>
        </w:rPr>
        <w:t xml:space="preserve">the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 xml:space="preserve">ant less than a day before the hearing on 16 March 2021. The </w:t>
      </w:r>
      <w:r w:rsidR="00745DEF">
        <w:rPr>
          <w:rFonts w:ascii="TimesNewRomanPSMT" w:hAnsi="TimesNewRomanPSMT" w:cs="TimesNewRomanPSMT"/>
          <w:color w:val="000000"/>
          <w:sz w:val="24"/>
          <w:szCs w:val="24"/>
        </w:rPr>
        <w:t xml:space="preserve">Respondent’s proposed </w:t>
      </w:r>
      <w:r>
        <w:rPr>
          <w:rFonts w:ascii="TimesNewRomanPSMT" w:hAnsi="TimesNewRomanPSMT" w:cs="TimesNewRomanPSMT"/>
          <w:color w:val="000000"/>
          <w:sz w:val="24"/>
          <w:szCs w:val="24"/>
        </w:rPr>
        <w:t xml:space="preserve">draft </w:t>
      </w:r>
      <w:r w:rsidR="00745DEF">
        <w:rPr>
          <w:rFonts w:ascii="TimesNewRomanPSMT" w:hAnsi="TimesNewRomanPSMT" w:cs="TimesNewRomanPSMT"/>
          <w:color w:val="000000"/>
          <w:sz w:val="24"/>
          <w:szCs w:val="24"/>
        </w:rPr>
        <w:t>L</w:t>
      </w:r>
      <w:r>
        <w:rPr>
          <w:rFonts w:ascii="TimesNewRomanPSMT" w:hAnsi="TimesNewRomanPSMT" w:cs="TimesNewRomanPSMT"/>
          <w:color w:val="000000"/>
          <w:sz w:val="24"/>
          <w:szCs w:val="24"/>
        </w:rPr>
        <w:t xml:space="preserve">ist of </w:t>
      </w:r>
      <w:r w:rsidR="00745DEF">
        <w:rPr>
          <w:rFonts w:ascii="TimesNewRomanPSMT" w:hAnsi="TimesNewRomanPSMT" w:cs="TimesNewRomanPSMT"/>
          <w:color w:val="000000"/>
          <w:sz w:val="24"/>
          <w:szCs w:val="24"/>
        </w:rPr>
        <w:t>I</w:t>
      </w:r>
      <w:r>
        <w:rPr>
          <w:rFonts w:ascii="TimesNewRomanPSMT" w:hAnsi="TimesNewRomanPSMT" w:cs="TimesNewRomanPSMT"/>
          <w:color w:val="000000"/>
          <w:sz w:val="24"/>
          <w:szCs w:val="24"/>
        </w:rPr>
        <w:t xml:space="preserve">ssues and </w:t>
      </w:r>
      <w:r w:rsidR="00745DEF">
        <w:rPr>
          <w:rFonts w:ascii="TimesNewRomanPSMT" w:hAnsi="TimesNewRomanPSMT" w:cs="TimesNewRomanPSMT"/>
          <w:color w:val="000000"/>
          <w:sz w:val="24"/>
          <w:szCs w:val="24"/>
        </w:rPr>
        <w:t>A</w:t>
      </w:r>
      <w:r>
        <w:rPr>
          <w:rFonts w:ascii="TimesNewRomanPSMT" w:hAnsi="TimesNewRomanPSMT" w:cs="TimesNewRomanPSMT"/>
          <w:color w:val="000000"/>
          <w:sz w:val="24"/>
          <w:szCs w:val="24"/>
        </w:rPr>
        <w:t xml:space="preserve">genda for the hearing were sent to the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ant on 15 March 2021</w:t>
      </w:r>
      <w:r w:rsidR="005B7727">
        <w:rPr>
          <w:rFonts w:ascii="TimesNewRomanPSMT" w:hAnsi="TimesNewRomanPSMT" w:cs="TimesNewRomanPSMT"/>
          <w:color w:val="000000"/>
          <w:sz w:val="24"/>
          <w:szCs w:val="24"/>
        </w:rPr>
        <w:t>, again, just the day before the PH</w:t>
      </w:r>
      <w:r>
        <w:rPr>
          <w:rFonts w:ascii="TimesNewRomanPSMT" w:hAnsi="TimesNewRomanPSMT" w:cs="TimesNewRomanPSMT"/>
          <w:color w:val="000000"/>
          <w:sz w:val="24"/>
          <w:szCs w:val="24"/>
        </w:rPr>
        <w:t xml:space="preserve">.  </w:t>
      </w:r>
      <w:r w:rsidR="00745DEF">
        <w:rPr>
          <w:rFonts w:ascii="TimesNewRomanPSMT" w:hAnsi="TimesNewRomanPSMT" w:cs="TimesNewRomanPSMT"/>
          <w:color w:val="000000"/>
          <w:sz w:val="24"/>
          <w:szCs w:val="24"/>
        </w:rPr>
        <w:t>During the hearing, t</w:t>
      </w:r>
      <w:r>
        <w:rPr>
          <w:rFonts w:ascii="TimesNewRomanPSMT" w:hAnsi="TimesNewRomanPSMT" w:cs="TimesNewRomanPSMT"/>
          <w:color w:val="000000"/>
          <w:sz w:val="24"/>
          <w:szCs w:val="24"/>
        </w:rPr>
        <w:t xml:space="preserve">he </w:t>
      </w:r>
      <w:r w:rsidR="00745DEF">
        <w:rPr>
          <w:rFonts w:ascii="TimesNewRomanPSMT" w:hAnsi="TimesNewRomanPSMT" w:cs="TimesNewRomanPSMT"/>
          <w:color w:val="000000"/>
          <w:sz w:val="24"/>
          <w:szCs w:val="24"/>
        </w:rPr>
        <w:t>J</w:t>
      </w:r>
      <w:r>
        <w:rPr>
          <w:rFonts w:ascii="TimesNewRomanPSMT" w:hAnsi="TimesNewRomanPSMT" w:cs="TimesNewRomanPSMT"/>
          <w:color w:val="000000"/>
          <w:sz w:val="24"/>
          <w:szCs w:val="24"/>
        </w:rPr>
        <w:t xml:space="preserve">udge stated that that </w:t>
      </w:r>
      <w:r w:rsidR="00745DEF">
        <w:rPr>
          <w:rFonts w:ascii="TimesNewRomanPSMT" w:hAnsi="TimesNewRomanPSMT" w:cs="TimesNewRomanPSMT"/>
          <w:color w:val="000000"/>
          <w:sz w:val="24"/>
          <w:szCs w:val="24"/>
        </w:rPr>
        <w:t xml:space="preserve">had </w:t>
      </w:r>
      <w:r>
        <w:rPr>
          <w:rFonts w:ascii="TimesNewRomanPSMT" w:hAnsi="TimesNewRomanPSMT" w:cs="TimesNewRomanPSMT"/>
          <w:color w:val="000000"/>
          <w:sz w:val="24"/>
          <w:szCs w:val="24"/>
        </w:rPr>
        <w:t xml:space="preserve">allowed the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 xml:space="preserve">ant all of 16 March </w:t>
      </w:r>
      <w:r w:rsidR="00745DEF">
        <w:rPr>
          <w:rFonts w:ascii="TimesNewRomanPSMT" w:hAnsi="TimesNewRomanPSMT" w:cs="TimesNewRomanPSMT"/>
          <w:color w:val="000000"/>
          <w:sz w:val="24"/>
          <w:szCs w:val="24"/>
        </w:rPr>
        <w:t xml:space="preserve">2021 </w:t>
      </w:r>
      <w:r>
        <w:rPr>
          <w:rFonts w:ascii="TimesNewRomanPSMT" w:hAnsi="TimesNewRomanPSMT" w:cs="TimesNewRomanPSMT"/>
          <w:color w:val="000000"/>
          <w:sz w:val="24"/>
          <w:szCs w:val="24"/>
        </w:rPr>
        <w:t xml:space="preserve">to consider the </w:t>
      </w:r>
      <w:proofErr w:type="gramStart"/>
      <w:r w:rsidR="00745DEF">
        <w:rPr>
          <w:rFonts w:ascii="TimesNewRomanPSMT" w:hAnsi="TimesNewRomanPSMT" w:cs="TimesNewRomanPSMT"/>
          <w:color w:val="000000"/>
          <w:sz w:val="24"/>
          <w:szCs w:val="24"/>
        </w:rPr>
        <w:t>A</w:t>
      </w:r>
      <w:r>
        <w:rPr>
          <w:rFonts w:ascii="TimesNewRomanPSMT" w:hAnsi="TimesNewRomanPSMT" w:cs="TimesNewRomanPSMT"/>
          <w:color w:val="000000"/>
          <w:sz w:val="24"/>
          <w:szCs w:val="24"/>
        </w:rPr>
        <w:t>genda</w:t>
      </w:r>
      <w:proofErr w:type="gramEnd"/>
      <w:r w:rsidR="00745DEF">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and some time on the day before the </w:t>
      </w:r>
      <w:r w:rsidR="00745DEF">
        <w:rPr>
          <w:rFonts w:ascii="TimesNewRomanPSMT" w:hAnsi="TimesNewRomanPSMT" w:cs="TimesNewRomanPSMT"/>
          <w:color w:val="000000"/>
          <w:sz w:val="24"/>
          <w:szCs w:val="24"/>
        </w:rPr>
        <w:t>PH</w:t>
      </w:r>
      <w:r>
        <w:rPr>
          <w:rFonts w:ascii="TimesNewRomanPSMT" w:hAnsi="TimesNewRomanPSMT" w:cs="TimesNewRomanPSMT"/>
          <w:color w:val="000000"/>
          <w:sz w:val="24"/>
          <w:szCs w:val="24"/>
        </w:rPr>
        <w:t xml:space="preserve"> to consider the written submissions. The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 xml:space="preserve">ant </w:t>
      </w:r>
      <w:r w:rsidR="00745DEF">
        <w:rPr>
          <w:rFonts w:ascii="TimesNewRomanPSMT" w:hAnsi="TimesNewRomanPSMT" w:cs="TimesNewRomanPSMT"/>
          <w:color w:val="000000"/>
          <w:sz w:val="24"/>
          <w:szCs w:val="24"/>
        </w:rPr>
        <w:t xml:space="preserve">provided his written submissions to the Tribunal and to the Respondent approximately </w:t>
      </w:r>
      <w:r>
        <w:rPr>
          <w:rFonts w:ascii="TimesNewRomanPSMT" w:hAnsi="TimesNewRomanPSMT" w:cs="TimesNewRomanPSMT"/>
          <w:color w:val="000000"/>
          <w:sz w:val="24"/>
          <w:szCs w:val="24"/>
        </w:rPr>
        <w:t xml:space="preserve">half an hour before the </w:t>
      </w:r>
      <w:r w:rsidR="00745DEF">
        <w:rPr>
          <w:rFonts w:ascii="TimesNewRomanPSMT" w:hAnsi="TimesNewRomanPSMT" w:cs="TimesNewRomanPSMT"/>
          <w:color w:val="000000"/>
          <w:sz w:val="24"/>
          <w:szCs w:val="24"/>
        </w:rPr>
        <w:t xml:space="preserve">PH </w:t>
      </w:r>
      <w:r>
        <w:rPr>
          <w:rFonts w:ascii="TimesNewRomanPSMT" w:hAnsi="TimesNewRomanPSMT" w:cs="TimesNewRomanPSMT"/>
          <w:color w:val="000000"/>
          <w:sz w:val="24"/>
          <w:szCs w:val="24"/>
        </w:rPr>
        <w:t xml:space="preserve">began.  I </w:t>
      </w:r>
      <w:r w:rsidR="00745DEF">
        <w:rPr>
          <w:rFonts w:ascii="TimesNewRomanPSMT" w:hAnsi="TimesNewRomanPSMT" w:cs="TimesNewRomanPSMT"/>
          <w:color w:val="000000"/>
          <w:sz w:val="24"/>
          <w:szCs w:val="24"/>
        </w:rPr>
        <w:t xml:space="preserve">have made a point of including this in this Judgment </w:t>
      </w:r>
      <w:r>
        <w:rPr>
          <w:rFonts w:ascii="TimesNewRomanPSMT" w:hAnsi="TimesNewRomanPSMT" w:cs="TimesNewRomanPSMT"/>
          <w:color w:val="000000"/>
          <w:sz w:val="24"/>
          <w:szCs w:val="24"/>
        </w:rPr>
        <w:t xml:space="preserve">because I consider that the </w:t>
      </w:r>
      <w:r w:rsidR="00745DEF">
        <w:rPr>
          <w:rFonts w:ascii="TimesNewRomanPSMT" w:hAnsi="TimesNewRomanPSMT" w:cs="TimesNewRomanPSMT"/>
          <w:color w:val="000000"/>
          <w:sz w:val="24"/>
          <w:szCs w:val="24"/>
        </w:rPr>
        <w:t xml:space="preserve">exchange of those important documents, very shortly before the PH, </w:t>
      </w:r>
      <w:r>
        <w:rPr>
          <w:rFonts w:ascii="TimesNewRomanPSMT" w:hAnsi="TimesNewRomanPSMT" w:cs="TimesNewRomanPSMT"/>
          <w:color w:val="000000"/>
          <w:sz w:val="24"/>
          <w:szCs w:val="24"/>
        </w:rPr>
        <w:t xml:space="preserve">will not have assisted the </w:t>
      </w:r>
      <w:r>
        <w:rPr>
          <w:rFonts w:ascii="TimesNewRomanPSMT" w:hAnsi="TimesNewRomanPSMT" w:cs="TimesNewRomanPSMT"/>
          <w:color w:val="000000"/>
          <w:sz w:val="24"/>
          <w:szCs w:val="24"/>
        </w:rPr>
        <w:lastRenderedPageBreak/>
        <w:t xml:space="preserve">parties in presenting their </w:t>
      </w:r>
      <w:r w:rsidR="00745DEF">
        <w:rPr>
          <w:rFonts w:ascii="TimesNewRomanPSMT" w:hAnsi="TimesNewRomanPSMT" w:cs="TimesNewRomanPSMT"/>
          <w:color w:val="000000"/>
          <w:sz w:val="24"/>
          <w:szCs w:val="24"/>
        </w:rPr>
        <w:t xml:space="preserve">application(s) and responding to them. Little time was available to properly reflect on what the issues were. </w:t>
      </w:r>
      <w:r>
        <w:rPr>
          <w:rFonts w:ascii="TimesNewRomanPSMT" w:hAnsi="TimesNewRomanPSMT" w:cs="TimesNewRomanPSMT"/>
          <w:color w:val="000000"/>
          <w:sz w:val="24"/>
          <w:szCs w:val="24"/>
        </w:rPr>
        <w:t>It is possible that</w:t>
      </w:r>
      <w:r w:rsidR="00745DEF">
        <w:rPr>
          <w:rFonts w:ascii="TimesNewRomanPSMT" w:hAnsi="TimesNewRomanPSMT" w:cs="TimesNewRomanPSMT"/>
          <w:color w:val="000000"/>
          <w:sz w:val="24"/>
          <w:szCs w:val="24"/>
        </w:rPr>
        <w:t>, in turn, this did no</w:t>
      </w:r>
      <w:r>
        <w:rPr>
          <w:rFonts w:ascii="TimesNewRomanPSMT" w:hAnsi="TimesNewRomanPSMT" w:cs="TimesNewRomanPSMT"/>
          <w:color w:val="000000"/>
          <w:sz w:val="24"/>
          <w:szCs w:val="24"/>
        </w:rPr>
        <w:t>t assist the E</w:t>
      </w:r>
      <w:r w:rsidR="00745DEF">
        <w:rPr>
          <w:rFonts w:ascii="TimesNewRomanPSMT" w:hAnsi="TimesNewRomanPSMT" w:cs="TimesNewRomanPSMT"/>
          <w:color w:val="000000"/>
          <w:sz w:val="24"/>
          <w:szCs w:val="24"/>
        </w:rPr>
        <w:t xml:space="preserve">mployment </w:t>
      </w:r>
      <w:r>
        <w:rPr>
          <w:rFonts w:ascii="TimesNewRomanPSMT" w:hAnsi="TimesNewRomanPSMT" w:cs="TimesNewRomanPSMT"/>
          <w:color w:val="000000"/>
          <w:sz w:val="24"/>
          <w:szCs w:val="24"/>
        </w:rPr>
        <w:t>J</w:t>
      </w:r>
      <w:r w:rsidR="00745DEF">
        <w:rPr>
          <w:rFonts w:ascii="TimesNewRomanPSMT" w:hAnsi="TimesNewRomanPSMT" w:cs="TimesNewRomanPSMT"/>
          <w:color w:val="000000"/>
          <w:sz w:val="24"/>
          <w:szCs w:val="24"/>
        </w:rPr>
        <w:t>udge. In addition,</w:t>
      </w:r>
      <w:r>
        <w:rPr>
          <w:rFonts w:ascii="TimesNewRomanPSMT" w:hAnsi="TimesNewRomanPSMT" w:cs="TimesNewRomanPSMT"/>
          <w:color w:val="000000"/>
          <w:sz w:val="24"/>
          <w:szCs w:val="24"/>
        </w:rPr>
        <w:t xml:space="preserve"> </w:t>
      </w:r>
      <w:r w:rsidR="00745DEF">
        <w:rPr>
          <w:rFonts w:ascii="TimesNewRomanPSMT" w:hAnsi="TimesNewRomanPSMT" w:cs="TimesNewRomanPSMT"/>
          <w:color w:val="000000"/>
          <w:sz w:val="24"/>
          <w:szCs w:val="24"/>
        </w:rPr>
        <w:t xml:space="preserve">the (late) provision of documents, shortly before a hearing, creates additional difficulties for </w:t>
      </w:r>
      <w:r>
        <w:rPr>
          <w:rFonts w:ascii="TimesNewRomanPSMT" w:hAnsi="TimesNewRomanPSMT" w:cs="TimesNewRomanPSMT"/>
          <w:color w:val="000000"/>
          <w:sz w:val="24"/>
          <w:szCs w:val="24"/>
        </w:rPr>
        <w:t>litigants in person</w:t>
      </w:r>
      <w:r w:rsidR="00745DEF">
        <w:rPr>
          <w:rFonts w:ascii="TimesNewRomanPSMT" w:hAnsi="TimesNewRomanPSMT" w:cs="TimesNewRomanPSMT"/>
          <w:color w:val="000000"/>
          <w:sz w:val="24"/>
          <w:szCs w:val="24"/>
        </w:rPr>
        <w:t xml:space="preserve">. It can increase anxiety, </w:t>
      </w:r>
      <w:r>
        <w:rPr>
          <w:rFonts w:ascii="TimesNewRomanPSMT" w:hAnsi="TimesNewRomanPSMT" w:cs="TimesNewRomanPSMT"/>
          <w:color w:val="000000"/>
          <w:sz w:val="24"/>
          <w:szCs w:val="24"/>
        </w:rPr>
        <w:t>make participation in that hearing on an equal footing with counsel and solicitors more difficult</w:t>
      </w:r>
      <w:r w:rsidR="00745DEF">
        <w:rPr>
          <w:rFonts w:ascii="TimesNewRomanPSMT" w:hAnsi="TimesNewRomanPSMT" w:cs="TimesNewRomanPSMT"/>
          <w:color w:val="000000"/>
          <w:sz w:val="24"/>
          <w:szCs w:val="24"/>
        </w:rPr>
        <w:t xml:space="preserve">, alternatively, give </w:t>
      </w:r>
      <w:proofErr w:type="gramStart"/>
      <w:r w:rsidR="00745DEF">
        <w:rPr>
          <w:rFonts w:ascii="TimesNewRomanPSMT" w:hAnsi="TimesNewRomanPSMT" w:cs="TimesNewRomanPSMT"/>
          <w:color w:val="000000"/>
          <w:sz w:val="24"/>
          <w:szCs w:val="24"/>
        </w:rPr>
        <w:t>an</w:t>
      </w:r>
      <w:proofErr w:type="gramEnd"/>
      <w:r w:rsidR="00745DEF">
        <w:rPr>
          <w:rFonts w:ascii="TimesNewRomanPSMT" w:hAnsi="TimesNewRomanPSMT" w:cs="TimesNewRomanPSMT"/>
          <w:color w:val="000000"/>
          <w:sz w:val="24"/>
          <w:szCs w:val="24"/>
        </w:rPr>
        <w:t xml:space="preserve"> impression that that is </w:t>
      </w:r>
      <w:r w:rsidR="005B7727">
        <w:rPr>
          <w:rFonts w:ascii="TimesNewRomanPSMT" w:hAnsi="TimesNewRomanPSMT" w:cs="TimesNewRomanPSMT"/>
          <w:color w:val="000000"/>
          <w:sz w:val="24"/>
          <w:szCs w:val="24"/>
        </w:rPr>
        <w:t>not being achieved.</w:t>
      </w:r>
      <w:r w:rsidR="00745DEF">
        <w:rPr>
          <w:rFonts w:ascii="TimesNewRomanPSMT" w:hAnsi="TimesNewRomanPSMT" w:cs="TimesNewRomanPSMT"/>
          <w:color w:val="000000"/>
          <w:sz w:val="24"/>
          <w:szCs w:val="24"/>
        </w:rPr>
        <w:t xml:space="preserve"> That</w:t>
      </w:r>
      <w:r w:rsidR="005B7727">
        <w:rPr>
          <w:rFonts w:ascii="TimesNewRomanPSMT" w:hAnsi="TimesNewRomanPSMT" w:cs="TimesNewRomanPSMT"/>
          <w:color w:val="000000"/>
          <w:sz w:val="24"/>
          <w:szCs w:val="24"/>
        </w:rPr>
        <w:t>, in turn,</w:t>
      </w:r>
      <w:r w:rsidR="00745DEF">
        <w:rPr>
          <w:rFonts w:ascii="TimesNewRomanPSMT" w:hAnsi="TimesNewRomanPSMT" w:cs="TimesNewRomanPSMT"/>
          <w:color w:val="000000"/>
          <w:sz w:val="24"/>
          <w:szCs w:val="24"/>
        </w:rPr>
        <w:t xml:space="preserve"> is </w:t>
      </w:r>
      <w:r w:rsidR="00224A9E">
        <w:rPr>
          <w:rFonts w:ascii="TimesNewRomanPSMT" w:hAnsi="TimesNewRomanPSMT" w:cs="TimesNewRomanPSMT"/>
          <w:color w:val="000000"/>
          <w:sz w:val="24"/>
          <w:szCs w:val="24"/>
        </w:rPr>
        <w:t xml:space="preserve">also </w:t>
      </w:r>
      <w:r w:rsidR="00745DEF">
        <w:rPr>
          <w:rFonts w:ascii="TimesNewRomanPSMT" w:hAnsi="TimesNewRomanPSMT" w:cs="TimesNewRomanPSMT"/>
          <w:color w:val="000000"/>
          <w:sz w:val="24"/>
          <w:szCs w:val="24"/>
        </w:rPr>
        <w:t xml:space="preserve">unlikely to </w:t>
      </w:r>
      <w:r w:rsidR="00224A9E">
        <w:rPr>
          <w:rFonts w:ascii="TimesNewRomanPSMT" w:hAnsi="TimesNewRomanPSMT" w:cs="TimesNewRomanPSMT"/>
          <w:color w:val="000000"/>
          <w:sz w:val="24"/>
          <w:szCs w:val="24"/>
        </w:rPr>
        <w:t xml:space="preserve">facilitate meaningful discussion regarding other means of dispute resolution. All these points are relevant to the parties’ roles in assisting the Tribunal in furthering the overriding objective. </w:t>
      </w:r>
      <w:r>
        <w:rPr>
          <w:rFonts w:ascii="TimesNewRomanPSMT" w:hAnsi="TimesNewRomanPSMT" w:cs="TimesNewRomanPSMT"/>
          <w:color w:val="000000"/>
          <w:sz w:val="24"/>
          <w:szCs w:val="24"/>
        </w:rPr>
        <w:t>Rules and directions for the preparation for a hearing are</w:t>
      </w:r>
      <w:r w:rsidR="005B7727">
        <w:rPr>
          <w:rFonts w:ascii="TimesNewRomanPSMT" w:hAnsi="TimesNewRomanPSMT" w:cs="TimesNewRomanPSMT"/>
          <w:color w:val="000000"/>
          <w:sz w:val="24"/>
          <w:szCs w:val="24"/>
        </w:rPr>
        <w:t xml:space="preserve"> made</w:t>
      </w:r>
      <w:r>
        <w:rPr>
          <w:rFonts w:ascii="TimesNewRomanPSMT" w:hAnsi="TimesNewRomanPSMT" w:cs="TimesNewRomanPSMT"/>
          <w:color w:val="000000"/>
          <w:sz w:val="24"/>
          <w:szCs w:val="24"/>
        </w:rPr>
        <w:t xml:space="preserve"> for a reason. They should, except in exceptional circumstances, be adhered to.</w:t>
      </w:r>
    </w:p>
    <w:p w14:paraId="0FA3668D" w14:textId="179F68BC" w:rsidR="00224A9E" w:rsidRPr="00224A9E" w:rsidRDefault="00224A9E" w:rsidP="00224A9E">
      <w:pPr>
        <w:tabs>
          <w:tab w:val="left" w:pos="851"/>
        </w:tabs>
        <w:spacing w:before="240" w:line="480" w:lineRule="auto"/>
        <w:jc w:val="both"/>
        <w:rPr>
          <w:rFonts w:ascii="TimesNewRomanPSMT" w:hAnsi="TimesNewRomanPSMT" w:cs="TimesNewRomanPSMT"/>
          <w:b/>
          <w:bCs/>
          <w:color w:val="000000"/>
          <w:sz w:val="24"/>
          <w:szCs w:val="24"/>
          <w:u w:val="single"/>
        </w:rPr>
      </w:pPr>
      <w:r>
        <w:rPr>
          <w:rFonts w:ascii="TimesNewRomanPSMT" w:hAnsi="TimesNewRomanPSMT" w:cs="TimesNewRomanPSMT"/>
          <w:b/>
          <w:bCs/>
          <w:color w:val="000000"/>
          <w:sz w:val="24"/>
          <w:szCs w:val="24"/>
          <w:u w:val="single"/>
        </w:rPr>
        <w:t>The Tribunal’s decision</w:t>
      </w:r>
    </w:p>
    <w:p w14:paraId="17BD3716" w14:textId="3EA60A49" w:rsidR="00B968CF" w:rsidRDefault="00FD12FE"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In the R</w:t>
      </w:r>
      <w:r w:rsidR="00B968CF">
        <w:rPr>
          <w:rFonts w:ascii="TimesNewRomanPSMT" w:hAnsi="TimesNewRomanPSMT" w:cs="TimesNewRomanPSMT"/>
          <w:color w:val="000000"/>
          <w:sz w:val="24"/>
          <w:szCs w:val="24"/>
        </w:rPr>
        <w:t>easons</w:t>
      </w:r>
      <w:r w:rsidR="005B7727">
        <w:rPr>
          <w:rFonts w:ascii="TimesNewRomanPSMT" w:hAnsi="TimesNewRomanPSMT" w:cs="TimesNewRomanPSMT"/>
          <w:color w:val="000000"/>
          <w:sz w:val="24"/>
          <w:szCs w:val="24"/>
        </w:rPr>
        <w:t xml:space="preserve"> for the Tribunal’s </w:t>
      </w:r>
      <w:proofErr w:type="gramStart"/>
      <w:r w:rsidR="005B7727">
        <w:rPr>
          <w:rFonts w:ascii="TimesNewRomanPSMT" w:hAnsi="TimesNewRomanPSMT" w:cs="TimesNewRomanPSMT"/>
          <w:color w:val="000000"/>
          <w:sz w:val="24"/>
          <w:szCs w:val="24"/>
        </w:rPr>
        <w:t>Judgment</w:t>
      </w:r>
      <w:r>
        <w:rPr>
          <w:rFonts w:ascii="TimesNewRomanPSMT" w:hAnsi="TimesNewRomanPSMT" w:cs="TimesNewRomanPSMT"/>
          <w:color w:val="000000"/>
          <w:sz w:val="24"/>
          <w:szCs w:val="24"/>
        </w:rPr>
        <w:t xml:space="preserve">, </w:t>
      </w:r>
      <w:r w:rsidR="00B968CF">
        <w:rPr>
          <w:rFonts w:ascii="TimesNewRomanPSMT" w:hAnsi="TimesNewRomanPSMT" w:cs="TimesNewRomanPSMT"/>
          <w:color w:val="000000"/>
          <w:sz w:val="24"/>
          <w:szCs w:val="24"/>
        </w:rPr>
        <w:t xml:space="preserve"> the</w:t>
      </w:r>
      <w:proofErr w:type="gramEnd"/>
      <w:r w:rsidR="00B968CF">
        <w:rPr>
          <w:rFonts w:ascii="TimesNewRomanPSMT" w:hAnsi="TimesNewRomanPSMT" w:cs="TimesNewRomanPSMT"/>
          <w:color w:val="000000"/>
          <w:sz w:val="24"/>
          <w:szCs w:val="24"/>
        </w:rPr>
        <w:t xml:space="preserve"> E</w:t>
      </w:r>
      <w:r>
        <w:rPr>
          <w:rFonts w:ascii="TimesNewRomanPSMT" w:hAnsi="TimesNewRomanPSMT" w:cs="TimesNewRomanPSMT"/>
          <w:color w:val="000000"/>
          <w:sz w:val="24"/>
          <w:szCs w:val="24"/>
        </w:rPr>
        <w:t xml:space="preserve">mployment </w:t>
      </w:r>
      <w:r w:rsidR="00B968CF">
        <w:rPr>
          <w:rFonts w:ascii="TimesNewRomanPSMT" w:hAnsi="TimesNewRomanPSMT" w:cs="TimesNewRomanPSMT"/>
          <w:color w:val="000000"/>
          <w:sz w:val="24"/>
          <w:szCs w:val="24"/>
        </w:rPr>
        <w:t>J</w:t>
      </w:r>
      <w:r>
        <w:rPr>
          <w:rFonts w:ascii="TimesNewRomanPSMT" w:hAnsi="TimesNewRomanPSMT" w:cs="TimesNewRomanPSMT"/>
          <w:color w:val="000000"/>
          <w:sz w:val="24"/>
          <w:szCs w:val="24"/>
        </w:rPr>
        <w:t>udge</w:t>
      </w:r>
      <w:r w:rsidR="00B968CF">
        <w:rPr>
          <w:rFonts w:ascii="TimesNewRomanPSMT" w:hAnsi="TimesNewRomanPSMT" w:cs="TimesNewRomanPSMT"/>
          <w:color w:val="000000"/>
          <w:sz w:val="24"/>
          <w:szCs w:val="24"/>
        </w:rPr>
        <w:t xml:space="preserve"> recorded that the </w:t>
      </w:r>
      <w:r w:rsidR="005C41F1">
        <w:rPr>
          <w:rFonts w:ascii="TimesNewRomanPSMT" w:hAnsi="TimesNewRomanPSMT" w:cs="TimesNewRomanPSMT"/>
          <w:color w:val="000000"/>
          <w:sz w:val="24"/>
          <w:szCs w:val="24"/>
        </w:rPr>
        <w:t>Claim</w:t>
      </w:r>
      <w:r w:rsidR="00B968CF">
        <w:rPr>
          <w:rFonts w:ascii="TimesNewRomanPSMT" w:hAnsi="TimesNewRomanPSMT" w:cs="TimesNewRomanPSMT"/>
          <w:color w:val="000000"/>
          <w:sz w:val="24"/>
          <w:szCs w:val="24"/>
        </w:rPr>
        <w:t xml:space="preserve">ant was employed as a senior lecturer </w:t>
      </w:r>
      <w:r>
        <w:rPr>
          <w:rFonts w:ascii="TimesNewRomanPSMT" w:hAnsi="TimesNewRomanPSMT" w:cs="TimesNewRomanPSMT"/>
          <w:color w:val="000000"/>
          <w:sz w:val="24"/>
          <w:szCs w:val="24"/>
        </w:rPr>
        <w:t xml:space="preserve">employed </w:t>
      </w:r>
      <w:r w:rsidR="00B968CF">
        <w:rPr>
          <w:rFonts w:ascii="TimesNewRomanPSMT" w:hAnsi="TimesNewRomanPSMT" w:cs="TimesNewRomanPSMT"/>
          <w:color w:val="000000"/>
          <w:sz w:val="24"/>
          <w:szCs w:val="24"/>
        </w:rPr>
        <w:t xml:space="preserve">by the Respondent. He had worked from either 2013 or 2014 up until his dismissal on 20 December 2019. He was summarily dismissed for alleged gross misconduct. </w:t>
      </w:r>
    </w:p>
    <w:p w14:paraId="50F71571" w14:textId="43583B3B" w:rsidR="00B968CF" w:rsidRPr="00D24A96" w:rsidRDefault="00B968CF" w:rsidP="003667F0">
      <w:pPr>
        <w:numPr>
          <w:ilvl w:val="0"/>
          <w:numId w:val="2"/>
        </w:numPr>
        <w:tabs>
          <w:tab w:val="left" w:pos="851"/>
        </w:tabs>
        <w:spacing w:before="240" w:line="480" w:lineRule="auto"/>
        <w:ind w:left="0" w:firstLine="0"/>
        <w:jc w:val="both"/>
        <w:rPr>
          <w:rFonts w:ascii="TimesNewRomanPSMT" w:hAnsi="TimesNewRomanPSMT" w:cs="TimesNewRomanPSMT"/>
          <w:color w:val="000000"/>
          <w:sz w:val="20"/>
          <w:szCs w:val="20"/>
        </w:rPr>
      </w:pPr>
      <w:r>
        <w:rPr>
          <w:rFonts w:ascii="TimesNewRomanPSMT" w:hAnsi="TimesNewRomanPSMT" w:cs="TimesNewRomanPSMT"/>
          <w:color w:val="000000"/>
          <w:sz w:val="24"/>
          <w:szCs w:val="24"/>
        </w:rPr>
        <w:t xml:space="preserve">As noted above, the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 xml:space="preserve">ant presented a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 xml:space="preserve"> Form to the E</w:t>
      </w:r>
      <w:r w:rsidR="00FD12FE">
        <w:rPr>
          <w:rFonts w:ascii="TimesNewRomanPSMT" w:hAnsi="TimesNewRomanPSMT" w:cs="TimesNewRomanPSMT"/>
          <w:color w:val="000000"/>
          <w:sz w:val="24"/>
          <w:szCs w:val="24"/>
        </w:rPr>
        <w:t xml:space="preserve">mployment </w:t>
      </w:r>
      <w:r>
        <w:rPr>
          <w:rFonts w:ascii="TimesNewRomanPSMT" w:hAnsi="TimesNewRomanPSMT" w:cs="TimesNewRomanPSMT"/>
          <w:color w:val="000000"/>
          <w:sz w:val="24"/>
          <w:szCs w:val="24"/>
        </w:rPr>
        <w:t>T</w:t>
      </w:r>
      <w:r w:rsidR="00FD12FE">
        <w:rPr>
          <w:rFonts w:ascii="TimesNewRomanPSMT" w:hAnsi="TimesNewRomanPSMT" w:cs="TimesNewRomanPSMT"/>
          <w:color w:val="000000"/>
          <w:sz w:val="24"/>
          <w:szCs w:val="24"/>
        </w:rPr>
        <w:t>ribunal</w:t>
      </w:r>
      <w:r>
        <w:rPr>
          <w:rFonts w:ascii="TimesNewRomanPSMT" w:hAnsi="TimesNewRomanPSMT" w:cs="TimesNewRomanPSMT"/>
          <w:color w:val="000000"/>
          <w:sz w:val="24"/>
          <w:szCs w:val="24"/>
        </w:rPr>
        <w:t xml:space="preserve"> on 15 May 2020. The </w:t>
      </w:r>
      <w:r w:rsidR="00FD12FE">
        <w:rPr>
          <w:rFonts w:ascii="TimesNewRomanPSMT" w:hAnsi="TimesNewRomanPSMT" w:cs="TimesNewRomanPSMT"/>
          <w:color w:val="000000"/>
          <w:sz w:val="24"/>
          <w:szCs w:val="24"/>
        </w:rPr>
        <w:t>J</w:t>
      </w:r>
      <w:r>
        <w:rPr>
          <w:rFonts w:ascii="TimesNewRomanPSMT" w:hAnsi="TimesNewRomanPSMT" w:cs="TimesNewRomanPSMT"/>
          <w:color w:val="000000"/>
          <w:sz w:val="24"/>
          <w:szCs w:val="24"/>
        </w:rPr>
        <w:t>udge recorded that</w:t>
      </w:r>
      <w:r w:rsidR="00FD12FE">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accordingly</w:t>
      </w:r>
      <w:r w:rsidR="00FD12FE">
        <w:rPr>
          <w:rFonts w:ascii="TimesNewRomanPSMT" w:hAnsi="TimesNewRomanPSMT" w:cs="TimesNewRomanPSMT"/>
          <w:color w:val="000000"/>
          <w:sz w:val="24"/>
          <w:szCs w:val="24"/>
        </w:rPr>
        <w:t>,</w:t>
      </w:r>
      <w:r>
        <w:rPr>
          <w:rFonts w:ascii="TimesNewRomanPSMT" w:hAnsi="TimesNewRomanPSMT" w:cs="TimesNewRomanPSMT"/>
          <w:color w:val="000000"/>
          <w:sz w:val="24"/>
          <w:szCs w:val="24"/>
        </w:rPr>
        <w:t xml:space="preserve"> events which took place prior to three </w:t>
      </w:r>
      <w:r w:rsidRPr="00FD12FE">
        <w:rPr>
          <w:rFonts w:ascii="TimesNewRomanPSMT" w:hAnsi="TimesNewRomanPSMT" w:cs="TimesNewRomanPSMT"/>
          <w:color w:val="000000"/>
          <w:sz w:val="24"/>
          <w:szCs w:val="24"/>
        </w:rPr>
        <w:t xml:space="preserve">months before the date of dismissal (20 December 2019) were </w:t>
      </w:r>
      <w:r w:rsidRPr="00FD12FE">
        <w:rPr>
          <w:rFonts w:ascii="TimesNewRomanPSMT" w:hAnsi="TimesNewRomanPSMT" w:cs="TimesNewRomanPSMT"/>
          <w:i/>
          <w:color w:val="000000"/>
          <w:sz w:val="24"/>
          <w:szCs w:val="24"/>
        </w:rPr>
        <w:t>prima facie</w:t>
      </w:r>
      <w:r w:rsidRPr="00FD12FE">
        <w:rPr>
          <w:rFonts w:ascii="TimesNewRomanPSMT" w:hAnsi="TimesNewRomanPSMT" w:cs="TimesNewRomanPSMT"/>
          <w:color w:val="000000"/>
          <w:sz w:val="24"/>
          <w:szCs w:val="24"/>
        </w:rPr>
        <w:t xml:space="preserve"> outside the primary three </w:t>
      </w:r>
      <w:r w:rsidR="00FD12FE" w:rsidRPr="00FD12FE">
        <w:rPr>
          <w:rFonts w:ascii="TimesNewRomanPSMT" w:hAnsi="TimesNewRomanPSMT" w:cs="TimesNewRomanPSMT"/>
          <w:color w:val="000000"/>
          <w:sz w:val="24"/>
          <w:szCs w:val="24"/>
        </w:rPr>
        <w:t xml:space="preserve">months’ </w:t>
      </w:r>
      <w:r w:rsidRPr="00FD12FE">
        <w:rPr>
          <w:rFonts w:ascii="TimesNewRomanPSMT" w:hAnsi="TimesNewRomanPSMT" w:cs="TimesNewRomanPSMT"/>
          <w:color w:val="000000"/>
          <w:sz w:val="24"/>
          <w:szCs w:val="24"/>
        </w:rPr>
        <w:t xml:space="preserve">time limit </w:t>
      </w:r>
      <w:r>
        <w:rPr>
          <w:rFonts w:ascii="TimesNewRomanPSMT" w:hAnsi="TimesNewRomanPSMT" w:cs="TimesNewRomanPSMT"/>
          <w:color w:val="000000"/>
          <w:sz w:val="24"/>
          <w:szCs w:val="24"/>
        </w:rPr>
        <w:t xml:space="preserve">set out </w:t>
      </w:r>
      <w:r w:rsidR="00FD12FE">
        <w:rPr>
          <w:rFonts w:ascii="TimesNewRomanPSMT" w:hAnsi="TimesNewRomanPSMT" w:cs="TimesNewRomanPSMT"/>
          <w:color w:val="000000"/>
          <w:sz w:val="24"/>
          <w:szCs w:val="24"/>
        </w:rPr>
        <w:t>i</w:t>
      </w:r>
      <w:r>
        <w:rPr>
          <w:rFonts w:ascii="TimesNewRomanPSMT" w:hAnsi="TimesNewRomanPSMT" w:cs="TimesNewRomanPSMT"/>
          <w:color w:val="000000"/>
          <w:sz w:val="24"/>
          <w:szCs w:val="24"/>
        </w:rPr>
        <w:t xml:space="preserve">n section 123 of the </w:t>
      </w:r>
      <w:r w:rsidRPr="00D24EA5">
        <w:rPr>
          <w:rFonts w:ascii="TimesNewRomanPSMT" w:hAnsi="TimesNewRomanPSMT" w:cs="TimesNewRomanPSMT"/>
          <w:b/>
          <w:bCs/>
          <w:color w:val="000000"/>
          <w:sz w:val="24"/>
          <w:szCs w:val="24"/>
        </w:rPr>
        <w:t>Eq</w:t>
      </w:r>
      <w:r w:rsidR="00FD12FE">
        <w:rPr>
          <w:rFonts w:ascii="TimesNewRomanPSMT" w:hAnsi="TimesNewRomanPSMT" w:cs="TimesNewRomanPSMT"/>
          <w:b/>
          <w:bCs/>
          <w:color w:val="000000"/>
          <w:sz w:val="24"/>
          <w:szCs w:val="24"/>
        </w:rPr>
        <w:t xml:space="preserve">uality </w:t>
      </w:r>
      <w:r w:rsidRPr="00D24EA5">
        <w:rPr>
          <w:rFonts w:ascii="TimesNewRomanPSMT" w:hAnsi="TimesNewRomanPSMT" w:cs="TimesNewRomanPSMT"/>
          <w:b/>
          <w:bCs/>
          <w:color w:val="000000"/>
          <w:sz w:val="24"/>
          <w:szCs w:val="24"/>
        </w:rPr>
        <w:t>A</w:t>
      </w:r>
      <w:r w:rsidR="00FD12FE">
        <w:rPr>
          <w:rFonts w:ascii="TimesNewRomanPSMT" w:hAnsi="TimesNewRomanPSMT" w:cs="TimesNewRomanPSMT"/>
          <w:b/>
          <w:bCs/>
          <w:color w:val="000000"/>
          <w:sz w:val="24"/>
          <w:szCs w:val="24"/>
        </w:rPr>
        <w:t>ct</w:t>
      </w:r>
      <w:r w:rsidRPr="00D24EA5">
        <w:rPr>
          <w:rFonts w:ascii="TimesNewRomanPSMT" w:hAnsi="TimesNewRomanPSMT" w:cs="TimesNewRomanPSMT"/>
          <w:b/>
          <w:bCs/>
          <w:color w:val="000000"/>
          <w:sz w:val="24"/>
          <w:szCs w:val="24"/>
        </w:rPr>
        <w:t xml:space="preserve"> 2010</w:t>
      </w:r>
      <w:r w:rsidR="00FD12FE">
        <w:rPr>
          <w:rFonts w:ascii="TimesNewRomanPSMT" w:hAnsi="TimesNewRomanPSMT" w:cs="TimesNewRomanPSMT"/>
          <w:b/>
          <w:bCs/>
          <w:color w:val="000000"/>
          <w:sz w:val="24"/>
          <w:szCs w:val="24"/>
        </w:rPr>
        <w:t xml:space="preserve"> (EqA 2010)</w:t>
      </w:r>
      <w:r>
        <w:rPr>
          <w:rFonts w:ascii="TimesNewRomanPSMT" w:hAnsi="TimesNewRomanPSMT" w:cs="TimesNewRomanPSMT"/>
          <w:color w:val="000000"/>
          <w:sz w:val="24"/>
          <w:szCs w:val="24"/>
        </w:rPr>
        <w:t xml:space="preserve">.  The </w:t>
      </w:r>
      <w:r w:rsidR="00FD12FE">
        <w:rPr>
          <w:rFonts w:ascii="TimesNewRomanPSMT" w:hAnsi="TimesNewRomanPSMT" w:cs="TimesNewRomanPSMT"/>
          <w:color w:val="000000"/>
          <w:sz w:val="24"/>
          <w:szCs w:val="24"/>
        </w:rPr>
        <w:t>J</w:t>
      </w:r>
      <w:r>
        <w:rPr>
          <w:rFonts w:ascii="TimesNewRomanPSMT" w:hAnsi="TimesNewRomanPSMT" w:cs="TimesNewRomanPSMT"/>
          <w:color w:val="000000"/>
          <w:sz w:val="24"/>
          <w:szCs w:val="24"/>
        </w:rPr>
        <w:t xml:space="preserve">udge recorded that the </w:t>
      </w:r>
      <w:r w:rsidR="005C41F1">
        <w:rPr>
          <w:rFonts w:ascii="TimesNewRomanPSMT" w:hAnsi="TimesNewRomanPSMT" w:cs="TimesNewRomanPSMT"/>
          <w:color w:val="000000"/>
          <w:sz w:val="24"/>
          <w:szCs w:val="24"/>
        </w:rPr>
        <w:t>Claim</w:t>
      </w:r>
      <w:r>
        <w:rPr>
          <w:rFonts w:ascii="TimesNewRomanPSMT" w:hAnsi="TimesNewRomanPSMT" w:cs="TimesNewRomanPSMT"/>
          <w:color w:val="000000"/>
          <w:sz w:val="24"/>
          <w:szCs w:val="24"/>
        </w:rPr>
        <w:t xml:space="preserve">ant sought to pursue </w:t>
      </w:r>
      <w:r w:rsidR="00FD12FE">
        <w:rPr>
          <w:rFonts w:ascii="TimesNewRomanPSMT" w:hAnsi="TimesNewRomanPSMT" w:cs="TimesNewRomanPSMT"/>
          <w:color w:val="000000"/>
          <w:sz w:val="24"/>
          <w:szCs w:val="24"/>
        </w:rPr>
        <w:t>c</w:t>
      </w:r>
      <w:r w:rsidR="005C41F1">
        <w:rPr>
          <w:rFonts w:ascii="TimesNewRomanPSMT" w:hAnsi="TimesNewRomanPSMT" w:cs="TimesNewRomanPSMT"/>
          <w:color w:val="000000"/>
          <w:sz w:val="24"/>
          <w:szCs w:val="24"/>
        </w:rPr>
        <w:t>laim</w:t>
      </w:r>
      <w:r>
        <w:rPr>
          <w:rFonts w:ascii="TimesNewRomanPSMT" w:hAnsi="TimesNewRomanPSMT" w:cs="TimesNewRomanPSMT"/>
          <w:color w:val="000000"/>
          <w:sz w:val="24"/>
          <w:szCs w:val="24"/>
        </w:rPr>
        <w:t xml:space="preserve">s for unfair dismissal, sex discrimination, notice pay and also identified that there </w:t>
      </w:r>
      <w:proofErr w:type="gramStart"/>
      <w:r>
        <w:rPr>
          <w:rFonts w:ascii="TimesNewRomanPSMT" w:hAnsi="TimesNewRomanPSMT" w:cs="TimesNewRomanPSMT"/>
          <w:color w:val="000000"/>
          <w:sz w:val="24"/>
          <w:szCs w:val="24"/>
        </w:rPr>
        <w:t>were</w:t>
      </w:r>
      <w:proofErr w:type="gramEnd"/>
      <w:r>
        <w:rPr>
          <w:rFonts w:ascii="TimesNewRomanPSMT" w:hAnsi="TimesNewRomanPSMT" w:cs="TimesNewRomanPSMT"/>
          <w:color w:val="000000"/>
          <w:sz w:val="24"/>
          <w:szCs w:val="24"/>
        </w:rPr>
        <w:t xml:space="preserve"> </w:t>
      </w:r>
      <w:r w:rsidR="005B7727">
        <w:rPr>
          <w:rFonts w:ascii="TimesNewRomanPSMT" w:hAnsi="TimesNewRomanPSMT" w:cs="TimesNewRomanPSMT"/>
          <w:color w:val="000000"/>
          <w:sz w:val="24"/>
          <w:szCs w:val="24"/>
        </w:rPr>
        <w:t xml:space="preserve">other, </w:t>
      </w:r>
      <w:r>
        <w:rPr>
          <w:rFonts w:ascii="TimesNewRomanPSMT" w:hAnsi="TimesNewRomanPSMT" w:cs="TimesNewRomanPSMT"/>
          <w:color w:val="000000"/>
          <w:sz w:val="24"/>
          <w:szCs w:val="24"/>
        </w:rPr>
        <w:t>the less</w:t>
      </w:r>
      <w:r w:rsidR="00FD12FE">
        <w:rPr>
          <w:rFonts w:ascii="TimesNewRomanPSMT" w:hAnsi="TimesNewRomanPSMT" w:cs="TimesNewRomanPSMT"/>
          <w:color w:val="000000"/>
          <w:sz w:val="24"/>
          <w:szCs w:val="24"/>
        </w:rPr>
        <w:t xml:space="preserve"> well</w:t>
      </w:r>
      <w:r>
        <w:rPr>
          <w:rFonts w:ascii="TimesNewRomanPSMT" w:hAnsi="TimesNewRomanPSMT" w:cs="TimesNewRomanPSMT"/>
          <w:color w:val="000000"/>
          <w:sz w:val="24"/>
          <w:szCs w:val="24"/>
        </w:rPr>
        <w:t xml:space="preserve"> particularised </w:t>
      </w:r>
      <w:r w:rsidR="00FD12FE">
        <w:rPr>
          <w:rFonts w:ascii="TimesNewRomanPSMT" w:hAnsi="TimesNewRomanPSMT" w:cs="TimesNewRomanPSMT"/>
          <w:color w:val="000000"/>
          <w:sz w:val="24"/>
          <w:szCs w:val="24"/>
        </w:rPr>
        <w:t xml:space="preserve">allegations of </w:t>
      </w:r>
      <w:r>
        <w:rPr>
          <w:rFonts w:ascii="TimesNewRomanPSMT" w:hAnsi="TimesNewRomanPSMT" w:cs="TimesNewRomanPSMT"/>
          <w:color w:val="000000"/>
          <w:sz w:val="24"/>
          <w:szCs w:val="24"/>
        </w:rPr>
        <w:t xml:space="preserve">bullying, harassment and victimisation. The </w:t>
      </w:r>
      <w:r w:rsidR="00FD12FE">
        <w:rPr>
          <w:rFonts w:ascii="TimesNewRomanPSMT" w:hAnsi="TimesNewRomanPSMT" w:cs="TimesNewRomanPSMT"/>
          <w:color w:val="000000"/>
          <w:sz w:val="24"/>
          <w:szCs w:val="24"/>
        </w:rPr>
        <w:t>J</w:t>
      </w:r>
      <w:r>
        <w:rPr>
          <w:rFonts w:ascii="TimesNewRomanPSMT" w:hAnsi="TimesNewRomanPSMT" w:cs="TimesNewRomanPSMT"/>
          <w:color w:val="000000"/>
          <w:sz w:val="24"/>
          <w:szCs w:val="24"/>
        </w:rPr>
        <w:t xml:space="preserve">udge recorded that the Respondent’s application was one for a </w:t>
      </w:r>
      <w:r w:rsidR="00FD12FE">
        <w:rPr>
          <w:rFonts w:ascii="TimesNewRomanPSMT" w:hAnsi="TimesNewRomanPSMT" w:cs="TimesNewRomanPSMT"/>
          <w:color w:val="000000"/>
          <w:sz w:val="24"/>
          <w:szCs w:val="24"/>
        </w:rPr>
        <w:t>s</w:t>
      </w:r>
      <w:r>
        <w:rPr>
          <w:rFonts w:ascii="TimesNewRomanPSMT" w:hAnsi="TimesNewRomanPSMT" w:cs="TimesNewRomanPSMT"/>
          <w:color w:val="000000"/>
          <w:sz w:val="24"/>
          <w:szCs w:val="24"/>
        </w:rPr>
        <w:t xml:space="preserve">trike-out Order and/or a Deposit Order in relation to the allegations of sex discrimination, </w:t>
      </w:r>
      <w:proofErr w:type="gramStart"/>
      <w:r>
        <w:rPr>
          <w:rFonts w:ascii="TimesNewRomanPSMT" w:hAnsi="TimesNewRomanPSMT" w:cs="TimesNewRomanPSMT"/>
          <w:color w:val="000000"/>
          <w:sz w:val="24"/>
          <w:szCs w:val="24"/>
        </w:rPr>
        <w:t>harassment</w:t>
      </w:r>
      <w:proofErr w:type="gramEnd"/>
      <w:r>
        <w:rPr>
          <w:rFonts w:ascii="TimesNewRomanPSMT" w:hAnsi="TimesNewRomanPSMT" w:cs="TimesNewRomanPSMT"/>
          <w:color w:val="000000"/>
          <w:sz w:val="24"/>
          <w:szCs w:val="24"/>
        </w:rPr>
        <w:t xml:space="preserve"> and victimisation. The </w:t>
      </w:r>
      <w:r w:rsidR="00FD12FE">
        <w:rPr>
          <w:rFonts w:ascii="TimesNewRomanPSMT" w:hAnsi="TimesNewRomanPSMT" w:cs="TimesNewRomanPSMT"/>
          <w:color w:val="000000"/>
          <w:sz w:val="24"/>
          <w:szCs w:val="24"/>
        </w:rPr>
        <w:t>J</w:t>
      </w:r>
      <w:r>
        <w:rPr>
          <w:rFonts w:ascii="TimesNewRomanPSMT" w:hAnsi="TimesNewRomanPSMT" w:cs="TimesNewRomanPSMT"/>
          <w:color w:val="000000"/>
          <w:sz w:val="24"/>
          <w:szCs w:val="24"/>
        </w:rPr>
        <w:t>udge stated as follows at paragraph 8:</w:t>
      </w:r>
    </w:p>
    <w:p w14:paraId="31FE70B6" w14:textId="73F809D8"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ab/>
        <w:t xml:space="preserve">“The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is a litigant in person. He is obviously highly intelligent and well qualified. That said, in discussion with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w:t>
      </w:r>
      <w:proofErr w:type="gramStart"/>
      <w:r w:rsidRPr="00D24A96">
        <w:rPr>
          <w:rFonts w:ascii="TimesNewRomanPSMT" w:hAnsi="TimesNewRomanPSMT" w:cs="TimesNewRomanPSMT"/>
          <w:color w:val="000000"/>
          <w:sz w:val="20"/>
          <w:szCs w:val="20"/>
        </w:rPr>
        <w:t>during the course of</w:t>
      </w:r>
      <w:proofErr w:type="gramEnd"/>
      <w:r w:rsidRPr="00D24A96">
        <w:rPr>
          <w:rFonts w:ascii="TimesNewRomanPSMT" w:hAnsi="TimesNewRomanPSMT" w:cs="TimesNewRomanPSMT"/>
          <w:color w:val="000000"/>
          <w:sz w:val="20"/>
          <w:szCs w:val="20"/>
        </w:rPr>
        <w:t xml:space="preserve"> his hearing it has not always been easy to identify the treatment that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is complaining about in support of his sex discrimination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s.</w:t>
      </w:r>
    </w:p>
    <w:p w14:paraId="0936B5BC" w14:textId="77777777" w:rsidR="00B968CF" w:rsidRPr="00D24A96" w:rsidRDefault="00B968CF" w:rsidP="003667F0">
      <w:pPr>
        <w:tabs>
          <w:tab w:val="left" w:pos="1418"/>
        </w:tabs>
        <w:contextualSpacing/>
        <w:jc w:val="both"/>
        <w:rPr>
          <w:rFonts w:ascii="TimesNewRomanPSMT" w:hAnsi="TimesNewRomanPSMT" w:cs="TimesNewRomanPSMT"/>
          <w:color w:val="000000"/>
          <w:sz w:val="20"/>
          <w:szCs w:val="20"/>
        </w:rPr>
      </w:pPr>
    </w:p>
    <w:p w14:paraId="12E6A8F1" w14:textId="11C13B06"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ab/>
        <w:t xml:space="preserve">9. Mr Crawford on behalf of the Respondent has prepared a draft list of issues which includes a list of alleged treatment that he has drawn from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ant’s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 Form. This identifies 14 acts numbered A to M.  By reference to those 14 issues they can be broken down into different groups as follows:</w:t>
      </w:r>
    </w:p>
    <w:p w14:paraId="35EBEF82"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p>
    <w:p w14:paraId="37500C6B" w14:textId="2A5EF67F"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 xml:space="preserve">9.1 Five of them relate to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not being successful when he applied for promotion.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was notified that he had been unsuccessful following various applications in July 2016, February 2017, 28 February 2018, 28 January 2019 and 22 February 2019.  As regards the last of those, on 22 February 2019 the </w:t>
      </w:r>
      <w:r w:rsidR="003C0347" w:rsidRPr="00D24A96">
        <w:rPr>
          <w:rFonts w:ascii="TimesNewRomanPSMT" w:hAnsi="TimesNewRomanPSMT" w:cs="TimesNewRomanPSMT"/>
          <w:color w:val="000000"/>
          <w:sz w:val="20"/>
          <w:szCs w:val="20"/>
        </w:rPr>
        <w:t>three-month</w:t>
      </w:r>
      <w:r w:rsidRPr="00D24A96">
        <w:rPr>
          <w:rFonts w:ascii="TimesNewRomanPSMT" w:hAnsi="TimesNewRomanPSMT" w:cs="TimesNewRomanPSMT"/>
          <w:color w:val="000000"/>
          <w:sz w:val="20"/>
          <w:szCs w:val="20"/>
        </w:rPr>
        <w:t xml:space="preserve"> primary limitation period would have expired on 21 May 2019. Accordingly,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 Form was just short of a year out of time.</w:t>
      </w:r>
    </w:p>
    <w:p w14:paraId="14F93592"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p>
    <w:p w14:paraId="3788ED91" w14:textId="187A4C9A"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 xml:space="preserve">9.2 Five issues relate to the Respondent’s handling of two grievances made against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and one grievance made by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The grievances against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were dealt with between March and June 2018. Consequently, the </w:t>
      </w:r>
      <w:r w:rsidR="003C0347" w:rsidRPr="00D24A96">
        <w:rPr>
          <w:rFonts w:ascii="TimesNewRomanPSMT" w:hAnsi="TimesNewRomanPSMT" w:cs="TimesNewRomanPSMT"/>
          <w:color w:val="000000"/>
          <w:sz w:val="20"/>
          <w:szCs w:val="20"/>
        </w:rPr>
        <w:t>three-month</w:t>
      </w:r>
      <w:r w:rsidRPr="00D24A96">
        <w:rPr>
          <w:rFonts w:ascii="TimesNewRomanPSMT" w:hAnsi="TimesNewRomanPSMT" w:cs="TimesNewRomanPSMT"/>
          <w:color w:val="000000"/>
          <w:sz w:val="20"/>
          <w:szCs w:val="20"/>
        </w:rPr>
        <w:t xml:space="preserve"> primary limitation period would have expired in May 2019 and, again,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 Form is approximately one year out of time. One item of treatment relates to the Respondent allegedly being hostile to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when he returned from sickness in 2018 and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told me that this hostility resumed in November 2018. As regards this allegation, the primary limitation period would have expired in about February 2019 and, accordingly,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 Form is in excess of one year out of time.</w:t>
      </w:r>
    </w:p>
    <w:p w14:paraId="1B0EB11D"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p>
    <w:p w14:paraId="1DAD6C6B" w14:textId="7F969792"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 xml:space="preserve">9.4. One issue relates to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being denied sabbatical leave in September 2019.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told me that this also encompassed a complaint that he had been denied sabbatical leave following a request in June/July 2019. The </w:t>
      </w:r>
      <w:r w:rsidR="003C0347" w:rsidRPr="00D24A96">
        <w:rPr>
          <w:rFonts w:ascii="TimesNewRomanPSMT" w:hAnsi="TimesNewRomanPSMT" w:cs="TimesNewRomanPSMT"/>
          <w:color w:val="000000"/>
          <w:sz w:val="20"/>
          <w:szCs w:val="20"/>
        </w:rPr>
        <w:t>three-month</w:t>
      </w:r>
      <w:r w:rsidRPr="00D24A96">
        <w:rPr>
          <w:rFonts w:ascii="TimesNewRomanPSMT" w:hAnsi="TimesNewRomanPSMT" w:cs="TimesNewRomanPSMT"/>
          <w:color w:val="000000"/>
          <w:sz w:val="20"/>
          <w:szCs w:val="20"/>
        </w:rPr>
        <w:t xml:space="preserve"> primary limitation period would have expired in December 2019 and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 Form is accordingly five months out of time.</w:t>
      </w:r>
    </w:p>
    <w:p w14:paraId="21251845"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p>
    <w:p w14:paraId="2720C8EA" w14:textId="1ADA8C30"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 xml:space="preserve">9.5 The final two issues relate to the instigation of the disciplinary investigation on 7 October 2019 and the dismissal of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ant on 20 December 2019. It was agreed by Mr Crawford on behalf of the Respondent that those two issues are in time.</w:t>
      </w:r>
    </w:p>
    <w:p w14:paraId="2FC8752D"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p>
    <w:p w14:paraId="384413B8" w14:textId="3FD1D5D4"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 xml:space="preserve">10. I have endeavoured to ascertain from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what treatment he was complaining about in support of his allegations of sex discrimination, </w:t>
      </w:r>
      <w:proofErr w:type="gramStart"/>
      <w:r w:rsidRPr="00D24A96">
        <w:rPr>
          <w:rFonts w:ascii="TimesNewRomanPSMT" w:hAnsi="TimesNewRomanPSMT" w:cs="TimesNewRomanPSMT"/>
          <w:color w:val="000000"/>
          <w:sz w:val="20"/>
          <w:szCs w:val="20"/>
        </w:rPr>
        <w:t>harassment</w:t>
      </w:r>
      <w:proofErr w:type="gramEnd"/>
      <w:r w:rsidRPr="00D24A96">
        <w:rPr>
          <w:rFonts w:ascii="TimesNewRomanPSMT" w:hAnsi="TimesNewRomanPSMT" w:cs="TimesNewRomanPSMT"/>
          <w:color w:val="000000"/>
          <w:sz w:val="20"/>
          <w:szCs w:val="20"/>
        </w:rPr>
        <w:t xml:space="preserve"> and victimisation. He told me he did rely upon the three occasions when his applications for promotion failed. He told me that he was not sure if gender had any influence insofar as the handling of the grievances found against him were concerned. He complained of his treatment when he went off sick in February 2018 and on his return to work in February 2019 with a month’s investigation into him when he was not told what he was being investigated about. He says that he was subjected to unwarranted behaviour repeated a year later which he characterised as bullying and harassment in November 2018. He relied on the denial of being offered a sabbatical in June, </w:t>
      </w:r>
      <w:proofErr w:type="gramStart"/>
      <w:r w:rsidRPr="00D24A96">
        <w:rPr>
          <w:rFonts w:ascii="TimesNewRomanPSMT" w:hAnsi="TimesNewRomanPSMT" w:cs="TimesNewRomanPSMT"/>
          <w:color w:val="000000"/>
          <w:sz w:val="20"/>
          <w:szCs w:val="20"/>
        </w:rPr>
        <w:t>July</w:t>
      </w:r>
      <w:proofErr w:type="gramEnd"/>
      <w:r w:rsidRPr="00D24A96">
        <w:rPr>
          <w:rFonts w:ascii="TimesNewRomanPSMT" w:hAnsi="TimesNewRomanPSMT" w:cs="TimesNewRomanPSMT"/>
          <w:color w:val="000000"/>
          <w:sz w:val="20"/>
          <w:szCs w:val="20"/>
        </w:rPr>
        <w:t xml:space="preserve"> and September 2019. He made a generalised allegation against the Respondent’s Dean, Anna </w:t>
      </w:r>
      <w:proofErr w:type="spellStart"/>
      <w:r w:rsidRPr="00D24A96">
        <w:rPr>
          <w:rFonts w:ascii="TimesNewRomanPSMT" w:hAnsi="TimesNewRomanPSMT" w:cs="TimesNewRomanPSMT"/>
          <w:color w:val="000000"/>
          <w:sz w:val="20"/>
          <w:szCs w:val="20"/>
        </w:rPr>
        <w:t>Cypranou</w:t>
      </w:r>
      <w:proofErr w:type="spellEnd"/>
      <w:r w:rsidRPr="00D24A96">
        <w:rPr>
          <w:rFonts w:ascii="TimesNewRomanPSMT" w:hAnsi="TimesNewRomanPSMT" w:cs="TimesNewRomanPSMT"/>
          <w:color w:val="000000"/>
          <w:sz w:val="20"/>
          <w:szCs w:val="20"/>
        </w:rPr>
        <w:t xml:space="preserve">, accusing her of orchestrating all the treatment that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ant complains about.</w:t>
      </w:r>
    </w:p>
    <w:p w14:paraId="26B5418D"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p>
    <w:p w14:paraId="12A0918C" w14:textId="0CA7116A"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 xml:space="preserve">11. As regards all the alleged treatment of the </w:t>
      </w:r>
      <w:r w:rsidR="005C41F1">
        <w:rPr>
          <w:rFonts w:ascii="TimesNewRomanPSMT" w:hAnsi="TimesNewRomanPSMT" w:cs="TimesNewRomanPSMT"/>
          <w:color w:val="000000"/>
          <w:sz w:val="20"/>
          <w:szCs w:val="20"/>
        </w:rPr>
        <w:t>Claim</w:t>
      </w:r>
      <w:r w:rsidRPr="00D24A96">
        <w:rPr>
          <w:rFonts w:ascii="TimesNewRomanPSMT" w:hAnsi="TimesNewRomanPSMT" w:cs="TimesNewRomanPSMT"/>
          <w:color w:val="000000"/>
          <w:sz w:val="20"/>
          <w:szCs w:val="20"/>
        </w:rPr>
        <w:t xml:space="preserve">ant prior to 7 October 2019 I find that these were </w:t>
      </w:r>
      <w:r w:rsidRPr="00D24A96">
        <w:rPr>
          <w:rFonts w:ascii="TimesNewRomanPSMT" w:hAnsi="TimesNewRomanPSMT" w:cs="TimesNewRomanPSMT"/>
          <w:i/>
          <w:color w:val="000000"/>
          <w:sz w:val="20"/>
          <w:szCs w:val="20"/>
        </w:rPr>
        <w:t>prima facie</w:t>
      </w:r>
      <w:r w:rsidRPr="00D24A96">
        <w:rPr>
          <w:rFonts w:ascii="TimesNewRomanPSMT" w:hAnsi="TimesNewRomanPSMT" w:cs="TimesNewRomanPSMT"/>
          <w:color w:val="000000"/>
          <w:sz w:val="20"/>
          <w:szCs w:val="20"/>
        </w:rPr>
        <w:t xml:space="preserve"> out of time and that they were in excess of three months prior to 20 December 2019.</w:t>
      </w:r>
    </w:p>
    <w:p w14:paraId="34FC5ABD"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p>
    <w:p w14:paraId="5031C4F3" w14:textId="77777777" w:rsidR="00B968CF" w:rsidRPr="00D24A96" w:rsidRDefault="00B968CF" w:rsidP="003667F0">
      <w:pPr>
        <w:tabs>
          <w:tab w:val="left" w:pos="1418"/>
        </w:tabs>
        <w:ind w:left="1418"/>
        <w:contextualSpacing/>
        <w:jc w:val="both"/>
        <w:rPr>
          <w:rFonts w:ascii="TimesNewRomanPSMT" w:hAnsi="TimesNewRomanPSMT" w:cs="TimesNewRomanPSMT"/>
          <w:color w:val="000000"/>
          <w:sz w:val="20"/>
          <w:szCs w:val="20"/>
        </w:rPr>
      </w:pPr>
      <w:r w:rsidRPr="00D24A96">
        <w:rPr>
          <w:rFonts w:ascii="TimesNewRomanPSMT" w:hAnsi="TimesNewRomanPSMT" w:cs="TimesNewRomanPSMT"/>
          <w:color w:val="000000"/>
          <w:sz w:val="20"/>
          <w:szCs w:val="20"/>
        </w:rPr>
        <w:tab/>
        <w:t xml:space="preserve">12. As regards the denial of promotion, Mr Crawford drew my attention to the case of </w:t>
      </w:r>
      <w:r w:rsidRPr="00D24A96">
        <w:rPr>
          <w:rFonts w:ascii="TimesNewRomanPSMT" w:hAnsi="TimesNewRomanPSMT" w:cs="TimesNewRomanPSMT"/>
          <w:b/>
          <w:bCs/>
          <w:iCs/>
          <w:color w:val="000000"/>
          <w:sz w:val="20"/>
          <w:szCs w:val="20"/>
          <w:u w:val="single"/>
        </w:rPr>
        <w:t>Amies v Inner London Education Authority</w:t>
      </w:r>
      <w:r w:rsidRPr="00D24A96">
        <w:rPr>
          <w:rFonts w:ascii="TimesNewRomanPSMT" w:hAnsi="TimesNewRomanPSMT" w:cs="TimesNewRomanPSMT"/>
          <w:color w:val="000000"/>
          <w:sz w:val="20"/>
          <w:szCs w:val="20"/>
        </w:rPr>
        <w:t xml:space="preserve"> [1977] ICR 308 EAT in support of a proposition that rejection for promotion is usually considered a single act so the date of promotion the comparator is the date on which the alleged discrimination is said to have taken place.”</w:t>
      </w:r>
    </w:p>
    <w:p w14:paraId="205D7246" w14:textId="77777777" w:rsidR="00B968CF" w:rsidRDefault="00B968CF" w:rsidP="003667F0">
      <w:pPr>
        <w:tabs>
          <w:tab w:val="left" w:pos="1418"/>
        </w:tabs>
        <w:ind w:left="1418"/>
        <w:contextualSpacing/>
        <w:jc w:val="both"/>
        <w:rPr>
          <w:rFonts w:cs="Times New Roman"/>
          <w:color w:val="010302"/>
        </w:rPr>
      </w:pPr>
    </w:p>
    <w:p w14:paraId="3BF5B2A9" w14:textId="005D51E8" w:rsidR="00B968CF" w:rsidRDefault="00B968CF" w:rsidP="0091566F">
      <w:pPr>
        <w:pStyle w:val="ListParagraph"/>
        <w:numPr>
          <w:ilvl w:val="0"/>
          <w:numId w:val="2"/>
        </w:numPr>
        <w:tabs>
          <w:tab w:val="left" w:pos="0"/>
        </w:tabs>
        <w:spacing w:before="240" w:line="480" w:lineRule="auto"/>
        <w:ind w:left="0" w:firstLine="0"/>
        <w:contextualSpacing/>
        <w:jc w:val="both"/>
        <w:rPr>
          <w:rFonts w:cs="Times New Roman"/>
          <w:color w:val="010302"/>
          <w:sz w:val="24"/>
          <w:szCs w:val="24"/>
        </w:rPr>
      </w:pPr>
      <w:proofErr w:type="gramStart"/>
      <w:r w:rsidRPr="00AA4F7B">
        <w:rPr>
          <w:rFonts w:cs="Times New Roman"/>
          <w:color w:val="010302"/>
          <w:sz w:val="24"/>
          <w:szCs w:val="24"/>
        </w:rPr>
        <w:t>Pausing there for a moment, there</w:t>
      </w:r>
      <w:proofErr w:type="gramEnd"/>
      <w:r w:rsidRPr="00AA4F7B">
        <w:rPr>
          <w:rFonts w:cs="Times New Roman"/>
          <w:color w:val="010302"/>
          <w:sz w:val="24"/>
          <w:szCs w:val="24"/>
        </w:rPr>
        <w:t xml:space="preserve"> is no express reference in those passages </w:t>
      </w:r>
      <w:r w:rsidR="00EB7A8E" w:rsidRPr="00AA4F7B">
        <w:rPr>
          <w:rFonts w:cs="Times New Roman"/>
          <w:color w:val="010302"/>
          <w:sz w:val="24"/>
          <w:szCs w:val="24"/>
        </w:rPr>
        <w:t>to parts</w:t>
      </w:r>
      <w:r w:rsidRPr="00AA4F7B">
        <w:rPr>
          <w:rFonts w:cs="Times New Roman"/>
          <w:color w:val="010302"/>
          <w:sz w:val="24"/>
          <w:szCs w:val="24"/>
        </w:rPr>
        <w:t xml:space="preserve"> of the </w:t>
      </w:r>
      <w:r w:rsidR="005C41F1">
        <w:rPr>
          <w:rFonts w:cs="Times New Roman"/>
          <w:color w:val="010302"/>
          <w:sz w:val="24"/>
          <w:szCs w:val="24"/>
        </w:rPr>
        <w:t>Claim</w:t>
      </w:r>
      <w:r w:rsidRPr="00AA4F7B">
        <w:rPr>
          <w:rFonts w:cs="Times New Roman"/>
          <w:color w:val="010302"/>
          <w:sz w:val="24"/>
          <w:szCs w:val="24"/>
        </w:rPr>
        <w:t xml:space="preserve">ant’s </w:t>
      </w:r>
      <w:r w:rsidR="005C41F1">
        <w:rPr>
          <w:rFonts w:cs="Times New Roman"/>
          <w:color w:val="010302"/>
          <w:sz w:val="24"/>
          <w:szCs w:val="24"/>
        </w:rPr>
        <w:t>Claim</w:t>
      </w:r>
      <w:r w:rsidRPr="00AA4F7B">
        <w:rPr>
          <w:rFonts w:cs="Times New Roman"/>
          <w:color w:val="010302"/>
          <w:sz w:val="24"/>
          <w:szCs w:val="24"/>
        </w:rPr>
        <w:t xml:space="preserve"> Form that I have </w:t>
      </w:r>
      <w:r w:rsidR="003C0347">
        <w:rPr>
          <w:rFonts w:cs="Times New Roman"/>
          <w:color w:val="010302"/>
          <w:sz w:val="24"/>
          <w:szCs w:val="24"/>
        </w:rPr>
        <w:t>referred to in t</w:t>
      </w:r>
      <w:r w:rsidRPr="00AA4F7B">
        <w:rPr>
          <w:rFonts w:cs="Times New Roman"/>
          <w:color w:val="010302"/>
          <w:sz w:val="24"/>
          <w:szCs w:val="24"/>
        </w:rPr>
        <w:t xml:space="preserve">his Judgment. </w:t>
      </w:r>
      <w:proofErr w:type="gramStart"/>
      <w:r w:rsidRPr="00AA4F7B">
        <w:rPr>
          <w:rFonts w:cs="Times New Roman"/>
          <w:color w:val="010302"/>
          <w:sz w:val="24"/>
          <w:szCs w:val="24"/>
        </w:rPr>
        <w:t>In particular, there</w:t>
      </w:r>
      <w:proofErr w:type="gramEnd"/>
      <w:r w:rsidRPr="00AA4F7B">
        <w:rPr>
          <w:rFonts w:cs="Times New Roman"/>
          <w:color w:val="010302"/>
          <w:sz w:val="24"/>
          <w:szCs w:val="24"/>
        </w:rPr>
        <w:t xml:space="preserve"> is no reference to the paragraph which is headed </w:t>
      </w:r>
      <w:r w:rsidR="003C0347">
        <w:rPr>
          <w:rFonts w:cs="Times New Roman"/>
          <w:color w:val="010302"/>
          <w:sz w:val="24"/>
          <w:szCs w:val="24"/>
        </w:rPr>
        <w:t>“</w:t>
      </w:r>
      <w:r w:rsidRPr="00AA4F7B">
        <w:rPr>
          <w:rFonts w:cs="Times New Roman"/>
          <w:i/>
          <w:color w:val="010302"/>
          <w:sz w:val="24"/>
          <w:szCs w:val="24"/>
        </w:rPr>
        <w:t>Gender discrimination</w:t>
      </w:r>
      <w:r w:rsidR="003C0347">
        <w:rPr>
          <w:rFonts w:cs="Times New Roman"/>
          <w:i/>
          <w:color w:val="010302"/>
          <w:sz w:val="24"/>
          <w:szCs w:val="24"/>
        </w:rPr>
        <w:t>”</w:t>
      </w:r>
      <w:r w:rsidRPr="00AA4F7B">
        <w:rPr>
          <w:rFonts w:cs="Times New Roman"/>
          <w:color w:val="010302"/>
          <w:sz w:val="24"/>
          <w:szCs w:val="24"/>
        </w:rPr>
        <w:t>, nor to the reference and description of a complicated eco-system where a predominantly female group of administrators were said to be in charge and making decisions</w:t>
      </w:r>
      <w:r w:rsidR="003C0347">
        <w:rPr>
          <w:rFonts w:cs="Times New Roman"/>
          <w:color w:val="010302"/>
          <w:sz w:val="24"/>
          <w:szCs w:val="24"/>
        </w:rPr>
        <w:t xml:space="preserve">. There </w:t>
      </w:r>
      <w:r w:rsidRPr="00AA4F7B">
        <w:rPr>
          <w:rFonts w:cs="Times New Roman"/>
          <w:color w:val="010302"/>
          <w:sz w:val="24"/>
          <w:szCs w:val="24"/>
        </w:rPr>
        <w:t xml:space="preserve">was no reference either to the named female comparators that </w:t>
      </w:r>
      <w:r w:rsidRPr="00AA4F7B">
        <w:rPr>
          <w:rFonts w:cs="Times New Roman"/>
          <w:color w:val="010302"/>
          <w:sz w:val="24"/>
          <w:szCs w:val="24"/>
        </w:rPr>
        <w:lastRenderedPageBreak/>
        <w:t xml:space="preserve">were identified by the </w:t>
      </w:r>
      <w:r w:rsidR="005C41F1">
        <w:rPr>
          <w:rFonts w:cs="Times New Roman"/>
          <w:color w:val="010302"/>
          <w:sz w:val="24"/>
          <w:szCs w:val="24"/>
        </w:rPr>
        <w:t>Claim</w:t>
      </w:r>
      <w:r w:rsidRPr="00AA4F7B">
        <w:rPr>
          <w:rFonts w:cs="Times New Roman"/>
          <w:color w:val="010302"/>
          <w:sz w:val="24"/>
          <w:szCs w:val="24"/>
        </w:rPr>
        <w:t>ant.</w:t>
      </w:r>
    </w:p>
    <w:p w14:paraId="171BE177" w14:textId="15423E60" w:rsidR="003C0347" w:rsidRPr="00AA4F7B" w:rsidRDefault="003C0347" w:rsidP="003C0347">
      <w:pPr>
        <w:pStyle w:val="ListParagraph"/>
        <w:tabs>
          <w:tab w:val="left" w:pos="0"/>
        </w:tabs>
        <w:spacing w:before="240" w:line="480" w:lineRule="auto"/>
        <w:contextualSpacing/>
        <w:jc w:val="both"/>
        <w:rPr>
          <w:rFonts w:cs="Times New Roman"/>
          <w:color w:val="010302"/>
          <w:sz w:val="24"/>
          <w:szCs w:val="24"/>
        </w:rPr>
      </w:pPr>
    </w:p>
    <w:p w14:paraId="5BD3BEF5" w14:textId="4F0F16EC" w:rsidR="00B968CF" w:rsidRPr="00AA4F7B" w:rsidRDefault="00B968CF" w:rsidP="0091566F">
      <w:pPr>
        <w:pStyle w:val="ListParagraph"/>
        <w:numPr>
          <w:ilvl w:val="0"/>
          <w:numId w:val="2"/>
        </w:numPr>
        <w:tabs>
          <w:tab w:val="left" w:pos="0"/>
        </w:tabs>
        <w:spacing w:before="240" w:line="480" w:lineRule="auto"/>
        <w:ind w:left="0" w:firstLine="0"/>
        <w:contextualSpacing/>
        <w:jc w:val="both"/>
        <w:rPr>
          <w:rFonts w:cs="Times New Roman"/>
          <w:color w:val="010302"/>
          <w:sz w:val="24"/>
          <w:szCs w:val="24"/>
        </w:rPr>
      </w:pPr>
      <w:r w:rsidRPr="00AA4F7B">
        <w:rPr>
          <w:rFonts w:cs="Times New Roman"/>
          <w:color w:val="010302"/>
          <w:sz w:val="24"/>
          <w:szCs w:val="24"/>
        </w:rPr>
        <w:t xml:space="preserve">The reference within the Judgment to a generalised allegation about the Dean does not </w:t>
      </w:r>
      <w:proofErr w:type="gramStart"/>
      <w:r w:rsidRPr="00AA4F7B">
        <w:rPr>
          <w:rFonts w:cs="Times New Roman"/>
          <w:color w:val="010302"/>
          <w:sz w:val="24"/>
          <w:szCs w:val="24"/>
        </w:rPr>
        <w:t>refer back</w:t>
      </w:r>
      <w:proofErr w:type="gramEnd"/>
      <w:r w:rsidRPr="00AA4F7B">
        <w:rPr>
          <w:rFonts w:cs="Times New Roman"/>
          <w:color w:val="010302"/>
          <w:sz w:val="24"/>
          <w:szCs w:val="24"/>
        </w:rPr>
        <w:t xml:space="preserve"> to that which is set out within the </w:t>
      </w:r>
      <w:r w:rsidR="005C41F1">
        <w:rPr>
          <w:rFonts w:cs="Times New Roman"/>
          <w:color w:val="010302"/>
          <w:sz w:val="24"/>
          <w:szCs w:val="24"/>
        </w:rPr>
        <w:t>Claim</w:t>
      </w:r>
      <w:r w:rsidRPr="00AA4F7B">
        <w:rPr>
          <w:rFonts w:cs="Times New Roman"/>
          <w:color w:val="010302"/>
          <w:sz w:val="24"/>
          <w:szCs w:val="24"/>
        </w:rPr>
        <w:t xml:space="preserve"> Form.</w:t>
      </w:r>
    </w:p>
    <w:p w14:paraId="6551945E" w14:textId="48207ED1" w:rsidR="00B968CF" w:rsidRPr="00AA4F7B" w:rsidRDefault="00B968CF" w:rsidP="0091566F">
      <w:pPr>
        <w:pStyle w:val="ListParagraph"/>
        <w:numPr>
          <w:ilvl w:val="0"/>
          <w:numId w:val="2"/>
        </w:numPr>
        <w:tabs>
          <w:tab w:val="left" w:pos="0"/>
        </w:tabs>
        <w:spacing w:before="240" w:line="480" w:lineRule="auto"/>
        <w:ind w:left="0" w:firstLine="0"/>
        <w:jc w:val="both"/>
        <w:rPr>
          <w:rFonts w:cs="Times New Roman"/>
          <w:color w:val="010302"/>
          <w:sz w:val="24"/>
          <w:szCs w:val="24"/>
        </w:rPr>
      </w:pPr>
      <w:r w:rsidRPr="00AA4F7B">
        <w:rPr>
          <w:rFonts w:cs="Times New Roman"/>
          <w:color w:val="010302"/>
          <w:sz w:val="24"/>
          <w:szCs w:val="24"/>
        </w:rPr>
        <w:t xml:space="preserve">The </w:t>
      </w:r>
      <w:r w:rsidR="003C0347">
        <w:rPr>
          <w:rFonts w:cs="Times New Roman"/>
          <w:color w:val="010302"/>
          <w:sz w:val="24"/>
          <w:szCs w:val="24"/>
        </w:rPr>
        <w:t>J</w:t>
      </w:r>
      <w:r w:rsidRPr="00AA4F7B">
        <w:rPr>
          <w:rFonts w:cs="Times New Roman"/>
          <w:color w:val="010302"/>
          <w:sz w:val="24"/>
          <w:szCs w:val="24"/>
        </w:rPr>
        <w:t xml:space="preserve">udge then set out the </w:t>
      </w:r>
      <w:r w:rsidR="003C0347">
        <w:rPr>
          <w:rFonts w:cs="Times New Roman"/>
          <w:color w:val="010302"/>
          <w:sz w:val="24"/>
          <w:szCs w:val="24"/>
        </w:rPr>
        <w:t xml:space="preserve">relevant </w:t>
      </w:r>
      <w:r w:rsidRPr="00AA4F7B">
        <w:rPr>
          <w:rFonts w:cs="Times New Roman"/>
          <w:color w:val="010302"/>
          <w:sz w:val="24"/>
          <w:szCs w:val="24"/>
        </w:rPr>
        <w:t xml:space="preserve">statutory provisions, section 123 of the </w:t>
      </w:r>
      <w:r w:rsidRPr="00AA4F7B">
        <w:rPr>
          <w:rFonts w:cs="Times New Roman"/>
          <w:b/>
          <w:bCs/>
          <w:color w:val="010302"/>
          <w:sz w:val="24"/>
          <w:szCs w:val="24"/>
        </w:rPr>
        <w:t>EqA 2002</w:t>
      </w:r>
      <w:r w:rsidR="003C0347">
        <w:rPr>
          <w:rFonts w:cs="Times New Roman"/>
          <w:b/>
          <w:bCs/>
          <w:color w:val="010302"/>
          <w:sz w:val="24"/>
          <w:szCs w:val="24"/>
        </w:rPr>
        <w:t xml:space="preserve"> </w:t>
      </w:r>
      <w:proofErr w:type="gramStart"/>
      <w:r w:rsidR="003C0347">
        <w:rPr>
          <w:rFonts w:cs="Times New Roman"/>
          <w:color w:val="010302"/>
          <w:sz w:val="24"/>
          <w:szCs w:val="24"/>
        </w:rPr>
        <w:t xml:space="preserve">and </w:t>
      </w:r>
      <w:r w:rsidRPr="00AA4F7B">
        <w:rPr>
          <w:rFonts w:cs="Times New Roman"/>
          <w:color w:val="010302"/>
          <w:sz w:val="24"/>
          <w:szCs w:val="24"/>
        </w:rPr>
        <w:t xml:space="preserve"> continued</w:t>
      </w:r>
      <w:proofErr w:type="gramEnd"/>
      <w:r w:rsidRPr="00AA4F7B">
        <w:rPr>
          <w:rFonts w:cs="Times New Roman"/>
          <w:color w:val="010302"/>
          <w:sz w:val="24"/>
          <w:szCs w:val="24"/>
        </w:rPr>
        <w:t xml:space="preserve"> at paragraph 14:</w:t>
      </w:r>
    </w:p>
    <w:p w14:paraId="05B5D26A" w14:textId="29713A41" w:rsidR="00B968CF" w:rsidRPr="00D24A96" w:rsidRDefault="00B968CF" w:rsidP="003C0347">
      <w:pPr>
        <w:pStyle w:val="ListParagraph"/>
        <w:tabs>
          <w:tab w:val="left" w:pos="0"/>
        </w:tabs>
        <w:ind w:left="1418" w:right="567"/>
        <w:jc w:val="both"/>
        <w:rPr>
          <w:rFonts w:cs="Times New Roman"/>
          <w:color w:val="010302"/>
          <w:sz w:val="20"/>
          <w:szCs w:val="20"/>
        </w:rPr>
      </w:pPr>
      <w:r w:rsidRPr="00D24A96">
        <w:rPr>
          <w:rFonts w:cs="Times New Roman"/>
          <w:color w:val="010302"/>
          <w:sz w:val="20"/>
          <w:szCs w:val="20"/>
        </w:rPr>
        <w:tab/>
        <w:t xml:space="preserve">“Having found that all of the events prior to 7 October 2019 were </w:t>
      </w:r>
      <w:r w:rsidRPr="00D24A96">
        <w:rPr>
          <w:rFonts w:cs="Times New Roman"/>
          <w:i/>
          <w:color w:val="010302"/>
          <w:sz w:val="20"/>
          <w:szCs w:val="20"/>
        </w:rPr>
        <w:t>prima facie</w:t>
      </w:r>
      <w:r w:rsidRPr="00D24A96">
        <w:rPr>
          <w:rFonts w:cs="Times New Roman"/>
          <w:color w:val="010302"/>
          <w:sz w:val="20"/>
          <w:szCs w:val="20"/>
        </w:rPr>
        <w:t xml:space="preserve"> out of time I need to consider whether there was a continuing act of discrimination extending over a period of time or a series of distinct acts up until the </w:t>
      </w:r>
      <w:r w:rsidR="005C41F1">
        <w:rPr>
          <w:rFonts w:cs="Times New Roman"/>
          <w:color w:val="010302"/>
          <w:sz w:val="20"/>
          <w:szCs w:val="20"/>
        </w:rPr>
        <w:t>Claim</w:t>
      </w:r>
      <w:r w:rsidRPr="00D24A96">
        <w:rPr>
          <w:rFonts w:cs="Times New Roman"/>
          <w:color w:val="010302"/>
          <w:sz w:val="20"/>
          <w:szCs w:val="20"/>
        </w:rPr>
        <w:t>ant’s dismissal on 20 December 2019.</w:t>
      </w:r>
    </w:p>
    <w:p w14:paraId="2B55CE14" w14:textId="77777777" w:rsidR="00B968CF" w:rsidRPr="00D24A96" w:rsidRDefault="00B968CF" w:rsidP="0091566F">
      <w:pPr>
        <w:pStyle w:val="ListParagraph"/>
        <w:tabs>
          <w:tab w:val="left" w:pos="0"/>
        </w:tabs>
        <w:ind w:left="720" w:right="567"/>
        <w:jc w:val="both"/>
        <w:rPr>
          <w:rFonts w:cs="Times New Roman"/>
          <w:color w:val="010302"/>
          <w:sz w:val="20"/>
          <w:szCs w:val="20"/>
        </w:rPr>
      </w:pPr>
    </w:p>
    <w:p w14:paraId="15CF9721" w14:textId="6CFDC778" w:rsidR="00B968CF" w:rsidRPr="00D24A96" w:rsidRDefault="00B968CF" w:rsidP="0091566F">
      <w:pPr>
        <w:pStyle w:val="ListParagraph"/>
        <w:numPr>
          <w:ilvl w:val="0"/>
          <w:numId w:val="3"/>
        </w:numPr>
        <w:tabs>
          <w:tab w:val="clear" w:pos="1440"/>
          <w:tab w:val="left" w:pos="0"/>
          <w:tab w:val="num" w:pos="1985"/>
        </w:tabs>
        <w:ind w:right="567" w:hanging="22"/>
        <w:jc w:val="both"/>
        <w:rPr>
          <w:rFonts w:cs="Times New Roman"/>
          <w:color w:val="010302"/>
          <w:sz w:val="20"/>
          <w:szCs w:val="20"/>
        </w:rPr>
      </w:pPr>
      <w:r w:rsidRPr="00D24A96">
        <w:rPr>
          <w:rFonts w:cs="Times New Roman"/>
          <w:color w:val="010302"/>
          <w:sz w:val="20"/>
          <w:szCs w:val="20"/>
        </w:rPr>
        <w:t xml:space="preserve">Where there is a series of </w:t>
      </w:r>
      <w:r w:rsidR="003E2150" w:rsidRPr="00D24A96">
        <w:rPr>
          <w:rFonts w:cs="Times New Roman"/>
          <w:color w:val="010302"/>
          <w:sz w:val="20"/>
          <w:szCs w:val="20"/>
        </w:rPr>
        <w:t>dist</w:t>
      </w:r>
      <w:r w:rsidR="003E2150">
        <w:rPr>
          <w:rFonts w:cs="Times New Roman"/>
          <w:color w:val="010302"/>
          <w:sz w:val="20"/>
          <w:szCs w:val="20"/>
        </w:rPr>
        <w:t>inc</w:t>
      </w:r>
      <w:r w:rsidR="003E2150" w:rsidRPr="00D24A96">
        <w:rPr>
          <w:rFonts w:cs="Times New Roman"/>
          <w:color w:val="010302"/>
          <w:sz w:val="20"/>
          <w:szCs w:val="20"/>
        </w:rPr>
        <w:t>t</w:t>
      </w:r>
      <w:r w:rsidRPr="00D24A96">
        <w:rPr>
          <w:rFonts w:cs="Times New Roman"/>
          <w:color w:val="010302"/>
          <w:sz w:val="20"/>
          <w:szCs w:val="20"/>
        </w:rPr>
        <w:t xml:space="preserve"> acts the time limits begin to act to run when each act is completed. In my judgment, </w:t>
      </w:r>
      <w:proofErr w:type="gramStart"/>
      <w:r w:rsidRPr="00D24A96">
        <w:rPr>
          <w:rFonts w:cs="Times New Roman"/>
          <w:color w:val="010302"/>
          <w:sz w:val="20"/>
          <w:szCs w:val="20"/>
        </w:rPr>
        <w:t>all of</w:t>
      </w:r>
      <w:proofErr w:type="gramEnd"/>
      <w:r w:rsidRPr="00D24A96">
        <w:rPr>
          <w:rFonts w:cs="Times New Roman"/>
          <w:color w:val="010302"/>
          <w:sz w:val="20"/>
          <w:szCs w:val="20"/>
        </w:rPr>
        <w:t xml:space="preserve"> the acts complained about by the </w:t>
      </w:r>
      <w:r w:rsidR="005C41F1">
        <w:rPr>
          <w:rFonts w:cs="Times New Roman"/>
          <w:color w:val="010302"/>
          <w:sz w:val="20"/>
          <w:szCs w:val="20"/>
        </w:rPr>
        <w:t>Claim</w:t>
      </w:r>
      <w:r w:rsidRPr="00D24A96">
        <w:rPr>
          <w:rFonts w:cs="Times New Roman"/>
          <w:color w:val="010302"/>
          <w:sz w:val="20"/>
          <w:szCs w:val="20"/>
        </w:rPr>
        <w:t xml:space="preserve">ant do form a series of distinct acts. The outcomes of the applications for promotion, the outcomes of the grievances and the alleged denial of the </w:t>
      </w:r>
      <w:r w:rsidR="005C41F1">
        <w:rPr>
          <w:rFonts w:cs="Times New Roman"/>
          <w:color w:val="010302"/>
          <w:sz w:val="20"/>
          <w:szCs w:val="20"/>
        </w:rPr>
        <w:t>Claim</w:t>
      </w:r>
      <w:r w:rsidRPr="00D24A96">
        <w:rPr>
          <w:rFonts w:cs="Times New Roman"/>
          <w:color w:val="010302"/>
          <w:sz w:val="20"/>
          <w:szCs w:val="20"/>
        </w:rPr>
        <w:t xml:space="preserve">ant’s application for a sabbatical all crystallised on a date and so were known to the </w:t>
      </w:r>
      <w:r w:rsidR="005C41F1">
        <w:rPr>
          <w:rFonts w:cs="Times New Roman"/>
          <w:color w:val="010302"/>
          <w:sz w:val="20"/>
          <w:szCs w:val="20"/>
        </w:rPr>
        <w:t>Claim</w:t>
      </w:r>
      <w:r w:rsidRPr="00D24A96">
        <w:rPr>
          <w:rFonts w:cs="Times New Roman"/>
          <w:color w:val="010302"/>
          <w:sz w:val="20"/>
          <w:szCs w:val="20"/>
        </w:rPr>
        <w:t>ant. As regards the bullying and harassment in February 2018 and November 2018, again, these had an end point.</w:t>
      </w:r>
    </w:p>
    <w:p w14:paraId="57E599DD" w14:textId="76D3C720" w:rsidR="00B968CF" w:rsidRPr="00D24A96" w:rsidRDefault="00B968CF" w:rsidP="0091566F">
      <w:pPr>
        <w:pStyle w:val="ListParagraph"/>
        <w:numPr>
          <w:ilvl w:val="0"/>
          <w:numId w:val="3"/>
        </w:numPr>
        <w:tabs>
          <w:tab w:val="clear" w:pos="1440"/>
          <w:tab w:val="left" w:pos="0"/>
          <w:tab w:val="num" w:pos="1985"/>
        </w:tabs>
        <w:ind w:right="567" w:hanging="22"/>
        <w:jc w:val="both"/>
        <w:rPr>
          <w:rFonts w:cs="Times New Roman"/>
          <w:color w:val="010302"/>
          <w:sz w:val="20"/>
          <w:szCs w:val="20"/>
        </w:rPr>
      </w:pPr>
      <w:r w:rsidRPr="00D24A96">
        <w:rPr>
          <w:rFonts w:cs="Times New Roman"/>
          <w:color w:val="010302"/>
          <w:sz w:val="20"/>
          <w:szCs w:val="20"/>
        </w:rPr>
        <w:t xml:space="preserve">I have taken into account the case of </w:t>
      </w:r>
      <w:r w:rsidRPr="00D24A96">
        <w:rPr>
          <w:rFonts w:cs="Times New Roman"/>
          <w:b/>
          <w:bCs/>
          <w:iCs/>
          <w:color w:val="010302"/>
          <w:sz w:val="20"/>
          <w:szCs w:val="20"/>
          <w:u w:val="single"/>
        </w:rPr>
        <w:t>Aziz v FDA</w:t>
      </w:r>
      <w:r w:rsidRPr="00D24A96">
        <w:rPr>
          <w:rFonts w:cs="Times New Roman"/>
          <w:color w:val="010302"/>
          <w:sz w:val="20"/>
          <w:szCs w:val="20"/>
        </w:rPr>
        <w:t xml:space="preserve"> [2010] EWCA (Civ) 304 where the Court of Appeal noted that in considering whether separate incidents form part of an act extending over a period one relevant</w:t>
      </w:r>
      <w:r w:rsidR="00C00362">
        <w:rPr>
          <w:rFonts w:cs="Times New Roman"/>
          <w:color w:val="010302"/>
          <w:sz w:val="20"/>
          <w:szCs w:val="20"/>
        </w:rPr>
        <w:t>,</w:t>
      </w:r>
      <w:r w:rsidRPr="00D24A96">
        <w:rPr>
          <w:rFonts w:cs="Times New Roman"/>
          <w:color w:val="010302"/>
          <w:sz w:val="20"/>
          <w:szCs w:val="20"/>
        </w:rPr>
        <w:t xml:space="preserve"> but not conclusive</w:t>
      </w:r>
      <w:r w:rsidR="00C00362">
        <w:rPr>
          <w:rFonts w:cs="Times New Roman"/>
          <w:color w:val="010302"/>
          <w:sz w:val="20"/>
          <w:szCs w:val="20"/>
        </w:rPr>
        <w:t>,</w:t>
      </w:r>
      <w:r w:rsidRPr="00D24A96">
        <w:rPr>
          <w:rFonts w:cs="Times New Roman"/>
          <w:color w:val="010302"/>
          <w:sz w:val="20"/>
          <w:szCs w:val="20"/>
        </w:rPr>
        <w:t xml:space="preserve"> factor is whether the </w:t>
      </w:r>
      <w:r w:rsidR="005E76CD" w:rsidRPr="00D24A96">
        <w:rPr>
          <w:rFonts w:cs="Times New Roman"/>
          <w:color w:val="010302"/>
          <w:sz w:val="20"/>
          <w:szCs w:val="20"/>
        </w:rPr>
        <w:t xml:space="preserve">same </w:t>
      </w:r>
      <w:r w:rsidR="00EB7A8E" w:rsidRPr="00D24A96">
        <w:rPr>
          <w:rFonts w:cs="Times New Roman"/>
          <w:color w:val="010302"/>
          <w:sz w:val="20"/>
          <w:szCs w:val="20"/>
        </w:rPr>
        <w:t>or different</w:t>
      </w:r>
      <w:r w:rsidRPr="00D24A96">
        <w:rPr>
          <w:rFonts w:cs="Times New Roman"/>
          <w:color w:val="010302"/>
          <w:sz w:val="20"/>
          <w:szCs w:val="20"/>
        </w:rPr>
        <w:t xml:space="preserve"> individuals were involved in those incidents.</w:t>
      </w:r>
    </w:p>
    <w:p w14:paraId="1E4C9B10" w14:textId="6B72D54F" w:rsidR="00B968CF" w:rsidRPr="00D24A96" w:rsidRDefault="00B968CF" w:rsidP="0091566F">
      <w:pPr>
        <w:pStyle w:val="ListParagraph"/>
        <w:numPr>
          <w:ilvl w:val="0"/>
          <w:numId w:val="3"/>
        </w:numPr>
        <w:tabs>
          <w:tab w:val="clear" w:pos="1440"/>
          <w:tab w:val="left" w:pos="0"/>
          <w:tab w:val="num" w:pos="1985"/>
        </w:tabs>
        <w:ind w:right="567" w:hanging="22"/>
        <w:jc w:val="both"/>
        <w:rPr>
          <w:rFonts w:cs="Times New Roman"/>
          <w:color w:val="010302"/>
          <w:sz w:val="20"/>
          <w:szCs w:val="20"/>
        </w:rPr>
      </w:pPr>
      <w:r w:rsidRPr="00D24A96">
        <w:rPr>
          <w:rFonts w:cs="Times New Roman"/>
          <w:color w:val="010302"/>
          <w:sz w:val="20"/>
          <w:szCs w:val="20"/>
        </w:rPr>
        <w:t xml:space="preserve">From the </w:t>
      </w:r>
      <w:r w:rsidR="005C41F1">
        <w:rPr>
          <w:rFonts w:cs="Times New Roman"/>
          <w:color w:val="010302"/>
          <w:sz w:val="20"/>
          <w:szCs w:val="20"/>
        </w:rPr>
        <w:t>Claim</w:t>
      </w:r>
      <w:r w:rsidRPr="00D24A96">
        <w:rPr>
          <w:rFonts w:cs="Times New Roman"/>
          <w:color w:val="010302"/>
          <w:sz w:val="20"/>
          <w:szCs w:val="20"/>
        </w:rPr>
        <w:t xml:space="preserve">ant’s </w:t>
      </w:r>
      <w:r w:rsidR="005C41F1">
        <w:rPr>
          <w:rFonts w:cs="Times New Roman"/>
          <w:color w:val="010302"/>
          <w:sz w:val="20"/>
          <w:szCs w:val="20"/>
        </w:rPr>
        <w:t>Claim</w:t>
      </w:r>
      <w:r w:rsidRPr="00D24A96">
        <w:rPr>
          <w:rFonts w:cs="Times New Roman"/>
          <w:color w:val="010302"/>
          <w:sz w:val="20"/>
          <w:szCs w:val="20"/>
        </w:rPr>
        <w:t xml:space="preserve"> Form it can be seen that the </w:t>
      </w:r>
      <w:r w:rsidR="005C41F1">
        <w:rPr>
          <w:rFonts w:cs="Times New Roman"/>
          <w:color w:val="010302"/>
          <w:sz w:val="20"/>
          <w:szCs w:val="20"/>
        </w:rPr>
        <w:t>Claim</w:t>
      </w:r>
      <w:r w:rsidRPr="00D24A96">
        <w:rPr>
          <w:rFonts w:cs="Times New Roman"/>
          <w:color w:val="010302"/>
          <w:sz w:val="20"/>
          <w:szCs w:val="20"/>
        </w:rPr>
        <w:t xml:space="preserve">ant complains about the actions or motives of a number of individuals not only the Dean but also the Deputy Dean, Miss Tracy </w:t>
      </w:r>
      <w:proofErr w:type="spellStart"/>
      <w:r w:rsidRPr="00D24A96">
        <w:rPr>
          <w:rFonts w:cs="Times New Roman"/>
          <w:color w:val="010302"/>
          <w:sz w:val="20"/>
          <w:szCs w:val="20"/>
        </w:rPr>
        <w:t>Copperton</w:t>
      </w:r>
      <w:proofErr w:type="spellEnd"/>
      <w:r w:rsidRPr="00D24A96">
        <w:rPr>
          <w:rFonts w:cs="Times New Roman"/>
          <w:color w:val="010302"/>
          <w:sz w:val="20"/>
          <w:szCs w:val="20"/>
        </w:rPr>
        <w:t xml:space="preserve"> and Heather Clay, along with Parveen </w:t>
      </w:r>
      <w:proofErr w:type="spellStart"/>
      <w:r w:rsidRPr="00D24A96">
        <w:rPr>
          <w:rFonts w:cs="Times New Roman"/>
          <w:color w:val="010302"/>
          <w:sz w:val="20"/>
          <w:szCs w:val="20"/>
        </w:rPr>
        <w:t>Kujal</w:t>
      </w:r>
      <w:proofErr w:type="spellEnd"/>
      <w:r w:rsidRPr="00D24A96">
        <w:rPr>
          <w:rFonts w:cs="Times New Roman"/>
          <w:color w:val="010302"/>
          <w:sz w:val="20"/>
          <w:szCs w:val="20"/>
        </w:rPr>
        <w:t xml:space="preserve">, the </w:t>
      </w:r>
      <w:r w:rsidR="005C41F1">
        <w:rPr>
          <w:rFonts w:cs="Times New Roman"/>
          <w:color w:val="010302"/>
          <w:sz w:val="20"/>
          <w:szCs w:val="20"/>
        </w:rPr>
        <w:t>Claim</w:t>
      </w:r>
      <w:r w:rsidRPr="00D24A96">
        <w:rPr>
          <w:rFonts w:cs="Times New Roman"/>
          <w:color w:val="010302"/>
          <w:sz w:val="20"/>
          <w:szCs w:val="20"/>
        </w:rPr>
        <w:t xml:space="preserve">ant’s Head of Department, Marianna </w:t>
      </w:r>
      <w:proofErr w:type="spellStart"/>
      <w:r w:rsidRPr="00D24A96">
        <w:rPr>
          <w:rFonts w:cs="Times New Roman"/>
          <w:color w:val="010302"/>
          <w:sz w:val="20"/>
          <w:szCs w:val="20"/>
        </w:rPr>
        <w:t>Dodorova</w:t>
      </w:r>
      <w:proofErr w:type="spellEnd"/>
      <w:r w:rsidRPr="00D24A96">
        <w:rPr>
          <w:rFonts w:cs="Times New Roman"/>
          <w:color w:val="010302"/>
          <w:sz w:val="20"/>
          <w:szCs w:val="20"/>
        </w:rPr>
        <w:t xml:space="preserve"> and Thomas Lange. In </w:t>
      </w:r>
      <w:proofErr w:type="gramStart"/>
      <w:r w:rsidRPr="00D24A96">
        <w:rPr>
          <w:rFonts w:cs="Times New Roman"/>
          <w:color w:val="010302"/>
          <w:sz w:val="20"/>
          <w:szCs w:val="20"/>
        </w:rPr>
        <w:t>addition</w:t>
      </w:r>
      <w:proofErr w:type="gramEnd"/>
      <w:r w:rsidRPr="00D24A96">
        <w:rPr>
          <w:rFonts w:cs="Times New Roman"/>
          <w:color w:val="010302"/>
          <w:sz w:val="20"/>
          <w:szCs w:val="20"/>
        </w:rPr>
        <w:t xml:space="preserve"> Lawrence Petch is complained about.</w:t>
      </w:r>
    </w:p>
    <w:p w14:paraId="7BE57E3D" w14:textId="358AFEDA" w:rsidR="00B968CF" w:rsidRPr="00D24A96" w:rsidRDefault="00B968CF" w:rsidP="0091566F">
      <w:pPr>
        <w:pStyle w:val="ListParagraph"/>
        <w:numPr>
          <w:ilvl w:val="0"/>
          <w:numId w:val="3"/>
        </w:numPr>
        <w:tabs>
          <w:tab w:val="clear" w:pos="1440"/>
          <w:tab w:val="left" w:pos="0"/>
          <w:tab w:val="num" w:pos="1985"/>
        </w:tabs>
        <w:ind w:right="567" w:hanging="22"/>
        <w:jc w:val="both"/>
        <w:rPr>
          <w:rFonts w:cs="Times New Roman"/>
          <w:color w:val="010302"/>
          <w:sz w:val="20"/>
          <w:szCs w:val="20"/>
        </w:rPr>
      </w:pPr>
      <w:r w:rsidRPr="00D24A96">
        <w:rPr>
          <w:rFonts w:cs="Times New Roman"/>
          <w:color w:val="010302"/>
          <w:sz w:val="20"/>
          <w:szCs w:val="20"/>
        </w:rPr>
        <w:t xml:space="preserve">As regards the failure of the </w:t>
      </w:r>
      <w:r w:rsidR="005C41F1">
        <w:rPr>
          <w:rFonts w:cs="Times New Roman"/>
          <w:color w:val="010302"/>
          <w:sz w:val="20"/>
          <w:szCs w:val="20"/>
        </w:rPr>
        <w:t>Claim</w:t>
      </w:r>
      <w:r w:rsidRPr="00D24A96">
        <w:rPr>
          <w:rFonts w:cs="Times New Roman"/>
          <w:color w:val="010302"/>
          <w:sz w:val="20"/>
          <w:szCs w:val="20"/>
        </w:rPr>
        <w:t xml:space="preserve">ant to </w:t>
      </w:r>
      <w:r w:rsidR="005C41F1">
        <w:rPr>
          <w:rFonts w:cs="Times New Roman"/>
          <w:color w:val="010302"/>
          <w:sz w:val="20"/>
          <w:szCs w:val="20"/>
        </w:rPr>
        <w:t>claim</w:t>
      </w:r>
      <w:r w:rsidRPr="00D24A96">
        <w:rPr>
          <w:rFonts w:cs="Times New Roman"/>
          <w:color w:val="010302"/>
          <w:sz w:val="20"/>
          <w:szCs w:val="20"/>
        </w:rPr>
        <w:t xml:space="preserve"> promotion</w:t>
      </w:r>
      <w:r w:rsidR="00C00362">
        <w:rPr>
          <w:rFonts w:cs="Times New Roman"/>
          <w:color w:val="010302"/>
          <w:sz w:val="20"/>
          <w:szCs w:val="20"/>
        </w:rPr>
        <w:t>,</w:t>
      </w:r>
      <w:r w:rsidRPr="00D24A96">
        <w:rPr>
          <w:rFonts w:cs="Times New Roman"/>
          <w:color w:val="010302"/>
          <w:sz w:val="20"/>
          <w:szCs w:val="20"/>
        </w:rPr>
        <w:t xml:space="preserve"> it is likely that further individuals will have been involved in the assessment of and rejection of the </w:t>
      </w:r>
      <w:r w:rsidR="005C41F1">
        <w:rPr>
          <w:rFonts w:cs="Times New Roman"/>
          <w:color w:val="010302"/>
          <w:sz w:val="20"/>
          <w:szCs w:val="20"/>
        </w:rPr>
        <w:t>Claim</w:t>
      </w:r>
      <w:r w:rsidRPr="00D24A96">
        <w:rPr>
          <w:rFonts w:cs="Times New Roman"/>
          <w:color w:val="010302"/>
          <w:sz w:val="20"/>
          <w:szCs w:val="20"/>
        </w:rPr>
        <w:t xml:space="preserve">ant’s application.  The number of individuals alleged to have acted in this discriminatory way towards the </w:t>
      </w:r>
      <w:r w:rsidR="005C41F1">
        <w:rPr>
          <w:rFonts w:cs="Times New Roman"/>
          <w:color w:val="010302"/>
          <w:sz w:val="20"/>
          <w:szCs w:val="20"/>
        </w:rPr>
        <w:t>Claim</w:t>
      </w:r>
      <w:r w:rsidRPr="00D24A96">
        <w:rPr>
          <w:rFonts w:cs="Times New Roman"/>
          <w:color w:val="010302"/>
          <w:sz w:val="20"/>
          <w:szCs w:val="20"/>
        </w:rPr>
        <w:t>ant supports my conclusion that these were a series of distinct acts and not continuing acts extending over a period.</w:t>
      </w:r>
    </w:p>
    <w:p w14:paraId="2E28EAAA" w14:textId="77777777" w:rsidR="00B968CF" w:rsidRPr="00D24A96" w:rsidRDefault="00B968CF" w:rsidP="0091566F">
      <w:pPr>
        <w:pStyle w:val="ListParagraph"/>
        <w:numPr>
          <w:ilvl w:val="0"/>
          <w:numId w:val="3"/>
        </w:numPr>
        <w:tabs>
          <w:tab w:val="clear" w:pos="1440"/>
          <w:tab w:val="left" w:pos="0"/>
          <w:tab w:val="num" w:pos="1985"/>
        </w:tabs>
        <w:ind w:right="567" w:hanging="22"/>
        <w:jc w:val="both"/>
        <w:rPr>
          <w:rFonts w:cs="Times New Roman"/>
          <w:color w:val="010302"/>
          <w:sz w:val="20"/>
          <w:szCs w:val="20"/>
        </w:rPr>
      </w:pPr>
      <w:r w:rsidRPr="00D24A96">
        <w:rPr>
          <w:rFonts w:cs="Times New Roman"/>
          <w:color w:val="010302"/>
          <w:sz w:val="20"/>
          <w:szCs w:val="20"/>
        </w:rPr>
        <w:t>However, leaving aside the issue of sabbatical leave, the last of the acts complained about was in February 2019 and there is a significant gap between then and 7 October 2019.”</w:t>
      </w:r>
    </w:p>
    <w:p w14:paraId="72BF4303" w14:textId="77777777" w:rsidR="00B968CF" w:rsidRDefault="00B968CF" w:rsidP="00F2497A">
      <w:pPr>
        <w:pStyle w:val="ListParagraph"/>
        <w:tabs>
          <w:tab w:val="left" w:pos="0"/>
        </w:tabs>
        <w:ind w:left="720"/>
        <w:contextualSpacing/>
        <w:jc w:val="both"/>
        <w:rPr>
          <w:rFonts w:cs="Times New Roman"/>
          <w:color w:val="010302"/>
        </w:rPr>
      </w:pPr>
    </w:p>
    <w:p w14:paraId="2E7AC054" w14:textId="6DF277DA" w:rsidR="00B968CF" w:rsidRPr="00AA4F7B" w:rsidRDefault="00B968CF" w:rsidP="0091566F">
      <w:pPr>
        <w:pStyle w:val="ListParagraph"/>
        <w:tabs>
          <w:tab w:val="left" w:pos="0"/>
        </w:tabs>
        <w:spacing w:before="240" w:line="480" w:lineRule="auto"/>
        <w:jc w:val="both"/>
        <w:rPr>
          <w:rFonts w:cs="Times New Roman"/>
          <w:color w:val="010302"/>
          <w:sz w:val="24"/>
          <w:szCs w:val="24"/>
        </w:rPr>
      </w:pPr>
      <w:r w:rsidRPr="00AA4F7B">
        <w:rPr>
          <w:rFonts w:cs="Times New Roman"/>
          <w:color w:val="010302"/>
          <w:sz w:val="24"/>
          <w:szCs w:val="24"/>
        </w:rPr>
        <w:t xml:space="preserve">By leaving aside the issue of sabbatical leave, the </w:t>
      </w:r>
      <w:r w:rsidR="00C00362">
        <w:rPr>
          <w:rFonts w:cs="Times New Roman"/>
          <w:color w:val="010302"/>
          <w:sz w:val="24"/>
          <w:szCs w:val="24"/>
        </w:rPr>
        <w:t>J</w:t>
      </w:r>
      <w:r w:rsidRPr="00AA4F7B">
        <w:rPr>
          <w:rFonts w:cs="Times New Roman"/>
          <w:color w:val="010302"/>
          <w:sz w:val="24"/>
          <w:szCs w:val="24"/>
        </w:rPr>
        <w:t xml:space="preserve">udge left aside the </w:t>
      </w:r>
      <w:r w:rsidR="005C41F1">
        <w:rPr>
          <w:rFonts w:cs="Times New Roman"/>
          <w:color w:val="010302"/>
          <w:sz w:val="24"/>
          <w:szCs w:val="24"/>
        </w:rPr>
        <w:t>Claim</w:t>
      </w:r>
      <w:r w:rsidRPr="00AA4F7B">
        <w:rPr>
          <w:rFonts w:cs="Times New Roman"/>
          <w:color w:val="010302"/>
          <w:sz w:val="24"/>
          <w:szCs w:val="24"/>
        </w:rPr>
        <w:t>ant’s allegation that he had not been granted sabbatical leave and that the failure to grant him</w:t>
      </w:r>
      <w:r w:rsidR="00C00362">
        <w:rPr>
          <w:rFonts w:cs="Times New Roman"/>
          <w:color w:val="010302"/>
          <w:sz w:val="24"/>
          <w:szCs w:val="24"/>
        </w:rPr>
        <w:t xml:space="preserve"> that</w:t>
      </w:r>
      <w:r w:rsidRPr="00AA4F7B">
        <w:rPr>
          <w:rFonts w:cs="Times New Roman"/>
          <w:color w:val="010302"/>
          <w:sz w:val="24"/>
          <w:szCs w:val="24"/>
        </w:rPr>
        <w:t xml:space="preserve"> was less favourable treatment </w:t>
      </w:r>
      <w:r w:rsidR="00C00362">
        <w:rPr>
          <w:rFonts w:cs="Times New Roman"/>
          <w:color w:val="010302"/>
          <w:sz w:val="24"/>
          <w:szCs w:val="24"/>
        </w:rPr>
        <w:t xml:space="preserve">of him </w:t>
      </w:r>
      <w:r w:rsidRPr="00AA4F7B">
        <w:rPr>
          <w:rFonts w:cs="Times New Roman"/>
          <w:color w:val="010302"/>
          <w:sz w:val="24"/>
          <w:szCs w:val="24"/>
        </w:rPr>
        <w:t xml:space="preserve">compared to how an </w:t>
      </w:r>
      <w:r w:rsidR="00C00362">
        <w:rPr>
          <w:rFonts w:cs="Times New Roman"/>
          <w:color w:val="010302"/>
          <w:sz w:val="24"/>
          <w:szCs w:val="24"/>
        </w:rPr>
        <w:t xml:space="preserve">identified </w:t>
      </w:r>
      <w:r w:rsidRPr="00AA4F7B">
        <w:rPr>
          <w:rFonts w:cs="Times New Roman"/>
          <w:color w:val="010302"/>
          <w:sz w:val="24"/>
          <w:szCs w:val="24"/>
        </w:rPr>
        <w:t xml:space="preserve">female comparator had been treated. In addition, </w:t>
      </w:r>
      <w:r w:rsidR="00C00362">
        <w:rPr>
          <w:rFonts w:cs="Times New Roman"/>
          <w:color w:val="010302"/>
          <w:sz w:val="24"/>
          <w:szCs w:val="24"/>
        </w:rPr>
        <w:t xml:space="preserve">putting the issue of sabbatical leave to the side meant that the Judge </w:t>
      </w:r>
      <w:r w:rsidRPr="00AA4F7B">
        <w:rPr>
          <w:rFonts w:cs="Times New Roman"/>
          <w:color w:val="010302"/>
          <w:sz w:val="24"/>
          <w:szCs w:val="24"/>
        </w:rPr>
        <w:t xml:space="preserve">failed to take into account the fact that it was the non-granting of sabbatical leave and then taking up the work with Coventry University which appears to have led to the dismissal. By </w:t>
      </w:r>
      <w:proofErr w:type="gramStart"/>
      <w:r w:rsidRPr="00AA4F7B">
        <w:rPr>
          <w:rFonts w:cs="Times New Roman"/>
          <w:color w:val="010302"/>
          <w:sz w:val="24"/>
          <w:szCs w:val="24"/>
        </w:rPr>
        <w:t>simply  leaving</w:t>
      </w:r>
      <w:proofErr w:type="gramEnd"/>
      <w:r w:rsidRPr="00AA4F7B">
        <w:rPr>
          <w:rFonts w:cs="Times New Roman"/>
          <w:color w:val="010302"/>
          <w:sz w:val="24"/>
          <w:szCs w:val="24"/>
        </w:rPr>
        <w:t xml:space="preserve"> aside the issue of sabbatical leave</w:t>
      </w:r>
      <w:r w:rsidR="00C00362">
        <w:rPr>
          <w:rFonts w:cs="Times New Roman"/>
          <w:color w:val="010302"/>
          <w:sz w:val="24"/>
          <w:szCs w:val="24"/>
        </w:rPr>
        <w:t>,</w:t>
      </w:r>
      <w:r w:rsidRPr="00AA4F7B">
        <w:rPr>
          <w:rFonts w:cs="Times New Roman"/>
          <w:color w:val="010302"/>
          <w:sz w:val="24"/>
          <w:szCs w:val="24"/>
        </w:rPr>
        <w:t xml:space="preserve"> the </w:t>
      </w:r>
      <w:r w:rsidR="00C00362">
        <w:rPr>
          <w:rFonts w:cs="Times New Roman"/>
          <w:color w:val="010302"/>
          <w:sz w:val="24"/>
          <w:szCs w:val="24"/>
        </w:rPr>
        <w:t>J</w:t>
      </w:r>
      <w:r w:rsidRPr="00AA4F7B">
        <w:rPr>
          <w:rFonts w:cs="Times New Roman"/>
          <w:color w:val="010302"/>
          <w:sz w:val="24"/>
          <w:szCs w:val="24"/>
        </w:rPr>
        <w:t xml:space="preserve">udge removed from his consideration the possibility that there was an allegation of sex discrimination which culminated in dismissal, albeit it had begun much sooner than June or July of </w:t>
      </w:r>
      <w:r w:rsidRPr="00AA4F7B">
        <w:rPr>
          <w:rFonts w:cs="Times New Roman"/>
          <w:color w:val="010302"/>
          <w:sz w:val="24"/>
          <w:szCs w:val="24"/>
        </w:rPr>
        <w:lastRenderedPageBreak/>
        <w:t>2019.</w:t>
      </w:r>
      <w:r w:rsidR="003E2150">
        <w:rPr>
          <w:rFonts w:cs="Times New Roman"/>
          <w:color w:val="010302"/>
          <w:sz w:val="24"/>
          <w:szCs w:val="24"/>
        </w:rPr>
        <w:t xml:space="preserve"> </w:t>
      </w:r>
    </w:p>
    <w:p w14:paraId="36312245" w14:textId="6F80F68E" w:rsidR="00B968CF" w:rsidRPr="00AA4F7B" w:rsidRDefault="00B968CF" w:rsidP="0091566F">
      <w:pPr>
        <w:pStyle w:val="ListParagraph"/>
        <w:tabs>
          <w:tab w:val="left" w:pos="0"/>
        </w:tabs>
        <w:spacing w:before="240" w:line="480" w:lineRule="auto"/>
        <w:jc w:val="both"/>
        <w:rPr>
          <w:rFonts w:cs="Times New Roman"/>
          <w:color w:val="010302"/>
          <w:sz w:val="24"/>
          <w:szCs w:val="24"/>
        </w:rPr>
      </w:pPr>
      <w:r w:rsidRPr="00AA4F7B">
        <w:rPr>
          <w:rFonts w:cs="Times New Roman"/>
          <w:color w:val="010302"/>
          <w:sz w:val="24"/>
          <w:szCs w:val="24"/>
        </w:rPr>
        <w:t>21.</w:t>
      </w:r>
      <w:r w:rsidRPr="00AA4F7B">
        <w:rPr>
          <w:rFonts w:cs="Times New Roman"/>
          <w:color w:val="010302"/>
          <w:sz w:val="24"/>
          <w:szCs w:val="24"/>
        </w:rPr>
        <w:tab/>
        <w:t xml:space="preserve">The </w:t>
      </w:r>
      <w:r w:rsidR="00C00362">
        <w:rPr>
          <w:rFonts w:cs="Times New Roman"/>
          <w:color w:val="010302"/>
          <w:sz w:val="24"/>
          <w:szCs w:val="24"/>
        </w:rPr>
        <w:t>J</w:t>
      </w:r>
      <w:r w:rsidRPr="00AA4F7B">
        <w:rPr>
          <w:rFonts w:cs="Times New Roman"/>
          <w:color w:val="010302"/>
          <w:sz w:val="24"/>
          <w:szCs w:val="24"/>
        </w:rPr>
        <w:t>udge continued at paragraph 20:</w:t>
      </w:r>
    </w:p>
    <w:p w14:paraId="15FC7D0C" w14:textId="55423395" w:rsidR="00B968CF" w:rsidRPr="00D24A96" w:rsidRDefault="00B968CF" w:rsidP="0091566F">
      <w:pPr>
        <w:pStyle w:val="ListParagraph"/>
        <w:tabs>
          <w:tab w:val="left" w:pos="0"/>
        </w:tabs>
        <w:ind w:left="1440" w:right="567"/>
        <w:jc w:val="both"/>
        <w:rPr>
          <w:rFonts w:cs="Times New Roman"/>
          <w:color w:val="010302"/>
          <w:sz w:val="20"/>
          <w:szCs w:val="20"/>
        </w:rPr>
      </w:pPr>
      <w:r w:rsidRPr="00D24A96">
        <w:rPr>
          <w:rFonts w:cs="Times New Roman"/>
          <w:color w:val="010302"/>
          <w:sz w:val="20"/>
          <w:szCs w:val="20"/>
        </w:rPr>
        <w:t xml:space="preserve">“Further, the instigation of the disciplinary process against the </w:t>
      </w:r>
      <w:r w:rsidR="005C41F1">
        <w:rPr>
          <w:rFonts w:cs="Times New Roman"/>
          <w:color w:val="010302"/>
          <w:sz w:val="20"/>
          <w:szCs w:val="20"/>
        </w:rPr>
        <w:t>Claim</w:t>
      </w:r>
      <w:r w:rsidRPr="00D24A96">
        <w:rPr>
          <w:rFonts w:cs="Times New Roman"/>
          <w:color w:val="010302"/>
          <w:sz w:val="20"/>
          <w:szCs w:val="20"/>
        </w:rPr>
        <w:t xml:space="preserve">ant on 7 October 2019 appears to have been in the context of a meeting at which the </w:t>
      </w:r>
      <w:r w:rsidR="005C41F1">
        <w:rPr>
          <w:rFonts w:cs="Times New Roman"/>
          <w:color w:val="010302"/>
          <w:sz w:val="20"/>
          <w:szCs w:val="20"/>
        </w:rPr>
        <w:t>Claim</w:t>
      </w:r>
      <w:r w:rsidRPr="00D24A96">
        <w:rPr>
          <w:rFonts w:cs="Times New Roman"/>
          <w:color w:val="010302"/>
          <w:sz w:val="20"/>
          <w:szCs w:val="20"/>
        </w:rPr>
        <w:t xml:space="preserve">ant was complaining about not being granted a sabbatical when it came to light that he had taken a </w:t>
      </w:r>
      <w:r w:rsidR="00C00362" w:rsidRPr="00D24A96">
        <w:rPr>
          <w:rFonts w:cs="Times New Roman"/>
          <w:color w:val="010302"/>
          <w:sz w:val="20"/>
          <w:szCs w:val="20"/>
        </w:rPr>
        <w:t>full-time</w:t>
      </w:r>
      <w:r w:rsidRPr="00D24A96">
        <w:rPr>
          <w:rFonts w:cs="Times New Roman"/>
          <w:color w:val="010302"/>
          <w:sz w:val="20"/>
          <w:szCs w:val="20"/>
        </w:rPr>
        <w:t xml:space="preserve"> appointment at Coventry University. Whilst that may be a matter of dispute between the parties and I make no finding, in my judgment it would appear that the initiation of the disciplinary proceedings were[sic] of a totally different nature of the alleged treatment relied upon by the </w:t>
      </w:r>
      <w:r w:rsidR="005C41F1">
        <w:rPr>
          <w:rFonts w:cs="Times New Roman"/>
          <w:color w:val="010302"/>
          <w:sz w:val="20"/>
          <w:szCs w:val="20"/>
        </w:rPr>
        <w:t>Claim</w:t>
      </w:r>
      <w:r w:rsidRPr="00D24A96">
        <w:rPr>
          <w:rFonts w:cs="Times New Roman"/>
          <w:color w:val="010302"/>
          <w:sz w:val="20"/>
          <w:szCs w:val="20"/>
        </w:rPr>
        <w:t xml:space="preserve">ant in support of his other sex discrimination </w:t>
      </w:r>
      <w:r w:rsidR="005C41F1">
        <w:rPr>
          <w:rFonts w:cs="Times New Roman"/>
          <w:color w:val="010302"/>
          <w:sz w:val="20"/>
          <w:szCs w:val="20"/>
        </w:rPr>
        <w:t>claim</w:t>
      </w:r>
      <w:r w:rsidRPr="00D24A96">
        <w:rPr>
          <w:rFonts w:cs="Times New Roman"/>
          <w:color w:val="010302"/>
          <w:sz w:val="20"/>
          <w:szCs w:val="20"/>
        </w:rPr>
        <w:t>s.”</w:t>
      </w:r>
    </w:p>
    <w:p w14:paraId="1255EFE2" w14:textId="77777777" w:rsidR="00B968CF" w:rsidRDefault="00B968CF" w:rsidP="00B46DAE">
      <w:pPr>
        <w:pStyle w:val="ListParagraph"/>
        <w:tabs>
          <w:tab w:val="left" w:pos="0"/>
        </w:tabs>
        <w:spacing w:line="480" w:lineRule="auto"/>
        <w:contextualSpacing/>
        <w:jc w:val="both"/>
        <w:rPr>
          <w:rFonts w:cs="Times New Roman"/>
          <w:color w:val="010302"/>
        </w:rPr>
      </w:pPr>
    </w:p>
    <w:p w14:paraId="05E05F43" w14:textId="6051240D" w:rsidR="00B968CF" w:rsidRPr="00AA4F7B" w:rsidRDefault="00B968CF" w:rsidP="0091566F">
      <w:pPr>
        <w:pStyle w:val="ListParagraph"/>
        <w:tabs>
          <w:tab w:val="left" w:pos="142"/>
        </w:tabs>
        <w:spacing w:before="240" w:line="480" w:lineRule="auto"/>
        <w:jc w:val="both"/>
        <w:rPr>
          <w:rFonts w:cs="Times New Roman"/>
          <w:color w:val="010302"/>
          <w:sz w:val="24"/>
          <w:szCs w:val="24"/>
        </w:rPr>
      </w:pPr>
      <w:r w:rsidRPr="00AA4F7B">
        <w:rPr>
          <w:rFonts w:cs="Times New Roman"/>
          <w:color w:val="010302"/>
          <w:sz w:val="24"/>
          <w:szCs w:val="24"/>
        </w:rPr>
        <w:t xml:space="preserve">I pause again at this </w:t>
      </w:r>
      <w:r w:rsidR="00976154">
        <w:rPr>
          <w:rFonts w:cs="Times New Roman"/>
          <w:color w:val="010302"/>
          <w:sz w:val="24"/>
          <w:szCs w:val="24"/>
        </w:rPr>
        <w:t>point. The J</w:t>
      </w:r>
      <w:r w:rsidRPr="00AA4F7B">
        <w:rPr>
          <w:rFonts w:cs="Times New Roman"/>
          <w:color w:val="010302"/>
          <w:sz w:val="24"/>
          <w:szCs w:val="24"/>
        </w:rPr>
        <w:t xml:space="preserve">udge did not make any finding about the factual issues </w:t>
      </w:r>
      <w:r w:rsidR="00976154">
        <w:rPr>
          <w:rFonts w:cs="Times New Roman"/>
          <w:color w:val="010302"/>
          <w:sz w:val="24"/>
          <w:szCs w:val="24"/>
        </w:rPr>
        <w:t xml:space="preserve">in dispute regarding </w:t>
      </w:r>
      <w:r w:rsidRPr="00AA4F7B">
        <w:rPr>
          <w:rFonts w:cs="Times New Roman"/>
          <w:color w:val="010302"/>
          <w:sz w:val="24"/>
          <w:szCs w:val="24"/>
        </w:rPr>
        <w:t xml:space="preserve">the initiation of the disciplinary proceedings and </w:t>
      </w:r>
      <w:r w:rsidR="00976154">
        <w:rPr>
          <w:rFonts w:cs="Times New Roman"/>
          <w:color w:val="010302"/>
          <w:sz w:val="24"/>
          <w:szCs w:val="24"/>
        </w:rPr>
        <w:t>his</w:t>
      </w:r>
      <w:r w:rsidRPr="00AA4F7B">
        <w:rPr>
          <w:rFonts w:cs="Times New Roman"/>
          <w:color w:val="010302"/>
          <w:sz w:val="24"/>
          <w:szCs w:val="24"/>
        </w:rPr>
        <w:t xml:space="preserve"> taking up of a full</w:t>
      </w:r>
      <w:r w:rsidR="00976154">
        <w:rPr>
          <w:rFonts w:cs="Times New Roman"/>
          <w:color w:val="010302"/>
          <w:sz w:val="24"/>
          <w:szCs w:val="24"/>
        </w:rPr>
        <w:t>-</w:t>
      </w:r>
      <w:r w:rsidRPr="00AA4F7B">
        <w:rPr>
          <w:rFonts w:cs="Times New Roman"/>
          <w:color w:val="010302"/>
          <w:sz w:val="24"/>
          <w:szCs w:val="24"/>
        </w:rPr>
        <w:t xml:space="preserve">time appointment. </w:t>
      </w:r>
      <w:r w:rsidR="00976154">
        <w:rPr>
          <w:rFonts w:cs="Times New Roman"/>
          <w:color w:val="010302"/>
          <w:sz w:val="24"/>
          <w:szCs w:val="24"/>
        </w:rPr>
        <w:t>Th</w:t>
      </w:r>
      <w:r w:rsidRPr="00AA4F7B">
        <w:rPr>
          <w:rFonts w:cs="Times New Roman"/>
          <w:color w:val="010302"/>
          <w:sz w:val="24"/>
          <w:szCs w:val="24"/>
        </w:rPr>
        <w:t xml:space="preserve">e </w:t>
      </w:r>
      <w:r w:rsidR="00976154">
        <w:rPr>
          <w:rFonts w:cs="Times New Roman"/>
          <w:color w:val="010302"/>
          <w:sz w:val="24"/>
          <w:szCs w:val="24"/>
        </w:rPr>
        <w:t xml:space="preserve">Judge </w:t>
      </w:r>
      <w:r w:rsidRPr="00AA4F7B">
        <w:rPr>
          <w:rFonts w:cs="Times New Roman"/>
          <w:color w:val="010302"/>
          <w:sz w:val="24"/>
          <w:szCs w:val="24"/>
        </w:rPr>
        <w:t xml:space="preserve">was not, therefore, in a position to discern whether those issues were of a different nature to the treatment relied upon by the </w:t>
      </w:r>
      <w:r w:rsidR="005C41F1">
        <w:rPr>
          <w:rFonts w:cs="Times New Roman"/>
          <w:color w:val="010302"/>
          <w:sz w:val="24"/>
          <w:szCs w:val="24"/>
        </w:rPr>
        <w:t>Claim</w:t>
      </w:r>
      <w:r w:rsidRPr="00AA4F7B">
        <w:rPr>
          <w:rFonts w:cs="Times New Roman"/>
          <w:color w:val="010302"/>
          <w:sz w:val="24"/>
          <w:szCs w:val="24"/>
        </w:rPr>
        <w:t>ant.</w:t>
      </w:r>
      <w:r w:rsidR="003E2150">
        <w:rPr>
          <w:rFonts w:cs="Times New Roman"/>
          <w:color w:val="010302"/>
          <w:sz w:val="24"/>
          <w:szCs w:val="24"/>
        </w:rPr>
        <w:t xml:space="preserve"> </w:t>
      </w:r>
      <w:r w:rsidRPr="00AA4F7B">
        <w:rPr>
          <w:rFonts w:cs="Times New Roman"/>
          <w:color w:val="010302"/>
          <w:sz w:val="24"/>
          <w:szCs w:val="24"/>
        </w:rPr>
        <w:t xml:space="preserve"> The </w:t>
      </w:r>
      <w:r w:rsidR="005C41F1">
        <w:rPr>
          <w:rFonts w:cs="Times New Roman"/>
          <w:color w:val="010302"/>
          <w:sz w:val="24"/>
          <w:szCs w:val="24"/>
        </w:rPr>
        <w:t>Claim</w:t>
      </w:r>
      <w:r w:rsidRPr="00AA4F7B">
        <w:rPr>
          <w:rFonts w:cs="Times New Roman"/>
          <w:color w:val="010302"/>
          <w:sz w:val="24"/>
          <w:szCs w:val="24"/>
        </w:rPr>
        <w:t>ant asserted that they were all linked because</w:t>
      </w:r>
      <w:r w:rsidR="00976154">
        <w:rPr>
          <w:rFonts w:cs="Times New Roman"/>
          <w:color w:val="010302"/>
          <w:sz w:val="24"/>
          <w:szCs w:val="24"/>
        </w:rPr>
        <w:t>,</w:t>
      </w:r>
      <w:r w:rsidRPr="00AA4F7B">
        <w:rPr>
          <w:rFonts w:cs="Times New Roman"/>
          <w:color w:val="010302"/>
          <w:sz w:val="24"/>
          <w:szCs w:val="24"/>
        </w:rPr>
        <w:t xml:space="preserve"> as a man</w:t>
      </w:r>
      <w:r w:rsidR="00976154">
        <w:rPr>
          <w:rFonts w:cs="Times New Roman"/>
          <w:color w:val="010302"/>
          <w:sz w:val="24"/>
          <w:szCs w:val="24"/>
        </w:rPr>
        <w:t>,</w:t>
      </w:r>
      <w:r w:rsidRPr="00AA4F7B">
        <w:rPr>
          <w:rFonts w:cs="Times New Roman"/>
          <w:color w:val="010302"/>
          <w:sz w:val="24"/>
          <w:szCs w:val="24"/>
        </w:rPr>
        <w:t xml:space="preserve"> he was treated less favourably than a woman. </w:t>
      </w:r>
      <w:r w:rsidR="003E2150">
        <w:rPr>
          <w:rFonts w:cs="Times New Roman"/>
          <w:color w:val="010302"/>
          <w:sz w:val="24"/>
          <w:szCs w:val="24"/>
        </w:rPr>
        <w:t xml:space="preserve">His claim form appeared to assert that within the Respondent organisation in which he </w:t>
      </w:r>
      <w:proofErr w:type="gramStart"/>
      <w:r w:rsidR="003E2150">
        <w:rPr>
          <w:rFonts w:cs="Times New Roman"/>
          <w:color w:val="010302"/>
          <w:sz w:val="24"/>
          <w:szCs w:val="24"/>
        </w:rPr>
        <w:t>worked,</w:t>
      </w:r>
      <w:proofErr w:type="gramEnd"/>
      <w:r w:rsidR="003E2150">
        <w:rPr>
          <w:rFonts w:cs="Times New Roman"/>
          <w:color w:val="010302"/>
          <w:sz w:val="24"/>
          <w:szCs w:val="24"/>
        </w:rPr>
        <w:t xml:space="preserve"> women were treated more favourably than men. </w:t>
      </w:r>
      <w:r w:rsidRPr="00AA4F7B">
        <w:rPr>
          <w:rFonts w:cs="Times New Roman"/>
          <w:color w:val="010302"/>
          <w:sz w:val="24"/>
          <w:szCs w:val="24"/>
        </w:rPr>
        <w:t>Whether those allegations would have been established at trial is a different matter</w:t>
      </w:r>
      <w:r w:rsidR="00976154">
        <w:rPr>
          <w:rFonts w:cs="Times New Roman"/>
          <w:color w:val="010302"/>
          <w:sz w:val="24"/>
          <w:szCs w:val="24"/>
        </w:rPr>
        <w:t xml:space="preserve">. However, </w:t>
      </w:r>
      <w:r w:rsidRPr="00AA4F7B">
        <w:rPr>
          <w:rFonts w:cs="Times New Roman"/>
          <w:color w:val="010302"/>
          <w:sz w:val="24"/>
          <w:szCs w:val="24"/>
        </w:rPr>
        <w:t xml:space="preserve">what the </w:t>
      </w:r>
      <w:r w:rsidR="00976154">
        <w:rPr>
          <w:rFonts w:cs="Times New Roman"/>
          <w:color w:val="010302"/>
          <w:sz w:val="24"/>
          <w:szCs w:val="24"/>
        </w:rPr>
        <w:t>J</w:t>
      </w:r>
      <w:r w:rsidRPr="00AA4F7B">
        <w:rPr>
          <w:rFonts w:cs="Times New Roman"/>
          <w:color w:val="010302"/>
          <w:sz w:val="24"/>
          <w:szCs w:val="24"/>
        </w:rPr>
        <w:t xml:space="preserve">udge could not do was, on the one hand, recognise the need to take </w:t>
      </w:r>
      <w:r w:rsidR="006322BE" w:rsidRPr="00AA4F7B">
        <w:rPr>
          <w:rFonts w:cs="Times New Roman"/>
          <w:color w:val="010302"/>
          <w:sz w:val="24"/>
          <w:szCs w:val="24"/>
        </w:rPr>
        <w:t xml:space="preserve">the </w:t>
      </w:r>
      <w:r w:rsidR="005C41F1">
        <w:rPr>
          <w:rFonts w:cs="Times New Roman"/>
          <w:color w:val="010302"/>
          <w:sz w:val="24"/>
          <w:szCs w:val="24"/>
        </w:rPr>
        <w:t>Claim</w:t>
      </w:r>
      <w:r w:rsidR="006322BE" w:rsidRPr="00AA4F7B">
        <w:rPr>
          <w:rFonts w:cs="Times New Roman"/>
          <w:color w:val="010302"/>
          <w:sz w:val="24"/>
          <w:szCs w:val="24"/>
        </w:rPr>
        <w:t>ant’s</w:t>
      </w:r>
      <w:r w:rsidRPr="00AA4F7B">
        <w:rPr>
          <w:rFonts w:cs="Times New Roman"/>
          <w:color w:val="010302"/>
          <w:sz w:val="24"/>
          <w:szCs w:val="24"/>
        </w:rPr>
        <w:t xml:space="preserve"> case at its highest</w:t>
      </w:r>
      <w:r w:rsidR="00976154">
        <w:rPr>
          <w:rFonts w:cs="Times New Roman"/>
          <w:color w:val="010302"/>
          <w:sz w:val="24"/>
          <w:szCs w:val="24"/>
        </w:rPr>
        <w:t>,</w:t>
      </w:r>
      <w:r w:rsidRPr="00AA4F7B">
        <w:rPr>
          <w:rFonts w:cs="Times New Roman"/>
          <w:color w:val="010302"/>
          <w:sz w:val="24"/>
          <w:szCs w:val="24"/>
        </w:rPr>
        <w:t xml:space="preserve"> and then</w:t>
      </w:r>
      <w:r w:rsidR="00976154">
        <w:rPr>
          <w:rFonts w:cs="Times New Roman"/>
          <w:color w:val="010302"/>
          <w:sz w:val="24"/>
          <w:szCs w:val="24"/>
        </w:rPr>
        <w:t>,</w:t>
      </w:r>
      <w:r w:rsidRPr="00AA4F7B">
        <w:rPr>
          <w:rFonts w:cs="Times New Roman"/>
          <w:color w:val="010302"/>
          <w:sz w:val="24"/>
          <w:szCs w:val="24"/>
        </w:rPr>
        <w:t xml:space="preserve"> on the other</w:t>
      </w:r>
      <w:r w:rsidR="00976154">
        <w:rPr>
          <w:rFonts w:cs="Times New Roman"/>
          <w:color w:val="010302"/>
          <w:sz w:val="24"/>
          <w:szCs w:val="24"/>
        </w:rPr>
        <w:t>,</w:t>
      </w:r>
      <w:r w:rsidRPr="00AA4F7B">
        <w:rPr>
          <w:rFonts w:cs="Times New Roman"/>
          <w:color w:val="010302"/>
          <w:sz w:val="24"/>
          <w:szCs w:val="24"/>
        </w:rPr>
        <w:t xml:space="preserve"> simply not do </w:t>
      </w:r>
      <w:r w:rsidR="00976154">
        <w:rPr>
          <w:rFonts w:cs="Times New Roman"/>
          <w:color w:val="010302"/>
          <w:sz w:val="24"/>
          <w:szCs w:val="24"/>
        </w:rPr>
        <w:t>so</w:t>
      </w:r>
      <w:r w:rsidRPr="00AA4F7B">
        <w:rPr>
          <w:rFonts w:cs="Times New Roman"/>
          <w:color w:val="010302"/>
          <w:sz w:val="24"/>
          <w:szCs w:val="24"/>
        </w:rPr>
        <w:t>.</w:t>
      </w:r>
    </w:p>
    <w:p w14:paraId="0BB33CA0" w14:textId="4367038B" w:rsidR="00B968CF" w:rsidRPr="00AA4F7B" w:rsidRDefault="00B968CF" w:rsidP="0091566F">
      <w:pPr>
        <w:pStyle w:val="ListParagraph"/>
        <w:tabs>
          <w:tab w:val="left" w:pos="0"/>
        </w:tabs>
        <w:spacing w:before="240" w:line="480" w:lineRule="auto"/>
        <w:jc w:val="both"/>
        <w:rPr>
          <w:rFonts w:cs="Times New Roman"/>
          <w:color w:val="010302"/>
          <w:sz w:val="24"/>
          <w:szCs w:val="24"/>
        </w:rPr>
      </w:pPr>
      <w:r w:rsidRPr="00AA4F7B">
        <w:rPr>
          <w:rFonts w:cs="Times New Roman"/>
          <w:color w:val="010302"/>
          <w:sz w:val="24"/>
          <w:szCs w:val="24"/>
        </w:rPr>
        <w:t>22.</w:t>
      </w:r>
      <w:r w:rsidRPr="00AA4F7B">
        <w:rPr>
          <w:rFonts w:cs="Times New Roman"/>
          <w:color w:val="010302"/>
          <w:sz w:val="24"/>
          <w:szCs w:val="24"/>
        </w:rPr>
        <w:tab/>
      </w:r>
      <w:r w:rsidR="00041096" w:rsidRPr="00AA4F7B">
        <w:rPr>
          <w:rFonts w:cs="Times New Roman"/>
          <w:color w:val="010302"/>
          <w:sz w:val="24"/>
          <w:szCs w:val="24"/>
        </w:rPr>
        <w:t xml:space="preserve">The </w:t>
      </w:r>
      <w:r w:rsidR="00976154">
        <w:rPr>
          <w:rFonts w:cs="Times New Roman"/>
          <w:color w:val="010302"/>
          <w:sz w:val="24"/>
          <w:szCs w:val="24"/>
        </w:rPr>
        <w:t>J</w:t>
      </w:r>
      <w:r w:rsidR="00041096" w:rsidRPr="00AA4F7B">
        <w:rPr>
          <w:rFonts w:cs="Times New Roman"/>
          <w:color w:val="010302"/>
          <w:sz w:val="24"/>
          <w:szCs w:val="24"/>
        </w:rPr>
        <w:t>udge</w:t>
      </w:r>
      <w:r w:rsidRPr="00AA4F7B">
        <w:rPr>
          <w:rFonts w:cs="Times New Roman"/>
          <w:color w:val="010302"/>
          <w:sz w:val="24"/>
          <w:szCs w:val="24"/>
        </w:rPr>
        <w:t xml:space="preserve"> continued at paragraph 21:</w:t>
      </w:r>
    </w:p>
    <w:p w14:paraId="76296AD6" w14:textId="64D316CA" w:rsidR="00B968CF" w:rsidRPr="006E744C" w:rsidRDefault="00B968CF" w:rsidP="0091566F">
      <w:pPr>
        <w:pStyle w:val="ListParagraph"/>
        <w:tabs>
          <w:tab w:val="left" w:pos="0"/>
        </w:tabs>
        <w:ind w:left="1134" w:right="567"/>
        <w:jc w:val="both"/>
        <w:rPr>
          <w:rFonts w:cs="Times New Roman"/>
          <w:color w:val="010302"/>
          <w:sz w:val="20"/>
          <w:szCs w:val="20"/>
        </w:rPr>
      </w:pPr>
      <w:r w:rsidRPr="006E744C">
        <w:rPr>
          <w:rFonts w:cs="Times New Roman"/>
          <w:color w:val="010302"/>
          <w:sz w:val="20"/>
          <w:szCs w:val="20"/>
        </w:rPr>
        <w:t xml:space="preserve">“Accordingly, in my judgment, there was no continuing act of discrimination and the incidents relied upon by the </w:t>
      </w:r>
      <w:r w:rsidR="005C41F1">
        <w:rPr>
          <w:rFonts w:cs="Times New Roman"/>
          <w:color w:val="010302"/>
          <w:sz w:val="20"/>
          <w:szCs w:val="20"/>
        </w:rPr>
        <w:t>Claim</w:t>
      </w:r>
      <w:r w:rsidRPr="006E744C">
        <w:rPr>
          <w:rFonts w:cs="Times New Roman"/>
          <w:color w:val="010302"/>
          <w:sz w:val="20"/>
          <w:szCs w:val="20"/>
        </w:rPr>
        <w:t>ant were a series of distinct acts for each of which time would start running when completed.</w:t>
      </w:r>
    </w:p>
    <w:p w14:paraId="2DF49419" w14:textId="77777777" w:rsidR="00B968CF" w:rsidRPr="006E744C" w:rsidRDefault="00B968CF" w:rsidP="0091566F">
      <w:pPr>
        <w:pStyle w:val="ListParagraph"/>
        <w:tabs>
          <w:tab w:val="left" w:pos="0"/>
        </w:tabs>
        <w:ind w:left="1134" w:right="567"/>
        <w:jc w:val="both"/>
        <w:rPr>
          <w:rFonts w:cs="Times New Roman"/>
          <w:color w:val="010302"/>
          <w:sz w:val="20"/>
          <w:szCs w:val="20"/>
        </w:rPr>
      </w:pPr>
    </w:p>
    <w:p w14:paraId="1AE23C68" w14:textId="1BBFE0D2" w:rsidR="00B968CF" w:rsidRPr="006E744C" w:rsidRDefault="00B968CF" w:rsidP="0091566F">
      <w:pPr>
        <w:pStyle w:val="ListParagraph"/>
        <w:tabs>
          <w:tab w:val="left" w:pos="0"/>
        </w:tabs>
        <w:ind w:left="1134" w:right="567"/>
        <w:jc w:val="both"/>
        <w:rPr>
          <w:rFonts w:cs="Times New Roman"/>
          <w:color w:val="010302"/>
          <w:sz w:val="20"/>
          <w:szCs w:val="20"/>
        </w:rPr>
      </w:pPr>
      <w:r w:rsidRPr="006E744C">
        <w:rPr>
          <w:rFonts w:cs="Times New Roman"/>
          <w:color w:val="010302"/>
          <w:sz w:val="20"/>
          <w:szCs w:val="20"/>
        </w:rPr>
        <w:t xml:space="preserve">22. Having concluded that all alleged treatment prior to 7 October 2019 was </w:t>
      </w:r>
      <w:r w:rsidRPr="006E744C">
        <w:rPr>
          <w:rFonts w:cs="Times New Roman"/>
          <w:i/>
          <w:color w:val="010302"/>
          <w:sz w:val="20"/>
          <w:szCs w:val="20"/>
        </w:rPr>
        <w:t>prima facie</w:t>
      </w:r>
      <w:r w:rsidRPr="006E744C">
        <w:rPr>
          <w:rFonts w:cs="Times New Roman"/>
          <w:color w:val="010302"/>
          <w:sz w:val="20"/>
          <w:szCs w:val="20"/>
        </w:rPr>
        <w:t xml:space="preserve"> out of time I went on to consider whether it would be just and equitable to extend time. The </w:t>
      </w:r>
      <w:r w:rsidR="005C41F1">
        <w:rPr>
          <w:rFonts w:cs="Times New Roman"/>
          <w:color w:val="010302"/>
          <w:sz w:val="20"/>
          <w:szCs w:val="20"/>
        </w:rPr>
        <w:t>Claim</w:t>
      </w:r>
      <w:r w:rsidRPr="006E744C">
        <w:rPr>
          <w:rFonts w:cs="Times New Roman"/>
          <w:color w:val="010302"/>
          <w:sz w:val="20"/>
          <w:szCs w:val="20"/>
        </w:rPr>
        <w:t xml:space="preserve">ant told me that he had researched extensively on the internet and was under the impression that he could not present a </w:t>
      </w:r>
      <w:r w:rsidR="005C41F1">
        <w:rPr>
          <w:rFonts w:cs="Times New Roman"/>
          <w:color w:val="010302"/>
          <w:sz w:val="20"/>
          <w:szCs w:val="20"/>
        </w:rPr>
        <w:t>Claim</w:t>
      </w:r>
      <w:r w:rsidRPr="006E744C">
        <w:rPr>
          <w:rFonts w:cs="Times New Roman"/>
          <w:color w:val="010302"/>
          <w:sz w:val="20"/>
          <w:szCs w:val="20"/>
        </w:rPr>
        <w:t xml:space="preserve"> to the ET until he </w:t>
      </w:r>
      <w:proofErr w:type="gramStart"/>
      <w:r w:rsidRPr="006E744C">
        <w:rPr>
          <w:rFonts w:cs="Times New Roman"/>
          <w:color w:val="010302"/>
          <w:sz w:val="20"/>
          <w:szCs w:val="20"/>
        </w:rPr>
        <w:t>resigned</w:t>
      </w:r>
      <w:proofErr w:type="gramEnd"/>
      <w:r w:rsidRPr="006E744C">
        <w:rPr>
          <w:rFonts w:cs="Times New Roman"/>
          <w:color w:val="010302"/>
          <w:sz w:val="20"/>
          <w:szCs w:val="20"/>
        </w:rPr>
        <w:t xml:space="preserve"> or his employment had come to an end. That is obviously totally incorrect. </w:t>
      </w:r>
      <w:proofErr w:type="gramStart"/>
      <w:r w:rsidRPr="006E744C">
        <w:rPr>
          <w:rFonts w:cs="Times New Roman"/>
          <w:color w:val="010302"/>
          <w:sz w:val="20"/>
          <w:szCs w:val="20"/>
        </w:rPr>
        <w:t>It is clear that the</w:t>
      </w:r>
      <w:proofErr w:type="gramEnd"/>
      <w:r w:rsidRPr="006E744C">
        <w:rPr>
          <w:rFonts w:cs="Times New Roman"/>
          <w:color w:val="010302"/>
          <w:sz w:val="20"/>
          <w:szCs w:val="20"/>
        </w:rPr>
        <w:t xml:space="preserve"> </w:t>
      </w:r>
      <w:r w:rsidR="005C41F1">
        <w:rPr>
          <w:rFonts w:cs="Times New Roman"/>
          <w:color w:val="010302"/>
          <w:sz w:val="20"/>
          <w:szCs w:val="20"/>
        </w:rPr>
        <w:t>Claim</w:t>
      </w:r>
      <w:r w:rsidRPr="006E744C">
        <w:rPr>
          <w:rFonts w:cs="Times New Roman"/>
          <w:color w:val="010302"/>
          <w:sz w:val="20"/>
          <w:szCs w:val="20"/>
        </w:rPr>
        <w:t xml:space="preserve">ant had union advice during the relevant period as they were involved in his grievances. The </w:t>
      </w:r>
      <w:r w:rsidR="005C41F1">
        <w:rPr>
          <w:rFonts w:cs="Times New Roman"/>
          <w:color w:val="010302"/>
          <w:sz w:val="20"/>
          <w:szCs w:val="20"/>
        </w:rPr>
        <w:t>Claim</w:t>
      </w:r>
      <w:r w:rsidRPr="006E744C">
        <w:rPr>
          <w:rFonts w:cs="Times New Roman"/>
          <w:color w:val="010302"/>
          <w:sz w:val="20"/>
          <w:szCs w:val="20"/>
        </w:rPr>
        <w:t xml:space="preserve">ant also told me that in February 2018, rather than complain, he kept his mouth shut and carried on with business as usual.  The </w:t>
      </w:r>
      <w:r w:rsidR="005C41F1">
        <w:rPr>
          <w:rFonts w:cs="Times New Roman"/>
          <w:color w:val="010302"/>
          <w:sz w:val="20"/>
          <w:szCs w:val="20"/>
        </w:rPr>
        <w:t>Claim</w:t>
      </w:r>
      <w:r w:rsidRPr="006E744C">
        <w:rPr>
          <w:rFonts w:cs="Times New Roman"/>
          <w:color w:val="010302"/>
          <w:sz w:val="20"/>
          <w:szCs w:val="20"/>
        </w:rPr>
        <w:t xml:space="preserve">ant is an intelligent and articulate man who, if he considered he had been discriminated against on grounds of sex, could and should have been able to instigate a </w:t>
      </w:r>
      <w:r w:rsidR="005C41F1">
        <w:rPr>
          <w:rFonts w:cs="Times New Roman"/>
          <w:color w:val="010302"/>
          <w:sz w:val="20"/>
          <w:szCs w:val="20"/>
        </w:rPr>
        <w:t>claim</w:t>
      </w:r>
      <w:r w:rsidRPr="006E744C">
        <w:rPr>
          <w:rFonts w:cs="Times New Roman"/>
          <w:color w:val="010302"/>
          <w:sz w:val="20"/>
          <w:szCs w:val="20"/>
        </w:rPr>
        <w:t xml:space="preserve"> relating to those distinct acts sooner.</w:t>
      </w:r>
    </w:p>
    <w:p w14:paraId="74341388" w14:textId="77777777" w:rsidR="00B968CF" w:rsidRPr="006E744C" w:rsidRDefault="00B968CF" w:rsidP="0091566F">
      <w:pPr>
        <w:pStyle w:val="ListParagraph"/>
        <w:tabs>
          <w:tab w:val="left" w:pos="0"/>
        </w:tabs>
        <w:ind w:left="1134" w:right="567"/>
        <w:jc w:val="both"/>
        <w:rPr>
          <w:rFonts w:cs="Times New Roman"/>
          <w:color w:val="010302"/>
          <w:sz w:val="20"/>
          <w:szCs w:val="20"/>
        </w:rPr>
      </w:pPr>
    </w:p>
    <w:p w14:paraId="0CDE39A0" w14:textId="2389F7B9" w:rsidR="00B968CF" w:rsidRPr="006E744C" w:rsidRDefault="00B968CF" w:rsidP="0091566F">
      <w:pPr>
        <w:pStyle w:val="ListParagraph"/>
        <w:numPr>
          <w:ilvl w:val="0"/>
          <w:numId w:val="4"/>
        </w:numPr>
        <w:tabs>
          <w:tab w:val="left" w:pos="0"/>
        </w:tabs>
        <w:ind w:left="1134" w:right="567" w:firstLine="0"/>
        <w:jc w:val="both"/>
        <w:rPr>
          <w:rFonts w:cs="Times New Roman"/>
          <w:color w:val="010302"/>
          <w:sz w:val="20"/>
          <w:szCs w:val="20"/>
        </w:rPr>
      </w:pPr>
      <w:r w:rsidRPr="006E744C">
        <w:rPr>
          <w:rFonts w:cs="Times New Roman"/>
          <w:color w:val="010302"/>
          <w:sz w:val="20"/>
          <w:szCs w:val="20"/>
        </w:rPr>
        <w:t xml:space="preserve">I </w:t>
      </w:r>
      <w:proofErr w:type="gramStart"/>
      <w:r w:rsidRPr="006E744C">
        <w:rPr>
          <w:rFonts w:cs="Times New Roman"/>
          <w:color w:val="010302"/>
          <w:sz w:val="20"/>
          <w:szCs w:val="20"/>
        </w:rPr>
        <w:t>take into account</w:t>
      </w:r>
      <w:proofErr w:type="gramEnd"/>
      <w:r w:rsidRPr="006E744C">
        <w:rPr>
          <w:rFonts w:cs="Times New Roman"/>
          <w:color w:val="010302"/>
          <w:sz w:val="20"/>
          <w:szCs w:val="20"/>
        </w:rPr>
        <w:t xml:space="preserve"> that some of the </w:t>
      </w:r>
      <w:r w:rsidR="005C41F1">
        <w:rPr>
          <w:rFonts w:cs="Times New Roman"/>
          <w:color w:val="010302"/>
          <w:sz w:val="20"/>
          <w:szCs w:val="20"/>
        </w:rPr>
        <w:t>Claim</w:t>
      </w:r>
      <w:r w:rsidRPr="006E744C">
        <w:rPr>
          <w:rFonts w:cs="Times New Roman"/>
          <w:color w:val="010302"/>
          <w:sz w:val="20"/>
          <w:szCs w:val="20"/>
        </w:rPr>
        <w:t xml:space="preserve">ant’s allegations relate as far back as 2016. Most relate to events some time ago. Any delay is the enemy of justice as recollections inevitably fade over time.  Accordingly, I do not consider it to be just and equitable to extend time for these </w:t>
      </w:r>
      <w:r w:rsidR="005C41F1">
        <w:rPr>
          <w:rFonts w:cs="Times New Roman"/>
          <w:color w:val="010302"/>
          <w:sz w:val="20"/>
          <w:szCs w:val="20"/>
        </w:rPr>
        <w:t>claim</w:t>
      </w:r>
      <w:r w:rsidRPr="006E744C">
        <w:rPr>
          <w:rFonts w:cs="Times New Roman"/>
          <w:color w:val="010302"/>
          <w:sz w:val="20"/>
          <w:szCs w:val="20"/>
        </w:rPr>
        <w:t>s.”</w:t>
      </w:r>
    </w:p>
    <w:p w14:paraId="44557449" w14:textId="77777777" w:rsidR="00B968CF" w:rsidRDefault="00B968CF" w:rsidP="002058BB">
      <w:pPr>
        <w:pStyle w:val="ListParagraph"/>
        <w:tabs>
          <w:tab w:val="left" w:pos="0"/>
        </w:tabs>
        <w:ind w:left="720"/>
        <w:contextualSpacing/>
        <w:jc w:val="both"/>
        <w:rPr>
          <w:rFonts w:cs="Times New Roman"/>
          <w:color w:val="010302"/>
        </w:rPr>
      </w:pPr>
    </w:p>
    <w:p w14:paraId="1D5AE119" w14:textId="77777777" w:rsidR="00B968CF" w:rsidRPr="00AA4F7B" w:rsidRDefault="00B968CF" w:rsidP="0091566F">
      <w:pPr>
        <w:pStyle w:val="ListParagraph"/>
        <w:numPr>
          <w:ilvl w:val="0"/>
          <w:numId w:val="5"/>
        </w:numPr>
        <w:tabs>
          <w:tab w:val="clear" w:pos="720"/>
          <w:tab w:val="left" w:pos="0"/>
          <w:tab w:val="num" w:pos="709"/>
        </w:tabs>
        <w:spacing w:before="240" w:line="480" w:lineRule="auto"/>
        <w:ind w:left="0" w:firstLine="0"/>
        <w:jc w:val="both"/>
        <w:rPr>
          <w:rFonts w:cs="Times New Roman"/>
          <w:color w:val="010302"/>
          <w:sz w:val="24"/>
          <w:szCs w:val="24"/>
        </w:rPr>
      </w:pPr>
      <w:r w:rsidRPr="00AA4F7B">
        <w:rPr>
          <w:rFonts w:cs="Times New Roman"/>
          <w:color w:val="010302"/>
          <w:sz w:val="24"/>
          <w:szCs w:val="24"/>
        </w:rPr>
        <w:t xml:space="preserve">Judge Tayler allowed the two Grounds of Appeal to proceed following a hearing pursuant to </w:t>
      </w:r>
      <w:r w:rsidRPr="00AA4F7B">
        <w:rPr>
          <w:rFonts w:cs="Times New Roman"/>
          <w:color w:val="010302"/>
          <w:sz w:val="24"/>
          <w:szCs w:val="24"/>
        </w:rPr>
        <w:lastRenderedPageBreak/>
        <w:t>Rule 3(10). The reasons given by the judge at that stage were as follows:</w:t>
      </w:r>
    </w:p>
    <w:p w14:paraId="427A47FC" w14:textId="54C2BD1A" w:rsidR="00B968CF" w:rsidRPr="006E744C" w:rsidRDefault="00B968CF" w:rsidP="0091566F">
      <w:pPr>
        <w:pStyle w:val="ListParagraph"/>
        <w:tabs>
          <w:tab w:val="left" w:pos="0"/>
        </w:tabs>
        <w:ind w:left="851" w:right="567"/>
        <w:jc w:val="both"/>
        <w:rPr>
          <w:rFonts w:cs="Times New Roman"/>
          <w:color w:val="010302"/>
          <w:sz w:val="20"/>
          <w:szCs w:val="20"/>
        </w:rPr>
      </w:pPr>
      <w:r w:rsidRPr="006E744C">
        <w:rPr>
          <w:rFonts w:cs="Times New Roman"/>
          <w:color w:val="010302"/>
          <w:sz w:val="20"/>
          <w:szCs w:val="20"/>
        </w:rPr>
        <w:t xml:space="preserve">“I consider that this appeal is arguable primarily because the preliminary hearing was to consider applications to strike out the </w:t>
      </w:r>
      <w:r w:rsidR="005C41F1">
        <w:rPr>
          <w:rFonts w:cs="Times New Roman"/>
          <w:color w:val="010302"/>
          <w:sz w:val="20"/>
          <w:szCs w:val="20"/>
        </w:rPr>
        <w:t>Claim</w:t>
      </w:r>
      <w:r w:rsidRPr="006E744C">
        <w:rPr>
          <w:rFonts w:cs="Times New Roman"/>
          <w:color w:val="010302"/>
          <w:sz w:val="20"/>
          <w:szCs w:val="20"/>
        </w:rPr>
        <w:t xml:space="preserve"> or for a Deposit Order. I consider it is arguable that the EJ failed to distin</w:t>
      </w:r>
      <w:r w:rsidR="004D0FFD">
        <w:rPr>
          <w:rFonts w:cs="Times New Roman"/>
          <w:color w:val="010302"/>
          <w:sz w:val="20"/>
          <w:szCs w:val="20"/>
        </w:rPr>
        <w:t>guish</w:t>
      </w:r>
      <w:r w:rsidRPr="006E744C">
        <w:rPr>
          <w:rFonts w:cs="Times New Roman"/>
          <w:color w:val="010302"/>
          <w:sz w:val="20"/>
          <w:szCs w:val="20"/>
        </w:rPr>
        <w:t xml:space="preserve"> between a strike-out of the </w:t>
      </w:r>
      <w:r w:rsidR="005C41F1">
        <w:rPr>
          <w:rFonts w:cs="Times New Roman"/>
          <w:color w:val="010302"/>
          <w:sz w:val="20"/>
          <w:szCs w:val="20"/>
        </w:rPr>
        <w:t>Claim</w:t>
      </w:r>
      <w:r w:rsidRPr="006E744C">
        <w:rPr>
          <w:rFonts w:cs="Times New Roman"/>
          <w:color w:val="010302"/>
          <w:sz w:val="20"/>
          <w:szCs w:val="20"/>
        </w:rPr>
        <w:t xml:space="preserve"> because there are no reasonable prospects that it will be found to be within time under rule 37.1(a) and 53(1)(c) of the ET rules and determining whether a </w:t>
      </w:r>
      <w:r w:rsidR="005C41F1">
        <w:rPr>
          <w:rFonts w:cs="Times New Roman"/>
          <w:color w:val="010302"/>
          <w:sz w:val="20"/>
          <w:szCs w:val="20"/>
        </w:rPr>
        <w:t>claim</w:t>
      </w:r>
      <w:r w:rsidRPr="006E744C">
        <w:rPr>
          <w:rFonts w:cs="Times New Roman"/>
          <w:color w:val="010302"/>
          <w:sz w:val="20"/>
          <w:szCs w:val="20"/>
        </w:rPr>
        <w:t xml:space="preserve"> is out of time </w:t>
      </w:r>
      <w:r w:rsidR="004D0FFD">
        <w:rPr>
          <w:rFonts w:cs="Times New Roman"/>
          <w:color w:val="010302"/>
          <w:sz w:val="20"/>
          <w:szCs w:val="20"/>
        </w:rPr>
        <w:t>a</w:t>
      </w:r>
      <w:r w:rsidRPr="006E744C">
        <w:rPr>
          <w:rFonts w:cs="Times New Roman"/>
          <w:color w:val="010302"/>
          <w:sz w:val="20"/>
          <w:szCs w:val="20"/>
        </w:rPr>
        <w:t xml:space="preserve">s a preliminary issue. Rule 53(1)(b) and 3 of the ET rules.  Determination of a preliminary issue against a party does not result in a </w:t>
      </w:r>
      <w:r w:rsidR="005C41F1">
        <w:rPr>
          <w:rFonts w:cs="Times New Roman"/>
          <w:color w:val="010302"/>
          <w:sz w:val="20"/>
          <w:szCs w:val="20"/>
        </w:rPr>
        <w:t>claim</w:t>
      </w:r>
      <w:r w:rsidRPr="006E744C">
        <w:rPr>
          <w:rFonts w:cs="Times New Roman"/>
          <w:color w:val="010302"/>
          <w:sz w:val="20"/>
          <w:szCs w:val="20"/>
        </w:rPr>
        <w:t xml:space="preserve"> being struck out but in </w:t>
      </w:r>
      <w:r w:rsidR="004D0FFD">
        <w:rPr>
          <w:rFonts w:cs="Times New Roman"/>
          <w:color w:val="010302"/>
          <w:sz w:val="20"/>
          <w:szCs w:val="20"/>
        </w:rPr>
        <w:t xml:space="preserve">it </w:t>
      </w:r>
      <w:r w:rsidRPr="006E744C">
        <w:rPr>
          <w:rFonts w:cs="Times New Roman"/>
          <w:color w:val="010302"/>
          <w:sz w:val="20"/>
          <w:szCs w:val="20"/>
        </w:rPr>
        <w:t xml:space="preserve">being dismissed.  Determining a preliminary issue would generally require prior orders for preparation including the identification of the issues and for evidence on matters such as whether it is just and equitable to apply a time limit </w:t>
      </w:r>
      <w:proofErr w:type="gramStart"/>
      <w:r w:rsidRPr="006E744C">
        <w:rPr>
          <w:rFonts w:cs="Times New Roman"/>
          <w:color w:val="010302"/>
          <w:sz w:val="20"/>
          <w:szCs w:val="20"/>
        </w:rPr>
        <w:t>in excess of</w:t>
      </w:r>
      <w:proofErr w:type="gramEnd"/>
      <w:r w:rsidRPr="006E744C">
        <w:rPr>
          <w:rFonts w:cs="Times New Roman"/>
          <w:color w:val="010302"/>
          <w:sz w:val="20"/>
          <w:szCs w:val="20"/>
        </w:rPr>
        <w:t xml:space="preserve"> three months. It is arguable that the </w:t>
      </w:r>
      <w:r w:rsidR="006E744C" w:rsidRPr="006E744C">
        <w:rPr>
          <w:rFonts w:cs="Times New Roman"/>
          <w:color w:val="010302"/>
          <w:sz w:val="20"/>
          <w:szCs w:val="20"/>
        </w:rPr>
        <w:t>EJ did</w:t>
      </w:r>
      <w:r w:rsidRPr="006E744C">
        <w:rPr>
          <w:rFonts w:cs="Times New Roman"/>
          <w:color w:val="010302"/>
          <w:sz w:val="20"/>
          <w:szCs w:val="20"/>
        </w:rPr>
        <w:t xml:space="preserve"> not properly direct himself as to the law applicable to strike-out and/or the determination of preliminary issues. It is arguable that the EJ determined the time point as if </w:t>
      </w:r>
      <w:r w:rsidR="004D0FFD">
        <w:rPr>
          <w:rFonts w:cs="Times New Roman"/>
          <w:color w:val="010302"/>
          <w:sz w:val="20"/>
          <w:szCs w:val="20"/>
        </w:rPr>
        <w:t xml:space="preserve">it were </w:t>
      </w:r>
      <w:r w:rsidRPr="006E744C">
        <w:rPr>
          <w:rFonts w:cs="Times New Roman"/>
          <w:color w:val="010302"/>
          <w:sz w:val="20"/>
          <w:szCs w:val="20"/>
        </w:rPr>
        <w:t>a preliminary issue, although the preliminary hearing had not been listed to determine a preliminary issue and no orders had been made to prepare to determine a preliminary issue</w:t>
      </w:r>
      <w:r w:rsidR="006E744C" w:rsidRPr="006E744C">
        <w:rPr>
          <w:rFonts w:cs="Times New Roman"/>
          <w:color w:val="010302"/>
          <w:sz w:val="20"/>
          <w:szCs w:val="20"/>
        </w:rPr>
        <w:t>”</w:t>
      </w:r>
      <w:r w:rsidRPr="006E744C">
        <w:rPr>
          <w:rFonts w:cs="Times New Roman"/>
          <w:color w:val="010302"/>
          <w:sz w:val="20"/>
          <w:szCs w:val="20"/>
        </w:rPr>
        <w:t>.</w:t>
      </w:r>
    </w:p>
    <w:p w14:paraId="68286875" w14:textId="4DDD746C" w:rsidR="00B968CF" w:rsidRDefault="00B968CF" w:rsidP="007B68D6">
      <w:pPr>
        <w:pStyle w:val="ListParagraph"/>
        <w:tabs>
          <w:tab w:val="left" w:pos="0"/>
        </w:tabs>
        <w:contextualSpacing/>
        <w:jc w:val="both"/>
        <w:rPr>
          <w:rFonts w:cs="Times New Roman"/>
          <w:color w:val="010302"/>
        </w:rPr>
      </w:pPr>
    </w:p>
    <w:p w14:paraId="43C8353E" w14:textId="23E0FB2A" w:rsidR="004D0FFD" w:rsidRPr="004D0FFD" w:rsidRDefault="004D0FFD" w:rsidP="007B68D6">
      <w:pPr>
        <w:pStyle w:val="ListParagraph"/>
        <w:tabs>
          <w:tab w:val="left" w:pos="0"/>
        </w:tabs>
        <w:contextualSpacing/>
        <w:jc w:val="both"/>
        <w:rPr>
          <w:rFonts w:cs="Times New Roman"/>
          <w:b/>
          <w:bCs/>
          <w:color w:val="010302"/>
          <w:u w:val="single"/>
        </w:rPr>
      </w:pPr>
      <w:r>
        <w:rPr>
          <w:rFonts w:cs="Times New Roman"/>
          <w:b/>
          <w:bCs/>
          <w:color w:val="010302"/>
          <w:u w:val="single"/>
        </w:rPr>
        <w:t>The Law</w:t>
      </w:r>
    </w:p>
    <w:p w14:paraId="713C4F81" w14:textId="20A0C5A8" w:rsidR="00B968CF" w:rsidRPr="00AA4F7B" w:rsidRDefault="00B968CF" w:rsidP="0091566F">
      <w:pPr>
        <w:pStyle w:val="ListParagraph"/>
        <w:numPr>
          <w:ilvl w:val="0"/>
          <w:numId w:val="5"/>
        </w:numPr>
        <w:tabs>
          <w:tab w:val="clear" w:pos="720"/>
          <w:tab w:val="left" w:pos="0"/>
          <w:tab w:val="num" w:pos="851"/>
        </w:tabs>
        <w:spacing w:before="240" w:line="480" w:lineRule="auto"/>
        <w:ind w:left="0" w:firstLine="0"/>
        <w:jc w:val="both"/>
        <w:rPr>
          <w:rFonts w:cs="Times New Roman"/>
          <w:color w:val="010302"/>
          <w:sz w:val="24"/>
          <w:szCs w:val="24"/>
        </w:rPr>
      </w:pPr>
      <w:r w:rsidRPr="00AA4F7B">
        <w:rPr>
          <w:rFonts w:cs="Times New Roman"/>
          <w:color w:val="010302"/>
          <w:sz w:val="24"/>
          <w:szCs w:val="24"/>
        </w:rPr>
        <w:t xml:space="preserve">Section 123(1) </w:t>
      </w:r>
      <w:r w:rsidR="0022433E">
        <w:rPr>
          <w:rFonts w:cs="Times New Roman"/>
          <w:color w:val="010302"/>
          <w:sz w:val="24"/>
          <w:szCs w:val="24"/>
        </w:rPr>
        <w:t>and (</w:t>
      </w:r>
      <w:proofErr w:type="gramStart"/>
      <w:r w:rsidR="0022433E">
        <w:rPr>
          <w:rFonts w:cs="Times New Roman"/>
          <w:color w:val="010302"/>
          <w:sz w:val="24"/>
          <w:szCs w:val="24"/>
        </w:rPr>
        <w:t>3)</w:t>
      </w:r>
      <w:r w:rsidRPr="00AA4F7B">
        <w:rPr>
          <w:rFonts w:cs="Times New Roman"/>
          <w:color w:val="010302"/>
          <w:sz w:val="24"/>
          <w:szCs w:val="24"/>
        </w:rPr>
        <w:t>of</w:t>
      </w:r>
      <w:proofErr w:type="gramEnd"/>
      <w:r w:rsidRPr="00AA4F7B">
        <w:rPr>
          <w:rFonts w:cs="Times New Roman"/>
          <w:color w:val="010302"/>
          <w:sz w:val="24"/>
          <w:szCs w:val="24"/>
        </w:rPr>
        <w:t xml:space="preserve"> the </w:t>
      </w:r>
      <w:r w:rsidRPr="00AA4F7B">
        <w:rPr>
          <w:rFonts w:cs="Times New Roman"/>
          <w:b/>
          <w:bCs/>
          <w:color w:val="010302"/>
          <w:sz w:val="24"/>
          <w:szCs w:val="24"/>
        </w:rPr>
        <w:t>EqA 2010</w:t>
      </w:r>
      <w:r w:rsidRPr="00AA4F7B">
        <w:rPr>
          <w:rFonts w:cs="Times New Roman"/>
          <w:color w:val="010302"/>
          <w:sz w:val="24"/>
          <w:szCs w:val="24"/>
        </w:rPr>
        <w:t xml:space="preserve"> provides as follows:</w:t>
      </w:r>
    </w:p>
    <w:p w14:paraId="635CB029" w14:textId="1C300574" w:rsidR="004D0FFD" w:rsidRDefault="00B968CF" w:rsidP="003E2150">
      <w:pPr>
        <w:pStyle w:val="ListParagraph"/>
        <w:tabs>
          <w:tab w:val="left" w:pos="0"/>
        </w:tabs>
        <w:ind w:left="1134" w:right="567"/>
        <w:rPr>
          <w:rFonts w:cs="Times New Roman"/>
          <w:color w:val="010302"/>
          <w:sz w:val="20"/>
          <w:szCs w:val="20"/>
        </w:rPr>
      </w:pPr>
      <w:r w:rsidRPr="006E744C">
        <w:rPr>
          <w:rFonts w:cs="Times New Roman"/>
          <w:color w:val="010302"/>
          <w:sz w:val="20"/>
          <w:szCs w:val="20"/>
        </w:rPr>
        <w:t>“</w:t>
      </w:r>
      <w:r w:rsidRPr="004D0FFD">
        <w:rPr>
          <w:rFonts w:cs="Times New Roman"/>
          <w:color w:val="010302"/>
          <w:sz w:val="20"/>
          <w:szCs w:val="20"/>
          <w:u w:val="single"/>
        </w:rPr>
        <w:t>Time limit</w:t>
      </w:r>
    </w:p>
    <w:p w14:paraId="31C3037F" w14:textId="0A5EDFBA" w:rsidR="00B968CF" w:rsidRPr="006E744C" w:rsidRDefault="00A71E5B" w:rsidP="003E2150">
      <w:pPr>
        <w:pStyle w:val="ListParagraph"/>
        <w:tabs>
          <w:tab w:val="left" w:pos="0"/>
        </w:tabs>
        <w:ind w:left="1134" w:right="567"/>
        <w:rPr>
          <w:rFonts w:cs="Times New Roman"/>
          <w:color w:val="010302"/>
          <w:sz w:val="20"/>
          <w:szCs w:val="20"/>
        </w:rPr>
      </w:pPr>
      <w:r>
        <w:rPr>
          <w:rFonts w:cs="Times New Roman"/>
          <w:color w:val="010302"/>
          <w:sz w:val="20"/>
          <w:szCs w:val="20"/>
        </w:rPr>
        <w:t>(1)</w:t>
      </w:r>
      <w:r w:rsidR="00B968CF" w:rsidRPr="006E744C">
        <w:rPr>
          <w:rFonts w:cs="Times New Roman"/>
          <w:color w:val="010302"/>
          <w:sz w:val="20"/>
          <w:szCs w:val="20"/>
        </w:rPr>
        <w:t xml:space="preserve"> Proceedings on a complaint to an ET relating to the contravention of part 5 work may not be brought after the end of:</w:t>
      </w:r>
    </w:p>
    <w:p w14:paraId="2169EDE3" w14:textId="77777777" w:rsidR="00B968CF" w:rsidRDefault="00B968CF" w:rsidP="003E2150">
      <w:pPr>
        <w:pStyle w:val="ListParagraph"/>
        <w:tabs>
          <w:tab w:val="left" w:pos="0"/>
        </w:tabs>
        <w:rPr>
          <w:rFonts w:cs="Times New Roman"/>
          <w:color w:val="010302"/>
        </w:rPr>
      </w:pPr>
    </w:p>
    <w:p w14:paraId="77D7F3A1" w14:textId="77777777" w:rsidR="00B968CF" w:rsidRPr="006E744C" w:rsidRDefault="00B968CF" w:rsidP="003E2150">
      <w:pPr>
        <w:pStyle w:val="ListParagraph"/>
        <w:numPr>
          <w:ilvl w:val="1"/>
          <w:numId w:val="5"/>
        </w:numPr>
        <w:tabs>
          <w:tab w:val="clear" w:pos="1440"/>
          <w:tab w:val="left" w:pos="0"/>
          <w:tab w:val="num" w:pos="1843"/>
        </w:tabs>
        <w:ind w:right="567" w:hanging="22"/>
        <w:rPr>
          <w:rFonts w:cs="Times New Roman"/>
          <w:color w:val="010302"/>
          <w:sz w:val="20"/>
          <w:szCs w:val="20"/>
        </w:rPr>
      </w:pPr>
      <w:r w:rsidRPr="006E744C">
        <w:rPr>
          <w:rFonts w:cs="Times New Roman"/>
          <w:color w:val="010302"/>
          <w:sz w:val="20"/>
          <w:szCs w:val="20"/>
        </w:rPr>
        <w:t>the period of three months starting with the date of the act to which the complaint relates or,</w:t>
      </w:r>
    </w:p>
    <w:p w14:paraId="3D21868B" w14:textId="77777777" w:rsidR="00A71E5B" w:rsidRDefault="00B968CF" w:rsidP="003E2150">
      <w:pPr>
        <w:pStyle w:val="ListParagraph"/>
        <w:numPr>
          <w:ilvl w:val="1"/>
          <w:numId w:val="5"/>
        </w:numPr>
        <w:tabs>
          <w:tab w:val="clear" w:pos="1440"/>
          <w:tab w:val="left" w:pos="0"/>
          <w:tab w:val="num" w:pos="1843"/>
        </w:tabs>
        <w:ind w:right="567" w:hanging="22"/>
        <w:rPr>
          <w:rFonts w:cs="Times New Roman"/>
          <w:color w:val="010302"/>
          <w:sz w:val="20"/>
          <w:szCs w:val="20"/>
        </w:rPr>
      </w:pPr>
      <w:r w:rsidRPr="006E744C">
        <w:rPr>
          <w:rFonts w:cs="Times New Roman"/>
          <w:color w:val="010302"/>
          <w:sz w:val="20"/>
          <w:szCs w:val="20"/>
        </w:rPr>
        <w:t>such other period as the ET thinks is just and equitable.</w:t>
      </w:r>
    </w:p>
    <w:p w14:paraId="039299BA" w14:textId="77777777" w:rsidR="00A71E5B" w:rsidRDefault="00A71E5B" w:rsidP="003E2150">
      <w:pPr>
        <w:pStyle w:val="ListParagraph"/>
        <w:tabs>
          <w:tab w:val="left" w:pos="0"/>
        </w:tabs>
        <w:ind w:left="1440" w:right="567"/>
        <w:rPr>
          <w:rFonts w:cs="Times New Roman"/>
          <w:color w:val="010302"/>
          <w:sz w:val="20"/>
          <w:szCs w:val="20"/>
        </w:rPr>
      </w:pPr>
      <w:r>
        <w:rPr>
          <w:rFonts w:cs="Times New Roman"/>
          <w:color w:val="010302"/>
          <w:sz w:val="20"/>
          <w:szCs w:val="20"/>
        </w:rPr>
        <w:t>…</w:t>
      </w:r>
    </w:p>
    <w:p w14:paraId="32AA6359" w14:textId="32FD02A5" w:rsidR="00B968CF" w:rsidRDefault="00A71E5B" w:rsidP="003E2150">
      <w:pPr>
        <w:pStyle w:val="ListParagraph"/>
        <w:numPr>
          <w:ilvl w:val="0"/>
          <w:numId w:val="6"/>
        </w:numPr>
        <w:tabs>
          <w:tab w:val="left" w:pos="0"/>
        </w:tabs>
        <w:ind w:right="567"/>
        <w:rPr>
          <w:rFonts w:cs="Times New Roman"/>
          <w:color w:val="010302"/>
          <w:sz w:val="20"/>
          <w:szCs w:val="20"/>
        </w:rPr>
      </w:pPr>
      <w:r w:rsidRPr="00A71E5B">
        <w:rPr>
          <w:rFonts w:cs="Times New Roman"/>
          <w:color w:val="010302"/>
          <w:sz w:val="20"/>
          <w:szCs w:val="20"/>
        </w:rPr>
        <w:t>For the purposes of this section-</w:t>
      </w:r>
    </w:p>
    <w:p w14:paraId="588DC255" w14:textId="77777777" w:rsidR="00FE43A1" w:rsidRPr="00A71E5B" w:rsidRDefault="00FE43A1" w:rsidP="003E2150">
      <w:pPr>
        <w:pStyle w:val="ListParagraph"/>
        <w:tabs>
          <w:tab w:val="left" w:pos="0"/>
        </w:tabs>
        <w:ind w:left="1494" w:right="567"/>
        <w:rPr>
          <w:rFonts w:cs="Times New Roman"/>
          <w:color w:val="010302"/>
          <w:sz w:val="20"/>
          <w:szCs w:val="20"/>
        </w:rPr>
      </w:pPr>
    </w:p>
    <w:p w14:paraId="0648D416" w14:textId="5DA216FF" w:rsidR="00A71E5B" w:rsidRPr="00A71E5B" w:rsidRDefault="00FE43A1" w:rsidP="003E2150">
      <w:pPr>
        <w:pStyle w:val="ListParagraph"/>
        <w:tabs>
          <w:tab w:val="left" w:pos="0"/>
        </w:tabs>
        <w:ind w:left="644" w:right="567"/>
        <w:rPr>
          <w:rFonts w:cs="Times New Roman"/>
          <w:color w:val="010302"/>
          <w:sz w:val="20"/>
          <w:szCs w:val="20"/>
        </w:rPr>
      </w:pPr>
      <w:r>
        <w:rPr>
          <w:rFonts w:cs="Times New Roman"/>
          <w:color w:val="010302"/>
          <w:sz w:val="20"/>
          <w:szCs w:val="20"/>
        </w:rPr>
        <w:tab/>
      </w:r>
      <w:r>
        <w:rPr>
          <w:rFonts w:cs="Times New Roman"/>
          <w:color w:val="010302"/>
          <w:sz w:val="20"/>
          <w:szCs w:val="20"/>
        </w:rPr>
        <w:tab/>
        <w:t>(a) conduct extending over a period is to be treated as done at the end of the period.”</w:t>
      </w:r>
    </w:p>
    <w:p w14:paraId="4DB20A8C" w14:textId="77777777" w:rsidR="00B968CF" w:rsidRDefault="00B968CF" w:rsidP="0091566F">
      <w:pPr>
        <w:pStyle w:val="ListParagraph"/>
        <w:tabs>
          <w:tab w:val="left" w:pos="0"/>
        </w:tabs>
        <w:jc w:val="both"/>
        <w:rPr>
          <w:rFonts w:cs="Times New Roman"/>
          <w:color w:val="010302"/>
        </w:rPr>
      </w:pPr>
    </w:p>
    <w:p w14:paraId="424B860F" w14:textId="7B3BE9B6" w:rsidR="00B968CF" w:rsidRPr="00AA4F7B" w:rsidRDefault="00B968CF" w:rsidP="0091566F">
      <w:pPr>
        <w:pStyle w:val="ListParagraph"/>
        <w:tabs>
          <w:tab w:val="left" w:pos="0"/>
        </w:tabs>
        <w:spacing w:before="240" w:line="480" w:lineRule="auto"/>
        <w:ind w:left="720" w:hanging="720"/>
        <w:jc w:val="both"/>
        <w:rPr>
          <w:rFonts w:cs="Times New Roman"/>
          <w:color w:val="010302"/>
          <w:sz w:val="24"/>
          <w:szCs w:val="24"/>
        </w:rPr>
      </w:pPr>
      <w:r w:rsidRPr="00AA4F7B">
        <w:rPr>
          <w:rFonts w:cs="Times New Roman"/>
          <w:color w:val="010302"/>
          <w:sz w:val="24"/>
          <w:szCs w:val="24"/>
        </w:rPr>
        <w:t>25.</w:t>
      </w:r>
      <w:r w:rsidRPr="00AA4F7B">
        <w:rPr>
          <w:rFonts w:cs="Times New Roman"/>
          <w:color w:val="010302"/>
          <w:sz w:val="24"/>
          <w:szCs w:val="24"/>
        </w:rPr>
        <w:tab/>
        <w:t xml:space="preserve">Rule 37 of </w:t>
      </w:r>
      <w:r w:rsidR="004D0FFD">
        <w:rPr>
          <w:rFonts w:cs="Times New Roman"/>
          <w:color w:val="010302"/>
          <w:sz w:val="24"/>
          <w:szCs w:val="24"/>
        </w:rPr>
        <w:t>Schedule 1 of the</w:t>
      </w:r>
      <w:r w:rsidRPr="00AA4F7B">
        <w:rPr>
          <w:rFonts w:cs="Times New Roman"/>
          <w:color w:val="010302"/>
          <w:sz w:val="24"/>
          <w:szCs w:val="24"/>
        </w:rPr>
        <w:t xml:space="preserve"> E</w:t>
      </w:r>
      <w:r w:rsidR="004D0FFD">
        <w:rPr>
          <w:rFonts w:cs="Times New Roman"/>
          <w:color w:val="010302"/>
          <w:sz w:val="24"/>
          <w:szCs w:val="24"/>
        </w:rPr>
        <w:t xml:space="preserve">mployment </w:t>
      </w:r>
      <w:r w:rsidRPr="00AA4F7B">
        <w:rPr>
          <w:rFonts w:cs="Times New Roman"/>
          <w:color w:val="010302"/>
          <w:sz w:val="24"/>
          <w:szCs w:val="24"/>
        </w:rPr>
        <w:t>T</w:t>
      </w:r>
      <w:r w:rsidR="004D0FFD">
        <w:rPr>
          <w:rFonts w:cs="Times New Roman"/>
          <w:color w:val="010302"/>
          <w:sz w:val="24"/>
          <w:szCs w:val="24"/>
        </w:rPr>
        <w:t>ribunal</w:t>
      </w:r>
      <w:r w:rsidRPr="00AA4F7B">
        <w:rPr>
          <w:rFonts w:cs="Times New Roman"/>
          <w:color w:val="010302"/>
          <w:sz w:val="24"/>
          <w:szCs w:val="24"/>
        </w:rPr>
        <w:t xml:space="preserve"> </w:t>
      </w:r>
      <w:r w:rsidR="004D0FFD">
        <w:rPr>
          <w:rFonts w:cs="Times New Roman"/>
          <w:color w:val="010302"/>
          <w:sz w:val="24"/>
          <w:szCs w:val="24"/>
        </w:rPr>
        <w:t>(</w:t>
      </w:r>
      <w:r w:rsidRPr="00AA4F7B">
        <w:rPr>
          <w:rFonts w:cs="Times New Roman"/>
          <w:color w:val="010302"/>
          <w:sz w:val="24"/>
          <w:szCs w:val="24"/>
        </w:rPr>
        <w:t>Constitutional</w:t>
      </w:r>
      <w:r w:rsidR="004D0FFD">
        <w:rPr>
          <w:rFonts w:cs="Times New Roman"/>
          <w:color w:val="010302"/>
          <w:sz w:val="24"/>
          <w:szCs w:val="24"/>
        </w:rPr>
        <w:t xml:space="preserve"> of</w:t>
      </w:r>
      <w:r w:rsidRPr="00AA4F7B">
        <w:rPr>
          <w:rFonts w:cs="Times New Roman"/>
          <w:color w:val="010302"/>
          <w:sz w:val="24"/>
          <w:szCs w:val="24"/>
        </w:rPr>
        <w:t xml:space="preserve"> Rules and </w:t>
      </w:r>
      <w:r w:rsidR="004D0FFD">
        <w:rPr>
          <w:rFonts w:cs="Times New Roman"/>
          <w:color w:val="010302"/>
          <w:sz w:val="24"/>
          <w:szCs w:val="24"/>
        </w:rPr>
        <w:t>P</w:t>
      </w:r>
      <w:r w:rsidRPr="00AA4F7B">
        <w:rPr>
          <w:rFonts w:cs="Times New Roman"/>
          <w:color w:val="010302"/>
          <w:sz w:val="24"/>
          <w:szCs w:val="24"/>
        </w:rPr>
        <w:t>rocedure</w:t>
      </w:r>
      <w:r w:rsidR="004D0FFD">
        <w:rPr>
          <w:rFonts w:cs="Times New Roman"/>
          <w:color w:val="010302"/>
          <w:sz w:val="24"/>
          <w:szCs w:val="24"/>
        </w:rPr>
        <w:t>)</w:t>
      </w:r>
      <w:r w:rsidRPr="00AA4F7B">
        <w:rPr>
          <w:rFonts w:cs="Times New Roman"/>
          <w:color w:val="010302"/>
          <w:sz w:val="24"/>
          <w:szCs w:val="24"/>
        </w:rPr>
        <w:t xml:space="preserve"> Regulations 2013</w:t>
      </w:r>
      <w:r w:rsidR="004D0FFD">
        <w:rPr>
          <w:rFonts w:cs="Times New Roman"/>
          <w:color w:val="010302"/>
          <w:sz w:val="24"/>
          <w:szCs w:val="24"/>
        </w:rPr>
        <w:t xml:space="preserve"> (The ET Rules </w:t>
      </w:r>
      <w:proofErr w:type="gramStart"/>
      <w:r w:rsidR="004D0FFD">
        <w:rPr>
          <w:rFonts w:cs="Times New Roman"/>
          <w:color w:val="010302"/>
          <w:sz w:val="24"/>
          <w:szCs w:val="24"/>
        </w:rPr>
        <w:t>2013)</w:t>
      </w:r>
      <w:r w:rsidRPr="00AA4F7B">
        <w:rPr>
          <w:rFonts w:cs="Times New Roman"/>
          <w:color w:val="010302"/>
          <w:sz w:val="24"/>
          <w:szCs w:val="24"/>
        </w:rPr>
        <w:t>provides</w:t>
      </w:r>
      <w:proofErr w:type="gramEnd"/>
      <w:r w:rsidRPr="00AA4F7B">
        <w:rPr>
          <w:rFonts w:cs="Times New Roman"/>
          <w:color w:val="010302"/>
          <w:sz w:val="24"/>
          <w:szCs w:val="24"/>
        </w:rPr>
        <w:t xml:space="preserve"> as follows</w:t>
      </w:r>
      <w:r w:rsidR="00311C8E">
        <w:rPr>
          <w:rFonts w:cs="Times New Roman"/>
          <w:color w:val="010302"/>
          <w:sz w:val="24"/>
          <w:szCs w:val="24"/>
        </w:rPr>
        <w:t xml:space="preserve">: </w:t>
      </w:r>
    </w:p>
    <w:p w14:paraId="6B272910" w14:textId="77777777" w:rsidR="00311C8E" w:rsidRPr="00311C8E" w:rsidRDefault="00311C8E" w:rsidP="003E2150">
      <w:pPr>
        <w:pStyle w:val="ListParagraph"/>
        <w:tabs>
          <w:tab w:val="left" w:pos="0"/>
        </w:tabs>
        <w:ind w:left="1440" w:right="567"/>
        <w:rPr>
          <w:rFonts w:cs="Times New Roman"/>
          <w:color w:val="010302"/>
          <w:sz w:val="20"/>
          <w:szCs w:val="20"/>
          <w:u w:val="single"/>
        </w:rPr>
      </w:pPr>
      <w:r w:rsidRPr="00311C8E">
        <w:rPr>
          <w:rFonts w:cs="Times New Roman"/>
          <w:color w:val="010302"/>
          <w:sz w:val="20"/>
          <w:szCs w:val="20"/>
          <w:u w:val="single"/>
        </w:rPr>
        <w:t>37. Striking Out</w:t>
      </w:r>
    </w:p>
    <w:p w14:paraId="6662C82F" w14:textId="6EEF61B7" w:rsidR="00B968CF" w:rsidRPr="00311C8E" w:rsidRDefault="00B968CF" w:rsidP="003E2150">
      <w:pPr>
        <w:pStyle w:val="ListParagraph"/>
        <w:tabs>
          <w:tab w:val="left" w:pos="0"/>
        </w:tabs>
        <w:ind w:left="1440" w:right="567"/>
        <w:rPr>
          <w:rFonts w:cs="Times New Roman"/>
          <w:color w:val="010302"/>
          <w:sz w:val="20"/>
          <w:szCs w:val="20"/>
        </w:rPr>
      </w:pPr>
      <w:r w:rsidRPr="006E744C">
        <w:rPr>
          <w:rFonts w:cs="Times New Roman"/>
          <w:color w:val="010302"/>
          <w:sz w:val="20"/>
          <w:szCs w:val="20"/>
        </w:rPr>
        <w:t xml:space="preserve">(1)  At any stage of proceedings, either on its own initiative or on the application of a party, </w:t>
      </w:r>
      <w:r w:rsidR="00311C8E">
        <w:rPr>
          <w:rFonts w:cs="Times New Roman"/>
          <w:color w:val="010302"/>
          <w:sz w:val="20"/>
          <w:szCs w:val="20"/>
        </w:rPr>
        <w:t>a T</w:t>
      </w:r>
      <w:r w:rsidRPr="00311C8E">
        <w:rPr>
          <w:rFonts w:cs="Times New Roman"/>
          <w:color w:val="010302"/>
          <w:sz w:val="20"/>
          <w:szCs w:val="20"/>
        </w:rPr>
        <w:t xml:space="preserve">ribunal may strike out all or part of a </w:t>
      </w:r>
      <w:r w:rsidR="005C41F1" w:rsidRPr="00311C8E">
        <w:rPr>
          <w:rFonts w:cs="Times New Roman"/>
          <w:color w:val="010302"/>
          <w:sz w:val="20"/>
          <w:szCs w:val="20"/>
        </w:rPr>
        <w:t>claim</w:t>
      </w:r>
      <w:r w:rsidRPr="00311C8E">
        <w:rPr>
          <w:rFonts w:cs="Times New Roman"/>
          <w:color w:val="010302"/>
          <w:sz w:val="20"/>
          <w:szCs w:val="20"/>
        </w:rPr>
        <w:t xml:space="preserve"> or response on any of the following grounds:</w:t>
      </w:r>
    </w:p>
    <w:p w14:paraId="51F0EAAA" w14:textId="4E44051F" w:rsidR="00517BA3" w:rsidRDefault="00B968CF" w:rsidP="003E2150">
      <w:pPr>
        <w:pStyle w:val="ListParagraph"/>
        <w:tabs>
          <w:tab w:val="left" w:pos="0"/>
        </w:tabs>
        <w:ind w:left="1440"/>
        <w:rPr>
          <w:rFonts w:cs="Times New Roman"/>
          <w:color w:val="010302"/>
          <w:sz w:val="20"/>
          <w:szCs w:val="20"/>
        </w:rPr>
      </w:pPr>
      <w:r w:rsidRPr="006E744C">
        <w:rPr>
          <w:rFonts w:cs="Times New Roman"/>
          <w:color w:val="010302"/>
          <w:sz w:val="20"/>
          <w:szCs w:val="20"/>
        </w:rPr>
        <w:t>(a) that it is scandalous or vexatious or has no reasonable prospect of success</w:t>
      </w:r>
      <w:r w:rsidR="003E2150">
        <w:rPr>
          <w:rFonts w:cs="Times New Roman"/>
          <w:color w:val="010302"/>
          <w:sz w:val="20"/>
          <w:szCs w:val="20"/>
        </w:rPr>
        <w:t>;</w:t>
      </w:r>
    </w:p>
    <w:p w14:paraId="659C54BD" w14:textId="442040F7" w:rsidR="008A0654" w:rsidRPr="008A0654" w:rsidRDefault="008A0654" w:rsidP="003E2150">
      <w:pPr>
        <w:pStyle w:val="ListParagraph"/>
        <w:tabs>
          <w:tab w:val="left" w:pos="0"/>
        </w:tabs>
        <w:ind w:left="1440"/>
        <w:rPr>
          <w:rFonts w:cs="Times New Roman"/>
          <w:color w:val="010302"/>
          <w:sz w:val="20"/>
          <w:szCs w:val="20"/>
        </w:rPr>
      </w:pPr>
      <w:r>
        <w:rPr>
          <w:rFonts w:cs="Times New Roman"/>
          <w:color w:val="010302"/>
          <w:sz w:val="20"/>
          <w:szCs w:val="20"/>
        </w:rPr>
        <w:t xml:space="preserve">(b) </w:t>
      </w:r>
      <w:r w:rsidRPr="008A0654">
        <w:rPr>
          <w:rFonts w:cs="Times New Roman"/>
          <w:color w:val="010302"/>
          <w:sz w:val="20"/>
          <w:szCs w:val="20"/>
        </w:rPr>
        <w:t xml:space="preserve">that the manner in which the proceedings have been conducted by or on behalf of the claimant or the respondent (as the case may be) has been scandalous, unreasonable or </w:t>
      </w:r>
      <w:proofErr w:type="gramStart"/>
      <w:r w:rsidRPr="008A0654">
        <w:rPr>
          <w:rFonts w:cs="Times New Roman"/>
          <w:color w:val="010302"/>
          <w:sz w:val="20"/>
          <w:szCs w:val="20"/>
        </w:rPr>
        <w:t>vexatious;</w:t>
      </w:r>
      <w:proofErr w:type="gramEnd"/>
    </w:p>
    <w:p w14:paraId="77C5BD79" w14:textId="6B89FF6B" w:rsidR="008A0654" w:rsidRPr="008A0654" w:rsidRDefault="008A0654" w:rsidP="003E2150">
      <w:pPr>
        <w:pStyle w:val="ListParagraph"/>
        <w:tabs>
          <w:tab w:val="left" w:pos="0"/>
        </w:tabs>
        <w:ind w:left="1440"/>
        <w:rPr>
          <w:rFonts w:cs="Times New Roman"/>
          <w:color w:val="010302"/>
          <w:sz w:val="20"/>
          <w:szCs w:val="20"/>
        </w:rPr>
      </w:pPr>
      <w:r w:rsidRPr="008A0654">
        <w:rPr>
          <w:rFonts w:cs="Times New Roman"/>
          <w:color w:val="010302"/>
          <w:sz w:val="20"/>
          <w:szCs w:val="20"/>
        </w:rPr>
        <w:t>(c)for non-compliance with any of these Rules or with an order of the Tribunal;</w:t>
      </w:r>
    </w:p>
    <w:p w14:paraId="1D867DA9" w14:textId="0287363B" w:rsidR="008A0654" w:rsidRPr="008A0654" w:rsidRDefault="008A0654" w:rsidP="003E2150">
      <w:pPr>
        <w:pStyle w:val="ListParagraph"/>
        <w:tabs>
          <w:tab w:val="left" w:pos="0"/>
        </w:tabs>
        <w:ind w:left="1440"/>
        <w:rPr>
          <w:rFonts w:cs="Times New Roman"/>
          <w:color w:val="010302"/>
          <w:sz w:val="20"/>
          <w:szCs w:val="20"/>
        </w:rPr>
      </w:pPr>
      <w:r w:rsidRPr="008A0654">
        <w:rPr>
          <w:rFonts w:cs="Times New Roman"/>
          <w:color w:val="010302"/>
          <w:sz w:val="20"/>
          <w:szCs w:val="20"/>
        </w:rPr>
        <w:t>(d)that it has not been actively pursued;</w:t>
      </w:r>
    </w:p>
    <w:p w14:paraId="1701E1BD" w14:textId="4B8F8FCA" w:rsidR="008A0654" w:rsidRDefault="008A0654" w:rsidP="003E2150">
      <w:pPr>
        <w:pStyle w:val="ListParagraph"/>
        <w:tabs>
          <w:tab w:val="left" w:pos="0"/>
        </w:tabs>
        <w:ind w:left="1440"/>
        <w:rPr>
          <w:rFonts w:cs="Times New Roman"/>
          <w:color w:val="010302"/>
          <w:sz w:val="20"/>
          <w:szCs w:val="20"/>
        </w:rPr>
      </w:pPr>
      <w:r w:rsidRPr="008A0654">
        <w:rPr>
          <w:rFonts w:cs="Times New Roman"/>
          <w:color w:val="010302"/>
          <w:sz w:val="20"/>
          <w:szCs w:val="20"/>
        </w:rPr>
        <w:t>(e)that the Tribunal considers that it is no longer possible to have a fair hearing in respect of the claim or response (or the part to be struck out).</w:t>
      </w:r>
    </w:p>
    <w:p w14:paraId="76A6B200" w14:textId="326B9448" w:rsidR="00B968CF" w:rsidRPr="006E744C" w:rsidRDefault="00517BA3" w:rsidP="003E2150">
      <w:pPr>
        <w:pStyle w:val="ListParagraph"/>
        <w:tabs>
          <w:tab w:val="left" w:pos="0"/>
        </w:tabs>
        <w:ind w:left="1440"/>
        <w:rPr>
          <w:rFonts w:cs="Times New Roman"/>
          <w:color w:val="010302"/>
          <w:sz w:val="20"/>
          <w:szCs w:val="20"/>
        </w:rPr>
      </w:pPr>
      <w:r>
        <w:rPr>
          <w:rFonts w:cs="Times New Roman"/>
          <w:color w:val="010302"/>
          <w:sz w:val="20"/>
          <w:szCs w:val="20"/>
        </w:rPr>
        <w:t>…</w:t>
      </w:r>
      <w:r w:rsidR="00B968CF" w:rsidRPr="006E744C">
        <w:rPr>
          <w:rFonts w:cs="Times New Roman"/>
          <w:color w:val="010302"/>
          <w:sz w:val="20"/>
          <w:szCs w:val="20"/>
        </w:rPr>
        <w:t>”</w:t>
      </w:r>
    </w:p>
    <w:p w14:paraId="74079EA9" w14:textId="77777777" w:rsidR="00B968CF" w:rsidRPr="00AA4F7B" w:rsidRDefault="00B968CF" w:rsidP="0091566F">
      <w:pPr>
        <w:pStyle w:val="ListParagraph"/>
        <w:tabs>
          <w:tab w:val="left" w:pos="0"/>
        </w:tabs>
        <w:spacing w:before="240" w:line="480" w:lineRule="auto"/>
        <w:jc w:val="both"/>
        <w:rPr>
          <w:rFonts w:cs="Times New Roman"/>
          <w:color w:val="010302"/>
          <w:sz w:val="24"/>
          <w:szCs w:val="24"/>
        </w:rPr>
      </w:pPr>
      <w:r w:rsidRPr="00AA4F7B">
        <w:rPr>
          <w:rFonts w:cs="Times New Roman"/>
          <w:color w:val="010302"/>
          <w:sz w:val="24"/>
          <w:szCs w:val="24"/>
        </w:rPr>
        <w:t>26.</w:t>
      </w:r>
      <w:r w:rsidRPr="00AA4F7B">
        <w:rPr>
          <w:rFonts w:cs="Times New Roman"/>
          <w:color w:val="010302"/>
          <w:sz w:val="24"/>
          <w:szCs w:val="24"/>
        </w:rPr>
        <w:tab/>
        <w:t>Rule 39 sets out the Tribunal’s power to order a Deposit Order. It provides as follows:</w:t>
      </w:r>
    </w:p>
    <w:p w14:paraId="48752BCB" w14:textId="28639EE1" w:rsidR="00311C8E" w:rsidRPr="00311C8E" w:rsidRDefault="00B968CF" w:rsidP="0091566F">
      <w:pPr>
        <w:pStyle w:val="ListParagraph"/>
        <w:tabs>
          <w:tab w:val="left" w:pos="0"/>
        </w:tabs>
        <w:ind w:left="1440" w:right="567"/>
        <w:jc w:val="both"/>
        <w:rPr>
          <w:rFonts w:cs="Times New Roman"/>
          <w:color w:val="010302"/>
          <w:sz w:val="20"/>
          <w:szCs w:val="20"/>
          <w:u w:val="single"/>
        </w:rPr>
      </w:pPr>
      <w:r w:rsidRPr="00311C8E">
        <w:rPr>
          <w:rFonts w:cs="Times New Roman"/>
          <w:color w:val="010302"/>
          <w:sz w:val="20"/>
          <w:szCs w:val="20"/>
          <w:u w:val="single"/>
        </w:rPr>
        <w:t>39. Deposit Order</w:t>
      </w:r>
      <w:r w:rsidR="00311C8E">
        <w:rPr>
          <w:rFonts w:cs="Times New Roman"/>
          <w:color w:val="010302"/>
          <w:sz w:val="20"/>
          <w:szCs w:val="20"/>
          <w:u w:val="single"/>
        </w:rPr>
        <w:t>s</w:t>
      </w:r>
      <w:r w:rsidRPr="00311C8E">
        <w:rPr>
          <w:rFonts w:cs="Times New Roman"/>
          <w:color w:val="010302"/>
          <w:sz w:val="20"/>
          <w:szCs w:val="20"/>
          <w:u w:val="single"/>
        </w:rPr>
        <w:t xml:space="preserve"> </w:t>
      </w:r>
    </w:p>
    <w:p w14:paraId="635EB28D" w14:textId="32470FEA" w:rsidR="00B968CF" w:rsidRPr="006E744C" w:rsidRDefault="00311C8E" w:rsidP="0091566F">
      <w:pPr>
        <w:pStyle w:val="ListParagraph"/>
        <w:tabs>
          <w:tab w:val="left" w:pos="0"/>
        </w:tabs>
        <w:ind w:left="1440" w:right="567"/>
        <w:jc w:val="both"/>
        <w:rPr>
          <w:rFonts w:cs="Times New Roman"/>
          <w:color w:val="010302"/>
          <w:sz w:val="20"/>
          <w:szCs w:val="20"/>
        </w:rPr>
      </w:pPr>
      <w:r>
        <w:rPr>
          <w:rFonts w:cs="Times New Roman"/>
          <w:color w:val="010302"/>
          <w:sz w:val="20"/>
          <w:szCs w:val="20"/>
        </w:rPr>
        <w:t xml:space="preserve">(1) </w:t>
      </w:r>
      <w:r w:rsidR="00B968CF" w:rsidRPr="006E744C">
        <w:rPr>
          <w:rFonts w:cs="Times New Roman"/>
          <w:color w:val="010302"/>
          <w:sz w:val="20"/>
          <w:szCs w:val="20"/>
        </w:rPr>
        <w:t xml:space="preserve">Where at a preliminary hearing </w:t>
      </w:r>
      <w:r>
        <w:rPr>
          <w:rFonts w:cs="Times New Roman"/>
          <w:color w:val="010302"/>
          <w:sz w:val="20"/>
          <w:szCs w:val="20"/>
        </w:rPr>
        <w:t>(</w:t>
      </w:r>
      <w:r w:rsidR="00B968CF" w:rsidRPr="006E744C">
        <w:rPr>
          <w:rFonts w:cs="Times New Roman"/>
          <w:color w:val="010302"/>
          <w:sz w:val="20"/>
          <w:szCs w:val="20"/>
        </w:rPr>
        <w:t>under Rule 53</w:t>
      </w:r>
      <w:r>
        <w:rPr>
          <w:rFonts w:cs="Times New Roman"/>
          <w:color w:val="010302"/>
          <w:sz w:val="20"/>
          <w:szCs w:val="20"/>
        </w:rPr>
        <w:t>)</w:t>
      </w:r>
      <w:r w:rsidR="00B968CF" w:rsidRPr="006E744C">
        <w:rPr>
          <w:rFonts w:cs="Times New Roman"/>
          <w:color w:val="010302"/>
          <w:sz w:val="20"/>
          <w:szCs w:val="20"/>
        </w:rPr>
        <w:t xml:space="preserve"> the Tribunal considers that any specific allegation or argument in a </w:t>
      </w:r>
      <w:r>
        <w:rPr>
          <w:rFonts w:cs="Times New Roman"/>
          <w:color w:val="010302"/>
          <w:sz w:val="20"/>
          <w:szCs w:val="20"/>
        </w:rPr>
        <w:t>c</w:t>
      </w:r>
      <w:r w:rsidR="005C41F1">
        <w:rPr>
          <w:rFonts w:cs="Times New Roman"/>
          <w:color w:val="010302"/>
          <w:sz w:val="20"/>
          <w:szCs w:val="20"/>
        </w:rPr>
        <w:t>laim</w:t>
      </w:r>
      <w:r w:rsidR="00B968CF" w:rsidRPr="006E744C">
        <w:rPr>
          <w:rFonts w:cs="Times New Roman"/>
          <w:color w:val="010302"/>
          <w:sz w:val="20"/>
          <w:szCs w:val="20"/>
        </w:rPr>
        <w:t xml:space="preserve"> or </w:t>
      </w:r>
      <w:r>
        <w:rPr>
          <w:rFonts w:cs="Times New Roman"/>
          <w:color w:val="010302"/>
          <w:sz w:val="20"/>
          <w:szCs w:val="20"/>
        </w:rPr>
        <w:t>r</w:t>
      </w:r>
      <w:r w:rsidR="00B968CF" w:rsidRPr="006E744C">
        <w:rPr>
          <w:rFonts w:cs="Times New Roman"/>
          <w:color w:val="010302"/>
          <w:sz w:val="20"/>
          <w:szCs w:val="20"/>
        </w:rPr>
        <w:t>esponse has little reasonable prospects of success</w:t>
      </w:r>
      <w:r>
        <w:rPr>
          <w:rFonts w:cs="Times New Roman"/>
          <w:color w:val="010302"/>
          <w:sz w:val="20"/>
          <w:szCs w:val="20"/>
        </w:rPr>
        <w:t>,</w:t>
      </w:r>
      <w:r w:rsidR="00B968CF" w:rsidRPr="006E744C">
        <w:rPr>
          <w:rFonts w:cs="Times New Roman"/>
          <w:color w:val="010302"/>
          <w:sz w:val="20"/>
          <w:szCs w:val="20"/>
        </w:rPr>
        <w:t xml:space="preserve"> it may make an order requiring a party</w:t>
      </w:r>
      <w:r>
        <w:rPr>
          <w:rFonts w:cs="Times New Roman"/>
          <w:color w:val="010302"/>
          <w:sz w:val="20"/>
          <w:szCs w:val="20"/>
        </w:rPr>
        <w:t xml:space="preserve"> (“</w:t>
      </w:r>
      <w:r w:rsidR="00B968CF" w:rsidRPr="006E744C">
        <w:rPr>
          <w:rFonts w:cs="Times New Roman"/>
          <w:color w:val="010302"/>
          <w:sz w:val="20"/>
          <w:szCs w:val="20"/>
        </w:rPr>
        <w:t>the paying party</w:t>
      </w:r>
      <w:r>
        <w:rPr>
          <w:rFonts w:cs="Times New Roman"/>
          <w:color w:val="010302"/>
          <w:sz w:val="20"/>
          <w:szCs w:val="20"/>
        </w:rPr>
        <w:t>”)</w:t>
      </w:r>
      <w:r w:rsidR="00B968CF" w:rsidRPr="006E744C">
        <w:rPr>
          <w:rFonts w:cs="Times New Roman"/>
          <w:color w:val="010302"/>
          <w:sz w:val="20"/>
          <w:szCs w:val="20"/>
        </w:rPr>
        <w:t xml:space="preserve"> to pay a deposit not exceeding £1,000 as a condition of continuing to advance that allegation or argument.</w:t>
      </w:r>
    </w:p>
    <w:p w14:paraId="42F4C07C" w14:textId="2FA984FE" w:rsidR="00B968CF" w:rsidRPr="00AA4F7B" w:rsidRDefault="00B968CF" w:rsidP="0091566F">
      <w:pPr>
        <w:pStyle w:val="ListParagraph"/>
        <w:tabs>
          <w:tab w:val="left" w:pos="0"/>
        </w:tabs>
        <w:spacing w:before="240" w:line="480" w:lineRule="auto"/>
        <w:jc w:val="both"/>
        <w:rPr>
          <w:rFonts w:cs="Times New Roman"/>
          <w:color w:val="010302"/>
          <w:sz w:val="24"/>
          <w:szCs w:val="24"/>
        </w:rPr>
      </w:pPr>
      <w:r w:rsidRPr="00AA4F7B">
        <w:rPr>
          <w:rFonts w:cs="Times New Roman"/>
          <w:color w:val="010302"/>
          <w:sz w:val="24"/>
          <w:szCs w:val="24"/>
        </w:rPr>
        <w:t>27.</w:t>
      </w:r>
      <w:r w:rsidRPr="00AA4F7B">
        <w:rPr>
          <w:rFonts w:cs="Times New Roman"/>
          <w:color w:val="010302"/>
          <w:sz w:val="24"/>
          <w:szCs w:val="24"/>
        </w:rPr>
        <w:tab/>
        <w:t>Rule</w:t>
      </w:r>
      <w:r w:rsidR="00311C8E">
        <w:rPr>
          <w:rFonts w:cs="Times New Roman"/>
          <w:color w:val="010302"/>
          <w:sz w:val="24"/>
          <w:szCs w:val="24"/>
        </w:rPr>
        <w:t>s</w:t>
      </w:r>
      <w:r w:rsidRPr="00AA4F7B">
        <w:rPr>
          <w:rFonts w:cs="Times New Roman"/>
          <w:color w:val="010302"/>
          <w:sz w:val="24"/>
          <w:szCs w:val="24"/>
        </w:rPr>
        <w:t xml:space="preserve"> 53</w:t>
      </w:r>
      <w:r w:rsidR="00311C8E">
        <w:rPr>
          <w:rFonts w:cs="Times New Roman"/>
          <w:color w:val="010302"/>
          <w:sz w:val="24"/>
          <w:szCs w:val="24"/>
        </w:rPr>
        <w:t xml:space="preserve"> and 54</w:t>
      </w:r>
      <w:r w:rsidRPr="00AA4F7B">
        <w:rPr>
          <w:rFonts w:cs="Times New Roman"/>
          <w:color w:val="010302"/>
          <w:sz w:val="24"/>
          <w:szCs w:val="24"/>
        </w:rPr>
        <w:t xml:space="preserve"> of the ET rules concern </w:t>
      </w:r>
      <w:r w:rsidR="00512F45">
        <w:rPr>
          <w:rFonts w:cs="Times New Roman"/>
          <w:color w:val="010302"/>
          <w:sz w:val="24"/>
          <w:szCs w:val="24"/>
        </w:rPr>
        <w:t>Pr</w:t>
      </w:r>
      <w:r w:rsidRPr="00AA4F7B">
        <w:rPr>
          <w:rFonts w:cs="Times New Roman"/>
          <w:color w:val="010302"/>
          <w:sz w:val="24"/>
          <w:szCs w:val="24"/>
        </w:rPr>
        <w:t xml:space="preserve">eliminary </w:t>
      </w:r>
      <w:r w:rsidR="00512F45">
        <w:rPr>
          <w:rFonts w:cs="Times New Roman"/>
          <w:color w:val="010302"/>
          <w:sz w:val="24"/>
          <w:szCs w:val="24"/>
        </w:rPr>
        <w:t>H</w:t>
      </w:r>
      <w:r w:rsidRPr="00AA4F7B">
        <w:rPr>
          <w:rFonts w:cs="Times New Roman"/>
          <w:color w:val="010302"/>
          <w:sz w:val="24"/>
          <w:szCs w:val="24"/>
        </w:rPr>
        <w:t xml:space="preserve">earings. </w:t>
      </w:r>
      <w:r w:rsidR="00512F45">
        <w:rPr>
          <w:rFonts w:cs="Times New Roman"/>
          <w:color w:val="010302"/>
          <w:sz w:val="24"/>
          <w:szCs w:val="24"/>
        </w:rPr>
        <w:t>They</w:t>
      </w:r>
      <w:r w:rsidRPr="00AA4F7B">
        <w:rPr>
          <w:rFonts w:cs="Times New Roman"/>
          <w:color w:val="010302"/>
          <w:sz w:val="24"/>
          <w:szCs w:val="24"/>
        </w:rPr>
        <w:t xml:space="preserve"> provide as follows:</w:t>
      </w:r>
    </w:p>
    <w:p w14:paraId="5F670535" w14:textId="6B3A5E5E" w:rsidR="00311C8E" w:rsidRPr="00311C8E" w:rsidRDefault="00B968CF" w:rsidP="0091566F">
      <w:pPr>
        <w:pStyle w:val="ListParagraph"/>
        <w:tabs>
          <w:tab w:val="left" w:pos="0"/>
        </w:tabs>
        <w:ind w:left="1440" w:right="567"/>
        <w:jc w:val="both"/>
        <w:rPr>
          <w:rFonts w:cs="Times New Roman"/>
          <w:color w:val="010302"/>
          <w:sz w:val="20"/>
          <w:szCs w:val="20"/>
          <w:u w:val="single"/>
        </w:rPr>
      </w:pPr>
      <w:r w:rsidRPr="00311C8E">
        <w:rPr>
          <w:rFonts w:cs="Times New Roman"/>
          <w:color w:val="010302"/>
          <w:sz w:val="20"/>
          <w:szCs w:val="20"/>
          <w:u w:val="single"/>
        </w:rPr>
        <w:lastRenderedPageBreak/>
        <w:t>53. Scope of preliminary hearings</w:t>
      </w:r>
    </w:p>
    <w:p w14:paraId="42893927" w14:textId="2496AA21" w:rsidR="00B968CF" w:rsidRPr="006E744C" w:rsidRDefault="00311C8E" w:rsidP="0091566F">
      <w:pPr>
        <w:pStyle w:val="ListParagraph"/>
        <w:tabs>
          <w:tab w:val="left" w:pos="0"/>
        </w:tabs>
        <w:ind w:left="1440" w:right="567"/>
        <w:jc w:val="both"/>
        <w:rPr>
          <w:rFonts w:cs="Times New Roman"/>
          <w:color w:val="010302"/>
          <w:sz w:val="20"/>
          <w:szCs w:val="20"/>
        </w:rPr>
      </w:pPr>
      <w:r>
        <w:rPr>
          <w:rFonts w:cs="Times New Roman"/>
          <w:color w:val="010302"/>
          <w:sz w:val="20"/>
          <w:szCs w:val="20"/>
        </w:rPr>
        <w:t>1.</w:t>
      </w:r>
      <w:r w:rsidR="00B968CF" w:rsidRPr="006E744C">
        <w:rPr>
          <w:rFonts w:cs="Times New Roman"/>
          <w:color w:val="010302"/>
          <w:sz w:val="20"/>
          <w:szCs w:val="20"/>
        </w:rPr>
        <w:t xml:space="preserve"> A preliminary hearing is a hearing at which the Tribunal may do one or more of the following</w:t>
      </w:r>
      <w:r>
        <w:rPr>
          <w:rFonts w:cs="Times New Roman"/>
          <w:color w:val="010302"/>
          <w:sz w:val="20"/>
          <w:szCs w:val="20"/>
        </w:rPr>
        <w:t xml:space="preserve"> -</w:t>
      </w:r>
    </w:p>
    <w:p w14:paraId="25625A6C" w14:textId="0BC41A47" w:rsidR="00B968CF" w:rsidRPr="006E744C" w:rsidRDefault="00B968CF" w:rsidP="0091566F">
      <w:pPr>
        <w:pStyle w:val="ListParagraph"/>
        <w:tabs>
          <w:tab w:val="left" w:pos="0"/>
        </w:tabs>
        <w:ind w:left="1985" w:right="567"/>
        <w:jc w:val="both"/>
        <w:rPr>
          <w:rFonts w:cs="Times New Roman"/>
          <w:color w:val="010302"/>
          <w:sz w:val="20"/>
          <w:szCs w:val="20"/>
        </w:rPr>
      </w:pPr>
      <w:r w:rsidRPr="006E744C">
        <w:rPr>
          <w:rFonts w:cs="Times New Roman"/>
          <w:color w:val="010302"/>
          <w:sz w:val="20"/>
          <w:szCs w:val="20"/>
        </w:rPr>
        <w:t xml:space="preserve">(a) conduct a preliminary consideration of the </w:t>
      </w:r>
      <w:r w:rsidR="00B174A8">
        <w:rPr>
          <w:rFonts w:cs="Times New Roman"/>
          <w:color w:val="010302"/>
          <w:sz w:val="20"/>
          <w:szCs w:val="20"/>
        </w:rPr>
        <w:t>c</w:t>
      </w:r>
      <w:r w:rsidR="005C41F1">
        <w:rPr>
          <w:rFonts w:cs="Times New Roman"/>
          <w:color w:val="010302"/>
          <w:sz w:val="20"/>
          <w:szCs w:val="20"/>
        </w:rPr>
        <w:t>laim</w:t>
      </w:r>
      <w:r w:rsidRPr="006E744C">
        <w:rPr>
          <w:rFonts w:cs="Times New Roman"/>
          <w:color w:val="010302"/>
          <w:sz w:val="20"/>
          <w:szCs w:val="20"/>
        </w:rPr>
        <w:t xml:space="preserve"> with the parties and make a </w:t>
      </w:r>
      <w:r w:rsidR="00311C8E">
        <w:rPr>
          <w:rFonts w:cs="Times New Roman"/>
          <w:color w:val="010302"/>
          <w:sz w:val="20"/>
          <w:szCs w:val="20"/>
        </w:rPr>
        <w:t>c</w:t>
      </w:r>
      <w:r w:rsidRPr="006E744C">
        <w:rPr>
          <w:rFonts w:cs="Times New Roman"/>
          <w:color w:val="010302"/>
          <w:sz w:val="20"/>
          <w:szCs w:val="20"/>
        </w:rPr>
        <w:t xml:space="preserve">ase </w:t>
      </w:r>
      <w:r w:rsidR="00311C8E">
        <w:rPr>
          <w:rFonts w:cs="Times New Roman"/>
          <w:color w:val="010302"/>
          <w:sz w:val="20"/>
          <w:szCs w:val="20"/>
        </w:rPr>
        <w:t>m</w:t>
      </w:r>
      <w:r w:rsidRPr="006E744C">
        <w:rPr>
          <w:rFonts w:cs="Times New Roman"/>
          <w:color w:val="010302"/>
          <w:sz w:val="20"/>
          <w:szCs w:val="20"/>
        </w:rPr>
        <w:t xml:space="preserve">anagement </w:t>
      </w:r>
      <w:r w:rsidR="00311C8E">
        <w:rPr>
          <w:rFonts w:cs="Times New Roman"/>
          <w:color w:val="010302"/>
          <w:sz w:val="20"/>
          <w:szCs w:val="20"/>
        </w:rPr>
        <w:t>o</w:t>
      </w:r>
      <w:r w:rsidRPr="006E744C">
        <w:rPr>
          <w:rFonts w:cs="Times New Roman"/>
          <w:color w:val="010302"/>
          <w:sz w:val="20"/>
          <w:szCs w:val="20"/>
        </w:rPr>
        <w:t xml:space="preserve">rder </w:t>
      </w:r>
      <w:r w:rsidR="00311C8E">
        <w:rPr>
          <w:rFonts w:cs="Times New Roman"/>
          <w:color w:val="010302"/>
          <w:sz w:val="20"/>
          <w:szCs w:val="20"/>
        </w:rPr>
        <w:t>(</w:t>
      </w:r>
      <w:r w:rsidRPr="006E744C">
        <w:rPr>
          <w:rFonts w:cs="Times New Roman"/>
          <w:color w:val="010302"/>
          <w:sz w:val="20"/>
          <w:szCs w:val="20"/>
        </w:rPr>
        <w:t>including an order relating to the conduct of the final hearing</w:t>
      </w:r>
      <w:r w:rsidR="00311C8E">
        <w:rPr>
          <w:rFonts w:cs="Times New Roman"/>
          <w:color w:val="010302"/>
          <w:sz w:val="20"/>
          <w:szCs w:val="20"/>
        </w:rPr>
        <w:t>)</w:t>
      </w:r>
      <w:r w:rsidRPr="006E744C">
        <w:rPr>
          <w:rFonts w:cs="Times New Roman"/>
          <w:color w:val="010302"/>
          <w:sz w:val="20"/>
          <w:szCs w:val="20"/>
        </w:rPr>
        <w:t>;</w:t>
      </w:r>
    </w:p>
    <w:p w14:paraId="49339F20" w14:textId="77777777" w:rsidR="00B968CF" w:rsidRPr="006E744C" w:rsidRDefault="00B968CF" w:rsidP="0091566F">
      <w:pPr>
        <w:pStyle w:val="ListParagraph"/>
        <w:tabs>
          <w:tab w:val="left" w:pos="0"/>
        </w:tabs>
        <w:ind w:left="1985" w:right="567"/>
        <w:jc w:val="both"/>
        <w:rPr>
          <w:rFonts w:cs="Times New Roman"/>
          <w:color w:val="010302"/>
          <w:sz w:val="20"/>
          <w:szCs w:val="20"/>
        </w:rPr>
      </w:pPr>
      <w:r w:rsidRPr="006E744C">
        <w:rPr>
          <w:rFonts w:cs="Times New Roman"/>
          <w:color w:val="010302"/>
          <w:sz w:val="20"/>
          <w:szCs w:val="20"/>
        </w:rPr>
        <w:t>(b) determine any preliminary issue;</w:t>
      </w:r>
    </w:p>
    <w:p w14:paraId="5C6C69D0" w14:textId="76A47A15" w:rsidR="00B968CF" w:rsidRPr="006E744C" w:rsidRDefault="00B968CF" w:rsidP="0091566F">
      <w:pPr>
        <w:pStyle w:val="ListParagraph"/>
        <w:tabs>
          <w:tab w:val="left" w:pos="0"/>
        </w:tabs>
        <w:ind w:left="1985" w:right="567"/>
        <w:jc w:val="both"/>
        <w:rPr>
          <w:rFonts w:cs="Times New Roman"/>
          <w:color w:val="010302"/>
          <w:sz w:val="20"/>
          <w:szCs w:val="20"/>
        </w:rPr>
      </w:pPr>
      <w:r w:rsidRPr="006E744C">
        <w:rPr>
          <w:rFonts w:cs="Times New Roman"/>
          <w:color w:val="010302"/>
          <w:sz w:val="20"/>
          <w:szCs w:val="20"/>
        </w:rPr>
        <w:t xml:space="preserve">(c) consider whether a </w:t>
      </w:r>
      <w:r w:rsidR="00311C8E">
        <w:rPr>
          <w:rFonts w:cs="Times New Roman"/>
          <w:color w:val="010302"/>
          <w:sz w:val="20"/>
          <w:szCs w:val="20"/>
        </w:rPr>
        <w:t>c</w:t>
      </w:r>
      <w:r w:rsidR="005C41F1">
        <w:rPr>
          <w:rFonts w:cs="Times New Roman"/>
          <w:color w:val="010302"/>
          <w:sz w:val="20"/>
          <w:szCs w:val="20"/>
        </w:rPr>
        <w:t>laim</w:t>
      </w:r>
      <w:r w:rsidRPr="006E744C">
        <w:rPr>
          <w:rFonts w:cs="Times New Roman"/>
          <w:color w:val="010302"/>
          <w:sz w:val="20"/>
          <w:szCs w:val="20"/>
        </w:rPr>
        <w:t xml:space="preserve"> or </w:t>
      </w:r>
      <w:r w:rsidR="00311C8E">
        <w:rPr>
          <w:rFonts w:cs="Times New Roman"/>
          <w:color w:val="010302"/>
          <w:sz w:val="20"/>
          <w:szCs w:val="20"/>
        </w:rPr>
        <w:t>r</w:t>
      </w:r>
      <w:r w:rsidRPr="006E744C">
        <w:rPr>
          <w:rFonts w:cs="Times New Roman"/>
          <w:color w:val="010302"/>
          <w:sz w:val="20"/>
          <w:szCs w:val="20"/>
        </w:rPr>
        <w:t>esponse</w:t>
      </w:r>
      <w:r w:rsidR="00311C8E">
        <w:rPr>
          <w:rFonts w:cs="Times New Roman"/>
          <w:color w:val="010302"/>
          <w:sz w:val="20"/>
          <w:szCs w:val="20"/>
        </w:rPr>
        <w:t>,</w:t>
      </w:r>
      <w:r w:rsidRPr="006E744C">
        <w:rPr>
          <w:rFonts w:cs="Times New Roman"/>
          <w:color w:val="010302"/>
          <w:sz w:val="20"/>
          <w:szCs w:val="20"/>
        </w:rPr>
        <w:t xml:space="preserve"> or any part</w:t>
      </w:r>
      <w:r w:rsidR="00311C8E">
        <w:rPr>
          <w:rFonts w:cs="Times New Roman"/>
          <w:color w:val="010302"/>
          <w:sz w:val="20"/>
          <w:szCs w:val="20"/>
        </w:rPr>
        <w:t>,</w:t>
      </w:r>
      <w:r w:rsidRPr="006E744C">
        <w:rPr>
          <w:rFonts w:cs="Times New Roman"/>
          <w:color w:val="010302"/>
          <w:sz w:val="20"/>
          <w:szCs w:val="20"/>
        </w:rPr>
        <w:t xml:space="preserve"> should be struck out under </w:t>
      </w:r>
      <w:r w:rsidR="00311C8E">
        <w:rPr>
          <w:rFonts w:cs="Times New Roman"/>
          <w:color w:val="010302"/>
          <w:sz w:val="20"/>
          <w:szCs w:val="20"/>
        </w:rPr>
        <w:t>r</w:t>
      </w:r>
      <w:r w:rsidRPr="006E744C">
        <w:rPr>
          <w:rFonts w:cs="Times New Roman"/>
          <w:color w:val="010302"/>
          <w:sz w:val="20"/>
          <w:szCs w:val="20"/>
        </w:rPr>
        <w:t>ule 37;</w:t>
      </w:r>
    </w:p>
    <w:p w14:paraId="46242C93" w14:textId="6BD6A544" w:rsidR="00B968CF" w:rsidRPr="006E744C" w:rsidRDefault="00B968CF" w:rsidP="0091566F">
      <w:pPr>
        <w:pStyle w:val="ListParagraph"/>
        <w:tabs>
          <w:tab w:val="left" w:pos="0"/>
        </w:tabs>
        <w:ind w:left="1985" w:right="567"/>
        <w:jc w:val="both"/>
        <w:rPr>
          <w:rFonts w:cs="Times New Roman"/>
          <w:color w:val="010302"/>
          <w:sz w:val="20"/>
          <w:szCs w:val="20"/>
        </w:rPr>
      </w:pPr>
      <w:r w:rsidRPr="006E744C">
        <w:rPr>
          <w:rFonts w:cs="Times New Roman"/>
          <w:color w:val="010302"/>
          <w:sz w:val="20"/>
          <w:szCs w:val="20"/>
        </w:rPr>
        <w:t xml:space="preserve">(d) make a </w:t>
      </w:r>
      <w:r w:rsidR="00311C8E">
        <w:rPr>
          <w:rFonts w:cs="Times New Roman"/>
          <w:color w:val="010302"/>
          <w:sz w:val="20"/>
          <w:szCs w:val="20"/>
        </w:rPr>
        <w:t>d</w:t>
      </w:r>
      <w:r w:rsidRPr="006E744C">
        <w:rPr>
          <w:rFonts w:cs="Times New Roman"/>
          <w:color w:val="010302"/>
          <w:sz w:val="20"/>
          <w:szCs w:val="20"/>
        </w:rPr>
        <w:t xml:space="preserve">eposit </w:t>
      </w:r>
      <w:r w:rsidR="00311C8E">
        <w:rPr>
          <w:rFonts w:cs="Times New Roman"/>
          <w:color w:val="010302"/>
          <w:sz w:val="20"/>
          <w:szCs w:val="20"/>
        </w:rPr>
        <w:t>o</w:t>
      </w:r>
      <w:r w:rsidRPr="006E744C">
        <w:rPr>
          <w:rFonts w:cs="Times New Roman"/>
          <w:color w:val="010302"/>
          <w:sz w:val="20"/>
          <w:szCs w:val="20"/>
        </w:rPr>
        <w:t xml:space="preserve">rder under </w:t>
      </w:r>
      <w:r w:rsidR="00311C8E">
        <w:rPr>
          <w:rFonts w:cs="Times New Roman"/>
          <w:color w:val="010302"/>
          <w:sz w:val="20"/>
          <w:szCs w:val="20"/>
        </w:rPr>
        <w:t>r</w:t>
      </w:r>
      <w:r w:rsidRPr="006E744C">
        <w:rPr>
          <w:rFonts w:cs="Times New Roman"/>
          <w:color w:val="010302"/>
          <w:sz w:val="20"/>
          <w:szCs w:val="20"/>
        </w:rPr>
        <w:t>ule 39;</w:t>
      </w:r>
    </w:p>
    <w:p w14:paraId="74CEDF56" w14:textId="1E37BF85" w:rsidR="00B968CF" w:rsidRPr="006E744C" w:rsidRDefault="00B968CF" w:rsidP="0091566F">
      <w:pPr>
        <w:pStyle w:val="ListParagraph"/>
        <w:tabs>
          <w:tab w:val="left" w:pos="0"/>
        </w:tabs>
        <w:ind w:left="1985" w:right="567"/>
        <w:jc w:val="both"/>
        <w:rPr>
          <w:rFonts w:cs="Times New Roman"/>
          <w:color w:val="010302"/>
          <w:sz w:val="20"/>
          <w:szCs w:val="20"/>
        </w:rPr>
      </w:pPr>
      <w:r w:rsidRPr="006E744C">
        <w:rPr>
          <w:rFonts w:cs="Times New Roman"/>
          <w:color w:val="010302"/>
          <w:sz w:val="20"/>
          <w:szCs w:val="20"/>
        </w:rPr>
        <w:t xml:space="preserve">(e) explore the possibility of settlement or alternative dispute resolution, </w:t>
      </w:r>
      <w:r w:rsidR="00311C8E">
        <w:rPr>
          <w:rFonts w:cs="Times New Roman"/>
          <w:color w:val="010302"/>
          <w:sz w:val="20"/>
          <w:szCs w:val="20"/>
        </w:rPr>
        <w:t>(</w:t>
      </w:r>
      <w:r w:rsidRPr="006E744C">
        <w:rPr>
          <w:rFonts w:cs="Times New Roman"/>
          <w:color w:val="010302"/>
          <w:sz w:val="20"/>
          <w:szCs w:val="20"/>
        </w:rPr>
        <w:t>including judicial mediation</w:t>
      </w:r>
      <w:r w:rsidR="00311C8E">
        <w:rPr>
          <w:rFonts w:cs="Times New Roman"/>
          <w:color w:val="010302"/>
          <w:sz w:val="20"/>
          <w:szCs w:val="20"/>
        </w:rPr>
        <w:t>)</w:t>
      </w:r>
      <w:r w:rsidRPr="006E744C">
        <w:rPr>
          <w:rFonts w:cs="Times New Roman"/>
          <w:color w:val="010302"/>
          <w:sz w:val="20"/>
          <w:szCs w:val="20"/>
        </w:rPr>
        <w:t>.</w:t>
      </w:r>
    </w:p>
    <w:p w14:paraId="3168C946" w14:textId="77777777" w:rsidR="00311C8E" w:rsidRDefault="00B968CF" w:rsidP="0091566F">
      <w:pPr>
        <w:pStyle w:val="ListParagraph"/>
        <w:tabs>
          <w:tab w:val="left" w:pos="0"/>
        </w:tabs>
        <w:ind w:left="1440" w:right="567"/>
        <w:jc w:val="both"/>
        <w:rPr>
          <w:rFonts w:cs="Times New Roman"/>
          <w:color w:val="010302"/>
          <w:sz w:val="20"/>
          <w:szCs w:val="20"/>
        </w:rPr>
      </w:pPr>
      <w:r w:rsidRPr="003667F0">
        <w:rPr>
          <w:rFonts w:cs="Times New Roman"/>
          <w:color w:val="010302"/>
          <w:sz w:val="20"/>
          <w:szCs w:val="20"/>
        </w:rPr>
        <w:t xml:space="preserve">2. There may be more than one preliminary hearing in any case. </w:t>
      </w:r>
    </w:p>
    <w:p w14:paraId="3F5AE193" w14:textId="60B38136" w:rsidR="00B968CF" w:rsidRDefault="00311C8E" w:rsidP="0091566F">
      <w:pPr>
        <w:pStyle w:val="ListParagraph"/>
        <w:tabs>
          <w:tab w:val="left" w:pos="0"/>
        </w:tabs>
        <w:ind w:left="1440" w:right="567"/>
        <w:jc w:val="both"/>
        <w:rPr>
          <w:rFonts w:cs="Times New Roman"/>
          <w:color w:val="010302"/>
          <w:sz w:val="20"/>
          <w:szCs w:val="20"/>
        </w:rPr>
      </w:pPr>
      <w:r>
        <w:rPr>
          <w:rFonts w:cs="Times New Roman"/>
          <w:color w:val="010302"/>
          <w:sz w:val="20"/>
          <w:szCs w:val="20"/>
        </w:rPr>
        <w:t>3. “P</w:t>
      </w:r>
      <w:r w:rsidR="00B968CF" w:rsidRPr="003667F0">
        <w:rPr>
          <w:rFonts w:cs="Times New Roman"/>
          <w:color w:val="010302"/>
          <w:sz w:val="20"/>
          <w:szCs w:val="20"/>
        </w:rPr>
        <w:t>reliminary issue</w:t>
      </w:r>
      <w:r>
        <w:rPr>
          <w:rFonts w:cs="Times New Roman"/>
          <w:color w:val="010302"/>
          <w:sz w:val="20"/>
          <w:szCs w:val="20"/>
        </w:rPr>
        <w:t>”</w:t>
      </w:r>
      <w:r w:rsidR="00B968CF" w:rsidRPr="003667F0">
        <w:rPr>
          <w:rFonts w:cs="Times New Roman"/>
          <w:color w:val="010302"/>
          <w:sz w:val="20"/>
          <w:szCs w:val="20"/>
        </w:rPr>
        <w:t xml:space="preserve"> means</w:t>
      </w:r>
      <w:r>
        <w:rPr>
          <w:rFonts w:cs="Times New Roman"/>
          <w:color w:val="010302"/>
          <w:sz w:val="20"/>
          <w:szCs w:val="20"/>
        </w:rPr>
        <w:t>,</w:t>
      </w:r>
      <w:r w:rsidR="00B968CF" w:rsidRPr="003667F0">
        <w:rPr>
          <w:rFonts w:cs="Times New Roman"/>
          <w:color w:val="010302"/>
          <w:sz w:val="20"/>
          <w:szCs w:val="20"/>
        </w:rPr>
        <w:t xml:space="preserve"> as regards any complaint</w:t>
      </w:r>
      <w:r>
        <w:rPr>
          <w:rFonts w:cs="Times New Roman"/>
          <w:color w:val="010302"/>
          <w:sz w:val="20"/>
          <w:szCs w:val="20"/>
        </w:rPr>
        <w:t xml:space="preserve">, any </w:t>
      </w:r>
      <w:r w:rsidR="00B968CF" w:rsidRPr="003667F0">
        <w:rPr>
          <w:rFonts w:cs="Times New Roman"/>
          <w:color w:val="010302"/>
          <w:sz w:val="20"/>
          <w:szCs w:val="20"/>
        </w:rPr>
        <w:t xml:space="preserve">substantive issue which may determine liability, </w:t>
      </w:r>
      <w:r>
        <w:rPr>
          <w:rFonts w:cs="Times New Roman"/>
          <w:color w:val="010302"/>
          <w:sz w:val="20"/>
          <w:szCs w:val="20"/>
        </w:rPr>
        <w:t>(</w:t>
      </w:r>
      <w:r w:rsidR="00B968CF" w:rsidRPr="003667F0">
        <w:rPr>
          <w:rFonts w:cs="Times New Roman"/>
          <w:color w:val="010302"/>
          <w:sz w:val="20"/>
          <w:szCs w:val="20"/>
        </w:rPr>
        <w:t>for example</w:t>
      </w:r>
      <w:r>
        <w:rPr>
          <w:rFonts w:cs="Times New Roman"/>
          <w:color w:val="010302"/>
          <w:sz w:val="20"/>
          <w:szCs w:val="20"/>
        </w:rPr>
        <w:t>,</w:t>
      </w:r>
      <w:r w:rsidR="00B968CF" w:rsidRPr="003667F0">
        <w:rPr>
          <w:rFonts w:cs="Times New Roman"/>
          <w:color w:val="010302"/>
          <w:sz w:val="20"/>
          <w:szCs w:val="20"/>
        </w:rPr>
        <w:t xml:space="preserve"> an issue as to jurisdiction or as to whether an employee was dismissed</w:t>
      </w:r>
      <w:r>
        <w:rPr>
          <w:rFonts w:cs="Times New Roman"/>
          <w:color w:val="010302"/>
          <w:sz w:val="20"/>
          <w:szCs w:val="20"/>
        </w:rPr>
        <w:t>)</w:t>
      </w:r>
      <w:r w:rsidR="00B968CF" w:rsidRPr="003667F0">
        <w:rPr>
          <w:rFonts w:cs="Times New Roman"/>
          <w:color w:val="010302"/>
          <w:sz w:val="20"/>
          <w:szCs w:val="20"/>
        </w:rPr>
        <w:t>.</w:t>
      </w:r>
    </w:p>
    <w:p w14:paraId="6170EB4D" w14:textId="77777777" w:rsidR="00311C8E" w:rsidRPr="003667F0" w:rsidRDefault="00311C8E" w:rsidP="0091566F">
      <w:pPr>
        <w:pStyle w:val="ListParagraph"/>
        <w:tabs>
          <w:tab w:val="left" w:pos="0"/>
        </w:tabs>
        <w:ind w:left="1440" w:right="567"/>
        <w:jc w:val="both"/>
        <w:rPr>
          <w:rFonts w:cs="Times New Roman"/>
          <w:color w:val="010302"/>
          <w:sz w:val="20"/>
          <w:szCs w:val="20"/>
        </w:rPr>
      </w:pPr>
    </w:p>
    <w:p w14:paraId="16696033" w14:textId="77777777" w:rsidR="00311C8E" w:rsidRDefault="00B968CF" w:rsidP="0091566F">
      <w:pPr>
        <w:pStyle w:val="ListParagraph"/>
        <w:tabs>
          <w:tab w:val="left" w:pos="0"/>
        </w:tabs>
        <w:ind w:left="1440" w:right="567"/>
        <w:jc w:val="both"/>
        <w:rPr>
          <w:rFonts w:cs="Times New Roman"/>
          <w:color w:val="010302"/>
          <w:sz w:val="20"/>
          <w:szCs w:val="20"/>
        </w:rPr>
      </w:pPr>
      <w:r w:rsidRPr="00311C8E">
        <w:rPr>
          <w:rFonts w:cs="Times New Roman"/>
          <w:color w:val="010302"/>
          <w:sz w:val="20"/>
          <w:szCs w:val="20"/>
          <w:u w:val="single"/>
        </w:rPr>
        <w:t>54</w:t>
      </w:r>
      <w:r w:rsidR="00E954DD" w:rsidRPr="00311C8E">
        <w:rPr>
          <w:rFonts w:cs="Times New Roman"/>
          <w:color w:val="010302"/>
          <w:sz w:val="20"/>
          <w:szCs w:val="20"/>
          <w:u w:val="single"/>
        </w:rPr>
        <w:t>.</w:t>
      </w:r>
      <w:r w:rsidR="00311C8E">
        <w:rPr>
          <w:rFonts w:cs="Times New Roman"/>
          <w:color w:val="010302"/>
          <w:sz w:val="20"/>
          <w:szCs w:val="20"/>
          <w:u w:val="single"/>
        </w:rPr>
        <w:t>F</w:t>
      </w:r>
      <w:r w:rsidRPr="00311C8E">
        <w:rPr>
          <w:rFonts w:cs="Times New Roman"/>
          <w:color w:val="010302"/>
          <w:sz w:val="20"/>
          <w:szCs w:val="20"/>
          <w:u w:val="single"/>
        </w:rPr>
        <w:t>ixing of preliminary hearings</w:t>
      </w:r>
      <w:r w:rsidRPr="003667F0">
        <w:rPr>
          <w:rFonts w:cs="Times New Roman"/>
          <w:color w:val="010302"/>
          <w:sz w:val="20"/>
          <w:szCs w:val="20"/>
        </w:rPr>
        <w:t xml:space="preserve">  </w:t>
      </w:r>
    </w:p>
    <w:p w14:paraId="1C8C9DA5" w14:textId="1A9F5DCB" w:rsidR="00B968CF" w:rsidRPr="003667F0" w:rsidRDefault="00B968CF" w:rsidP="0091566F">
      <w:pPr>
        <w:pStyle w:val="ListParagraph"/>
        <w:tabs>
          <w:tab w:val="left" w:pos="0"/>
        </w:tabs>
        <w:ind w:left="1440" w:right="567"/>
        <w:jc w:val="both"/>
        <w:rPr>
          <w:rFonts w:cs="Times New Roman"/>
          <w:color w:val="010302"/>
          <w:sz w:val="20"/>
          <w:szCs w:val="20"/>
        </w:rPr>
      </w:pPr>
      <w:r w:rsidRPr="003667F0">
        <w:rPr>
          <w:rFonts w:cs="Times New Roman"/>
          <w:color w:val="010302"/>
          <w:sz w:val="20"/>
          <w:szCs w:val="20"/>
        </w:rPr>
        <w:t>A preliminary hearing may be directed by the Tribunal on its own initiative at any time or as a result of an application by a party</w:t>
      </w:r>
      <w:r w:rsidR="00311C8E">
        <w:rPr>
          <w:rFonts w:cs="Times New Roman"/>
          <w:color w:val="010302"/>
          <w:sz w:val="20"/>
          <w:szCs w:val="20"/>
        </w:rPr>
        <w:t xml:space="preserve">. </w:t>
      </w:r>
      <w:r w:rsidRPr="003667F0">
        <w:rPr>
          <w:rFonts w:cs="Times New Roman"/>
          <w:color w:val="010302"/>
          <w:sz w:val="20"/>
          <w:szCs w:val="20"/>
        </w:rPr>
        <w:t xml:space="preserve"> The Tribunal should give the parties reasonable notice of the date of the hearing and in the case of a hearing involving preliminary issues</w:t>
      </w:r>
      <w:r w:rsidR="006261E7">
        <w:rPr>
          <w:rFonts w:cs="Times New Roman"/>
          <w:color w:val="010302"/>
          <w:sz w:val="20"/>
          <w:szCs w:val="20"/>
        </w:rPr>
        <w:t>,</w:t>
      </w:r>
      <w:r w:rsidRPr="003667F0">
        <w:rPr>
          <w:rFonts w:cs="Times New Roman"/>
          <w:color w:val="010302"/>
          <w:sz w:val="20"/>
          <w:szCs w:val="20"/>
        </w:rPr>
        <w:t xml:space="preserve"> at least 14 days’ notice shall be given and the </w:t>
      </w:r>
      <w:r w:rsidR="006261E7">
        <w:rPr>
          <w:rFonts w:cs="Times New Roman"/>
          <w:color w:val="010302"/>
          <w:sz w:val="20"/>
          <w:szCs w:val="20"/>
        </w:rPr>
        <w:t>n</w:t>
      </w:r>
      <w:r w:rsidRPr="003667F0">
        <w:rPr>
          <w:rFonts w:cs="Times New Roman"/>
          <w:color w:val="010302"/>
          <w:sz w:val="20"/>
          <w:szCs w:val="20"/>
        </w:rPr>
        <w:t xml:space="preserve">otice shall specify the preliminary issues that are to be or may be decided at the hearing. </w:t>
      </w:r>
    </w:p>
    <w:p w14:paraId="66C4E233" w14:textId="190E4149" w:rsidR="003667F0" w:rsidRPr="006261E7" w:rsidRDefault="00B968CF" w:rsidP="006261E7">
      <w:pPr>
        <w:pStyle w:val="ListParagraph"/>
        <w:tabs>
          <w:tab w:val="left" w:pos="0"/>
        </w:tabs>
        <w:spacing w:before="240" w:line="360" w:lineRule="auto"/>
        <w:jc w:val="both"/>
        <w:rPr>
          <w:rFonts w:cs="Times New Roman"/>
          <w:color w:val="010302"/>
          <w:sz w:val="24"/>
          <w:szCs w:val="24"/>
        </w:rPr>
      </w:pPr>
      <w:r w:rsidRPr="00AA4F7B">
        <w:rPr>
          <w:rFonts w:cs="Times New Roman"/>
          <w:color w:val="010302"/>
          <w:sz w:val="24"/>
          <w:szCs w:val="24"/>
        </w:rPr>
        <w:t>28.</w:t>
      </w:r>
      <w:r w:rsidRPr="00AA4F7B">
        <w:rPr>
          <w:rFonts w:cs="Times New Roman"/>
          <w:color w:val="010302"/>
          <w:sz w:val="24"/>
          <w:szCs w:val="24"/>
        </w:rPr>
        <w:tab/>
        <w:t>There is, in my judgment, a wealth of authority regarding</w:t>
      </w:r>
      <w:r w:rsidR="006261E7">
        <w:rPr>
          <w:rFonts w:cs="Times New Roman"/>
          <w:color w:val="010302"/>
          <w:sz w:val="24"/>
          <w:szCs w:val="24"/>
        </w:rPr>
        <w:t xml:space="preserve"> the</w:t>
      </w:r>
      <w:r w:rsidRPr="00AA4F7B">
        <w:rPr>
          <w:rFonts w:cs="Times New Roman"/>
          <w:color w:val="010302"/>
          <w:sz w:val="24"/>
          <w:szCs w:val="24"/>
        </w:rPr>
        <w:t xml:space="preserve"> strike-out </w:t>
      </w:r>
      <w:r w:rsidR="006261E7">
        <w:rPr>
          <w:rFonts w:cs="Times New Roman"/>
          <w:color w:val="010302"/>
          <w:sz w:val="24"/>
          <w:szCs w:val="24"/>
        </w:rPr>
        <w:t xml:space="preserve">of discrimination claims, </w:t>
      </w:r>
      <w:r w:rsidRPr="00AA4F7B">
        <w:rPr>
          <w:rFonts w:cs="Times New Roman"/>
          <w:color w:val="010302"/>
          <w:sz w:val="24"/>
          <w:szCs w:val="24"/>
        </w:rPr>
        <w:t xml:space="preserve">and how Tribunals should proceed when they are considering striking out </w:t>
      </w:r>
      <w:r w:rsidR="006261E7">
        <w:rPr>
          <w:rFonts w:cs="Times New Roman"/>
          <w:color w:val="010302"/>
          <w:sz w:val="24"/>
          <w:szCs w:val="24"/>
        </w:rPr>
        <w:t>c</w:t>
      </w:r>
      <w:r w:rsidR="005C41F1">
        <w:rPr>
          <w:rFonts w:cs="Times New Roman"/>
          <w:color w:val="010302"/>
          <w:sz w:val="24"/>
          <w:szCs w:val="24"/>
        </w:rPr>
        <w:t>laim</w:t>
      </w:r>
      <w:r w:rsidRPr="00AA4F7B">
        <w:rPr>
          <w:rFonts w:cs="Times New Roman"/>
          <w:color w:val="010302"/>
          <w:sz w:val="24"/>
          <w:szCs w:val="24"/>
        </w:rPr>
        <w:t>s. The</w:t>
      </w:r>
      <w:r w:rsidR="006261E7">
        <w:rPr>
          <w:rFonts w:cs="Times New Roman"/>
          <w:color w:val="010302"/>
          <w:sz w:val="24"/>
          <w:szCs w:val="24"/>
        </w:rPr>
        <w:t xml:space="preserve"> principles are, for example, </w:t>
      </w:r>
      <w:r w:rsidRPr="00AA4F7B">
        <w:rPr>
          <w:rFonts w:cs="Times New Roman"/>
          <w:color w:val="010302"/>
          <w:sz w:val="24"/>
          <w:szCs w:val="24"/>
        </w:rPr>
        <w:t>set out in</w:t>
      </w:r>
      <w:proofErr w:type="gramStart"/>
      <w:r w:rsidRPr="00AA4F7B">
        <w:rPr>
          <w:rFonts w:cs="Times New Roman"/>
          <w:color w:val="010302"/>
          <w:sz w:val="24"/>
          <w:szCs w:val="24"/>
        </w:rPr>
        <w:t xml:space="preserve">, in particular, </w:t>
      </w:r>
      <w:r w:rsidRPr="00AA4F7B">
        <w:rPr>
          <w:rFonts w:cs="Times New Roman"/>
          <w:b/>
          <w:bCs/>
          <w:iCs/>
          <w:color w:val="010302"/>
          <w:sz w:val="24"/>
          <w:szCs w:val="24"/>
          <w:u w:val="single"/>
        </w:rPr>
        <w:t>Mechkarov</w:t>
      </w:r>
      <w:proofErr w:type="gramEnd"/>
      <w:r w:rsidRPr="00AA4F7B">
        <w:rPr>
          <w:rFonts w:cs="Times New Roman"/>
          <w:b/>
          <w:bCs/>
          <w:iCs/>
          <w:color w:val="010302"/>
          <w:sz w:val="24"/>
          <w:szCs w:val="24"/>
          <w:u w:val="single"/>
        </w:rPr>
        <w:t xml:space="preserve"> v Citibank</w:t>
      </w:r>
      <w:r w:rsidRPr="00AA4F7B">
        <w:rPr>
          <w:rFonts w:cs="Times New Roman"/>
          <w:color w:val="010302"/>
          <w:sz w:val="24"/>
          <w:szCs w:val="24"/>
        </w:rPr>
        <w:t xml:space="preserve"> [2016] ICR 112</w:t>
      </w:r>
      <w:r w:rsidR="007A23FF">
        <w:rPr>
          <w:rFonts w:cs="Times New Roman"/>
          <w:color w:val="010302"/>
          <w:sz w:val="24"/>
          <w:szCs w:val="24"/>
        </w:rPr>
        <w:t>1</w:t>
      </w:r>
      <w:r w:rsidRPr="00AA4F7B">
        <w:rPr>
          <w:rFonts w:cs="Times New Roman"/>
          <w:color w:val="010302"/>
          <w:sz w:val="24"/>
          <w:szCs w:val="24"/>
        </w:rPr>
        <w:t>. They are,</w:t>
      </w:r>
      <w:r w:rsidR="007D76D0">
        <w:rPr>
          <w:rFonts w:cs="Times New Roman"/>
          <w:color w:val="010302"/>
          <w:sz w:val="24"/>
          <w:szCs w:val="24"/>
        </w:rPr>
        <w:t xml:space="preserve"> however</w:t>
      </w:r>
      <w:r w:rsidR="003626E8">
        <w:rPr>
          <w:rFonts w:cs="Times New Roman"/>
          <w:color w:val="010302"/>
          <w:sz w:val="24"/>
          <w:szCs w:val="24"/>
        </w:rPr>
        <w:t>,</w:t>
      </w:r>
      <w:r w:rsidRPr="006261E7">
        <w:rPr>
          <w:rFonts w:cs="Times New Roman"/>
          <w:color w:val="010302"/>
          <w:sz w:val="24"/>
          <w:szCs w:val="24"/>
        </w:rPr>
        <w:t xml:space="preserve"> worth re-stating</w:t>
      </w:r>
      <w:r w:rsidR="006261E7">
        <w:rPr>
          <w:rFonts w:cs="Times New Roman"/>
          <w:color w:val="010302"/>
          <w:sz w:val="24"/>
          <w:szCs w:val="24"/>
        </w:rPr>
        <w:t>:</w:t>
      </w:r>
      <w:r w:rsidRPr="006261E7">
        <w:rPr>
          <w:rFonts w:cs="Times New Roman"/>
          <w:color w:val="010302"/>
          <w:sz w:val="24"/>
          <w:szCs w:val="24"/>
        </w:rPr>
        <w:t xml:space="preserve"> </w:t>
      </w:r>
    </w:p>
    <w:p w14:paraId="1D0C91CE" w14:textId="4AAD7FC6" w:rsidR="003626E8" w:rsidRDefault="006261E7" w:rsidP="006261E7">
      <w:pPr>
        <w:pStyle w:val="ListParagraph"/>
        <w:spacing w:line="360" w:lineRule="auto"/>
        <w:ind w:left="1418" w:right="567"/>
        <w:jc w:val="both"/>
        <w:rPr>
          <w:rFonts w:cs="Times New Roman"/>
          <w:color w:val="010302"/>
          <w:sz w:val="24"/>
          <w:szCs w:val="24"/>
        </w:rPr>
      </w:pPr>
      <w:r w:rsidRPr="006261E7">
        <w:rPr>
          <w:rFonts w:cs="Times New Roman"/>
          <w:color w:val="010302"/>
          <w:sz w:val="24"/>
          <w:szCs w:val="24"/>
        </w:rPr>
        <w:t>(1)</w:t>
      </w:r>
      <w:r>
        <w:rPr>
          <w:rFonts w:cs="Times New Roman"/>
          <w:color w:val="010302"/>
          <w:sz w:val="24"/>
          <w:szCs w:val="24"/>
        </w:rPr>
        <w:t xml:space="preserve"> </w:t>
      </w:r>
      <w:r w:rsidR="003626E8">
        <w:rPr>
          <w:rFonts w:cs="Times New Roman"/>
          <w:color w:val="010302"/>
          <w:sz w:val="24"/>
          <w:szCs w:val="24"/>
        </w:rPr>
        <w:t xml:space="preserve">Discrimination claims are </w:t>
      </w:r>
      <w:r w:rsidR="006E6FC9">
        <w:rPr>
          <w:rFonts w:cs="Times New Roman"/>
          <w:color w:val="010302"/>
          <w:sz w:val="24"/>
          <w:szCs w:val="24"/>
        </w:rPr>
        <w:t xml:space="preserve">generally </w:t>
      </w:r>
      <w:proofErr w:type="gramStart"/>
      <w:r w:rsidR="003626E8">
        <w:rPr>
          <w:rFonts w:cs="Times New Roman"/>
          <w:color w:val="010302"/>
          <w:sz w:val="24"/>
          <w:szCs w:val="24"/>
        </w:rPr>
        <w:t>fact</w:t>
      </w:r>
      <w:r w:rsidR="006E6FC9">
        <w:rPr>
          <w:rFonts w:cs="Times New Roman"/>
          <w:color w:val="010302"/>
          <w:sz w:val="24"/>
          <w:szCs w:val="24"/>
        </w:rPr>
        <w:t>-</w:t>
      </w:r>
      <w:r w:rsidR="003626E8">
        <w:rPr>
          <w:rFonts w:cs="Times New Roman"/>
          <w:color w:val="010302"/>
          <w:sz w:val="24"/>
          <w:szCs w:val="24"/>
        </w:rPr>
        <w:t>sensitive</w:t>
      </w:r>
      <w:proofErr w:type="gramEnd"/>
      <w:r w:rsidR="003626E8">
        <w:rPr>
          <w:rFonts w:cs="Times New Roman"/>
          <w:color w:val="010302"/>
          <w:sz w:val="24"/>
          <w:szCs w:val="24"/>
        </w:rPr>
        <w:t>.</w:t>
      </w:r>
      <w:r w:rsidR="00D92886">
        <w:rPr>
          <w:rFonts w:cs="Times New Roman"/>
          <w:color w:val="010302"/>
          <w:sz w:val="24"/>
          <w:szCs w:val="24"/>
        </w:rPr>
        <w:t xml:space="preserve"> Their proper determination is always vital in our pluralistic society.</w:t>
      </w:r>
    </w:p>
    <w:p w14:paraId="5988833B" w14:textId="2AAC60B4" w:rsidR="00B968CF" w:rsidRPr="006261E7" w:rsidRDefault="003626E8" w:rsidP="006261E7">
      <w:pPr>
        <w:pStyle w:val="ListParagraph"/>
        <w:spacing w:line="360" w:lineRule="auto"/>
        <w:ind w:left="1418" w:right="567"/>
        <w:jc w:val="both"/>
        <w:rPr>
          <w:rFonts w:cs="Times New Roman"/>
          <w:color w:val="010302"/>
          <w:sz w:val="24"/>
          <w:szCs w:val="24"/>
        </w:rPr>
      </w:pPr>
      <w:r>
        <w:rPr>
          <w:rFonts w:cs="Times New Roman"/>
          <w:color w:val="010302"/>
          <w:sz w:val="24"/>
          <w:szCs w:val="24"/>
        </w:rPr>
        <w:t xml:space="preserve">(2) </w:t>
      </w:r>
      <w:r w:rsidR="006261E7" w:rsidRPr="006261E7">
        <w:rPr>
          <w:rFonts w:cs="Times New Roman"/>
          <w:color w:val="010302"/>
          <w:sz w:val="24"/>
          <w:szCs w:val="24"/>
        </w:rPr>
        <w:t xml:space="preserve">It is </w:t>
      </w:r>
      <w:r w:rsidR="00B968CF" w:rsidRPr="006261E7">
        <w:rPr>
          <w:rFonts w:cs="Times New Roman"/>
          <w:color w:val="010302"/>
          <w:sz w:val="24"/>
          <w:szCs w:val="24"/>
        </w:rPr>
        <w:t xml:space="preserve">only in the clearest case </w:t>
      </w:r>
      <w:r w:rsidR="006261E7" w:rsidRPr="006261E7">
        <w:rPr>
          <w:rFonts w:cs="Times New Roman"/>
          <w:color w:val="010302"/>
          <w:sz w:val="24"/>
          <w:szCs w:val="24"/>
        </w:rPr>
        <w:t xml:space="preserve">that </w:t>
      </w:r>
      <w:r w:rsidR="00B968CF" w:rsidRPr="006261E7">
        <w:rPr>
          <w:rFonts w:cs="Times New Roman"/>
          <w:color w:val="010302"/>
          <w:sz w:val="24"/>
          <w:szCs w:val="24"/>
        </w:rPr>
        <w:t xml:space="preserve">a discrimination </w:t>
      </w:r>
      <w:r w:rsidR="006261E7" w:rsidRPr="006261E7">
        <w:rPr>
          <w:rFonts w:cs="Times New Roman"/>
          <w:color w:val="010302"/>
          <w:sz w:val="24"/>
          <w:szCs w:val="24"/>
        </w:rPr>
        <w:t>cl</w:t>
      </w:r>
      <w:r w:rsidR="005C41F1" w:rsidRPr="006261E7">
        <w:rPr>
          <w:rFonts w:cs="Times New Roman"/>
          <w:color w:val="010302"/>
          <w:sz w:val="24"/>
          <w:szCs w:val="24"/>
        </w:rPr>
        <w:t>aim</w:t>
      </w:r>
      <w:r w:rsidR="00B968CF" w:rsidRPr="006261E7">
        <w:rPr>
          <w:rFonts w:cs="Times New Roman"/>
          <w:color w:val="010302"/>
          <w:sz w:val="24"/>
          <w:szCs w:val="24"/>
        </w:rPr>
        <w:t xml:space="preserve"> </w:t>
      </w:r>
      <w:r w:rsidR="006261E7" w:rsidRPr="006261E7">
        <w:rPr>
          <w:rFonts w:cs="Times New Roman"/>
          <w:color w:val="010302"/>
          <w:sz w:val="24"/>
          <w:szCs w:val="24"/>
        </w:rPr>
        <w:t xml:space="preserve">should </w:t>
      </w:r>
      <w:r w:rsidR="00B968CF" w:rsidRPr="006261E7">
        <w:rPr>
          <w:rFonts w:cs="Times New Roman"/>
          <w:color w:val="010302"/>
          <w:sz w:val="24"/>
          <w:szCs w:val="24"/>
        </w:rPr>
        <w:t>be struck out</w:t>
      </w:r>
      <w:r w:rsidR="00A63912">
        <w:rPr>
          <w:rFonts w:cs="Times New Roman"/>
          <w:color w:val="010302"/>
          <w:sz w:val="24"/>
          <w:szCs w:val="24"/>
        </w:rPr>
        <w:t xml:space="preserve"> without determining key core disputed issues</w:t>
      </w:r>
      <w:r w:rsidR="00B968CF" w:rsidRPr="006261E7">
        <w:rPr>
          <w:rFonts w:cs="Times New Roman"/>
          <w:color w:val="010302"/>
          <w:sz w:val="24"/>
          <w:szCs w:val="24"/>
        </w:rPr>
        <w:t>;</w:t>
      </w:r>
    </w:p>
    <w:p w14:paraId="651F426D" w14:textId="6D7EF8CF" w:rsidR="00B968CF" w:rsidRPr="006261E7" w:rsidRDefault="00B968CF" w:rsidP="006261E7">
      <w:pPr>
        <w:pStyle w:val="ListParagraph"/>
        <w:spacing w:line="360" w:lineRule="auto"/>
        <w:ind w:left="1418" w:right="567"/>
        <w:jc w:val="both"/>
        <w:rPr>
          <w:rFonts w:cs="Times New Roman"/>
          <w:color w:val="010302"/>
          <w:sz w:val="24"/>
          <w:szCs w:val="24"/>
        </w:rPr>
      </w:pPr>
      <w:r w:rsidRPr="006261E7">
        <w:rPr>
          <w:rFonts w:cs="Times New Roman"/>
          <w:color w:val="010302"/>
          <w:sz w:val="24"/>
          <w:szCs w:val="24"/>
        </w:rPr>
        <w:tab/>
        <w:t xml:space="preserve">(2) </w:t>
      </w:r>
      <w:r w:rsidR="006261E7" w:rsidRPr="006261E7">
        <w:rPr>
          <w:rFonts w:cs="Times New Roman"/>
          <w:color w:val="010302"/>
          <w:sz w:val="24"/>
          <w:szCs w:val="24"/>
        </w:rPr>
        <w:t>W</w:t>
      </w:r>
      <w:r w:rsidRPr="006261E7">
        <w:rPr>
          <w:rFonts w:cs="Times New Roman"/>
          <w:color w:val="010302"/>
          <w:sz w:val="24"/>
          <w:szCs w:val="24"/>
        </w:rPr>
        <w:t xml:space="preserve">here there are core </w:t>
      </w:r>
      <w:r w:rsidR="003667F0" w:rsidRPr="006261E7">
        <w:rPr>
          <w:rFonts w:cs="Times New Roman"/>
          <w:color w:val="010302"/>
          <w:sz w:val="24"/>
          <w:szCs w:val="24"/>
        </w:rPr>
        <w:t>issues of</w:t>
      </w:r>
      <w:r w:rsidRPr="006261E7">
        <w:rPr>
          <w:rFonts w:cs="Times New Roman"/>
          <w:color w:val="010302"/>
          <w:sz w:val="24"/>
          <w:szCs w:val="24"/>
        </w:rPr>
        <w:t xml:space="preserve"> fact that turn to any extent on oral evidence</w:t>
      </w:r>
      <w:r w:rsidR="006261E7" w:rsidRPr="006261E7">
        <w:rPr>
          <w:rFonts w:cs="Times New Roman"/>
          <w:color w:val="010302"/>
          <w:sz w:val="24"/>
          <w:szCs w:val="24"/>
        </w:rPr>
        <w:t>,</w:t>
      </w:r>
      <w:r w:rsidRPr="006261E7">
        <w:rPr>
          <w:rFonts w:cs="Times New Roman"/>
          <w:color w:val="010302"/>
          <w:sz w:val="24"/>
          <w:szCs w:val="24"/>
        </w:rPr>
        <w:t xml:space="preserve"> they should not be decided without hearing oral evidence;</w:t>
      </w:r>
    </w:p>
    <w:p w14:paraId="7B444130" w14:textId="3F5BF8DB" w:rsidR="00B968CF" w:rsidRPr="006261E7" w:rsidRDefault="00B968CF" w:rsidP="006261E7">
      <w:pPr>
        <w:pStyle w:val="ListParagraph"/>
        <w:spacing w:line="360" w:lineRule="auto"/>
        <w:ind w:left="1418" w:right="567"/>
        <w:jc w:val="both"/>
        <w:rPr>
          <w:rFonts w:cs="Times New Roman"/>
          <w:color w:val="010302"/>
          <w:sz w:val="24"/>
          <w:szCs w:val="24"/>
        </w:rPr>
      </w:pPr>
      <w:r w:rsidRPr="006261E7">
        <w:rPr>
          <w:rFonts w:cs="Times New Roman"/>
          <w:color w:val="010302"/>
          <w:sz w:val="24"/>
          <w:szCs w:val="24"/>
        </w:rPr>
        <w:tab/>
        <w:t xml:space="preserve">(3) The </w:t>
      </w:r>
      <w:r w:rsidR="005C41F1" w:rsidRPr="006261E7">
        <w:rPr>
          <w:rFonts w:cs="Times New Roman"/>
          <w:color w:val="010302"/>
          <w:sz w:val="24"/>
          <w:szCs w:val="24"/>
        </w:rPr>
        <w:t>Claim</w:t>
      </w:r>
      <w:r w:rsidRPr="006261E7">
        <w:rPr>
          <w:rFonts w:cs="Times New Roman"/>
          <w:color w:val="010302"/>
          <w:sz w:val="24"/>
          <w:szCs w:val="24"/>
        </w:rPr>
        <w:t>ant’s case must</w:t>
      </w:r>
      <w:r w:rsidR="006261E7" w:rsidRPr="006261E7">
        <w:rPr>
          <w:rFonts w:cs="Times New Roman"/>
          <w:color w:val="010302"/>
          <w:sz w:val="24"/>
          <w:szCs w:val="24"/>
        </w:rPr>
        <w:t>,</w:t>
      </w:r>
      <w:r w:rsidRPr="006261E7">
        <w:rPr>
          <w:rFonts w:cs="Times New Roman"/>
          <w:color w:val="010302"/>
          <w:sz w:val="24"/>
          <w:szCs w:val="24"/>
        </w:rPr>
        <w:t xml:space="preserve"> ordinarily</w:t>
      </w:r>
      <w:r w:rsidR="006261E7" w:rsidRPr="006261E7">
        <w:rPr>
          <w:rFonts w:cs="Times New Roman"/>
          <w:color w:val="010302"/>
          <w:sz w:val="24"/>
          <w:szCs w:val="24"/>
        </w:rPr>
        <w:t>,</w:t>
      </w:r>
      <w:r w:rsidRPr="006261E7">
        <w:rPr>
          <w:rFonts w:cs="Times New Roman"/>
          <w:color w:val="010302"/>
          <w:sz w:val="24"/>
          <w:szCs w:val="24"/>
        </w:rPr>
        <w:t xml:space="preserve"> be taken at its highest;</w:t>
      </w:r>
    </w:p>
    <w:p w14:paraId="0485B65E" w14:textId="771AF7AB" w:rsidR="00B968CF" w:rsidRPr="006261E7" w:rsidRDefault="00B968CF" w:rsidP="006261E7">
      <w:pPr>
        <w:pStyle w:val="ListParagraph"/>
        <w:spacing w:line="360" w:lineRule="auto"/>
        <w:ind w:left="1418" w:right="567"/>
        <w:jc w:val="both"/>
        <w:rPr>
          <w:rFonts w:cs="Times New Roman"/>
          <w:color w:val="010302"/>
          <w:sz w:val="24"/>
          <w:szCs w:val="24"/>
        </w:rPr>
      </w:pPr>
      <w:r w:rsidRPr="006261E7">
        <w:rPr>
          <w:rFonts w:cs="Times New Roman"/>
          <w:color w:val="010302"/>
          <w:sz w:val="24"/>
          <w:szCs w:val="24"/>
        </w:rPr>
        <w:tab/>
        <w:t xml:space="preserve">(4) </w:t>
      </w:r>
      <w:r w:rsidR="006261E7" w:rsidRPr="006261E7">
        <w:rPr>
          <w:rFonts w:cs="Times New Roman"/>
          <w:color w:val="010302"/>
          <w:sz w:val="24"/>
          <w:szCs w:val="24"/>
        </w:rPr>
        <w:t>I</w:t>
      </w:r>
      <w:r w:rsidRPr="006261E7">
        <w:rPr>
          <w:rFonts w:cs="Times New Roman"/>
          <w:color w:val="010302"/>
          <w:sz w:val="24"/>
          <w:szCs w:val="24"/>
        </w:rPr>
        <w:t xml:space="preserve">f the </w:t>
      </w:r>
      <w:r w:rsidR="005C41F1" w:rsidRPr="006261E7">
        <w:rPr>
          <w:rFonts w:cs="Times New Roman"/>
          <w:color w:val="010302"/>
          <w:sz w:val="24"/>
          <w:szCs w:val="24"/>
        </w:rPr>
        <w:t>Claim</w:t>
      </w:r>
      <w:r w:rsidRPr="006261E7">
        <w:rPr>
          <w:rFonts w:cs="Times New Roman"/>
          <w:color w:val="010302"/>
          <w:sz w:val="24"/>
          <w:szCs w:val="24"/>
        </w:rPr>
        <w:t>ant’s case is conclusively disproved by</w:t>
      </w:r>
      <w:r w:rsidR="006261E7" w:rsidRPr="006261E7">
        <w:rPr>
          <w:rFonts w:cs="Times New Roman"/>
          <w:color w:val="010302"/>
          <w:sz w:val="24"/>
          <w:szCs w:val="24"/>
        </w:rPr>
        <w:t>,</w:t>
      </w:r>
      <w:r w:rsidRPr="006261E7">
        <w:rPr>
          <w:rFonts w:cs="Times New Roman"/>
          <w:color w:val="010302"/>
          <w:sz w:val="24"/>
          <w:szCs w:val="24"/>
        </w:rPr>
        <w:t xml:space="preserve"> or is totally and inexplicably inconsistent with undisputed contemporaneous documents</w:t>
      </w:r>
      <w:r w:rsidR="006261E7" w:rsidRPr="006261E7">
        <w:rPr>
          <w:rFonts w:cs="Times New Roman"/>
          <w:color w:val="010302"/>
          <w:sz w:val="24"/>
          <w:szCs w:val="24"/>
        </w:rPr>
        <w:t>,</w:t>
      </w:r>
      <w:r w:rsidRPr="006261E7">
        <w:rPr>
          <w:rFonts w:cs="Times New Roman"/>
          <w:color w:val="010302"/>
          <w:sz w:val="24"/>
          <w:szCs w:val="24"/>
        </w:rPr>
        <w:t xml:space="preserve"> it may be struck out; and</w:t>
      </w:r>
    </w:p>
    <w:p w14:paraId="18B1E53B" w14:textId="77777777" w:rsidR="00B968CF" w:rsidRPr="006261E7" w:rsidRDefault="00B968CF" w:rsidP="006261E7">
      <w:pPr>
        <w:pStyle w:val="ListParagraph"/>
        <w:spacing w:line="360" w:lineRule="auto"/>
        <w:ind w:left="1418" w:right="567"/>
        <w:jc w:val="both"/>
        <w:rPr>
          <w:rFonts w:cs="Times New Roman"/>
          <w:color w:val="010302"/>
          <w:sz w:val="24"/>
          <w:szCs w:val="24"/>
        </w:rPr>
      </w:pPr>
      <w:r w:rsidRPr="006261E7">
        <w:rPr>
          <w:rFonts w:cs="Times New Roman"/>
          <w:color w:val="010302"/>
          <w:sz w:val="24"/>
          <w:szCs w:val="24"/>
        </w:rPr>
        <w:tab/>
        <w:t>(5) A Tribunal should not conduct an impromptu mini trial of oral evidence to resolve core disputed facts.</w:t>
      </w:r>
    </w:p>
    <w:p w14:paraId="44028A25" w14:textId="44E2FC97" w:rsidR="00C9019D"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29.</w:t>
      </w:r>
      <w:r w:rsidRPr="009035F4">
        <w:rPr>
          <w:rFonts w:cs="Times New Roman"/>
          <w:color w:val="010302"/>
          <w:sz w:val="24"/>
          <w:szCs w:val="24"/>
        </w:rPr>
        <w:tab/>
        <w:t xml:space="preserve">Further guidance is set out in the case </w:t>
      </w:r>
      <w:r w:rsidR="007B4EBC" w:rsidRPr="009035F4">
        <w:rPr>
          <w:rFonts w:cs="Times New Roman"/>
          <w:color w:val="010302"/>
          <w:sz w:val="24"/>
          <w:szCs w:val="24"/>
        </w:rPr>
        <w:t xml:space="preserve">of </w:t>
      </w:r>
      <w:r w:rsidR="007B4EBC" w:rsidRPr="007B4EBC">
        <w:rPr>
          <w:rFonts w:cs="Times New Roman"/>
          <w:b/>
          <w:bCs/>
          <w:color w:val="010302"/>
          <w:sz w:val="24"/>
          <w:szCs w:val="24"/>
          <w:u w:val="single"/>
        </w:rPr>
        <w:t>Balls</w:t>
      </w:r>
      <w:r w:rsidRPr="007B4EBC">
        <w:rPr>
          <w:rFonts w:cs="Times New Roman"/>
          <w:b/>
          <w:bCs/>
          <w:iCs/>
          <w:color w:val="010302"/>
          <w:sz w:val="24"/>
          <w:szCs w:val="24"/>
          <w:u w:val="single"/>
        </w:rPr>
        <w:t xml:space="preserve"> v Downham</w:t>
      </w:r>
      <w:r w:rsidRPr="009035F4">
        <w:rPr>
          <w:rFonts w:cs="Times New Roman"/>
          <w:b/>
          <w:bCs/>
          <w:iCs/>
          <w:color w:val="010302"/>
          <w:sz w:val="24"/>
          <w:szCs w:val="24"/>
          <w:u w:val="single"/>
        </w:rPr>
        <w:t xml:space="preserve"> Market High School and </w:t>
      </w:r>
      <w:r w:rsidR="007B4EBC" w:rsidRPr="009035F4">
        <w:rPr>
          <w:rFonts w:cs="Times New Roman"/>
          <w:b/>
          <w:bCs/>
          <w:iCs/>
          <w:color w:val="010302"/>
          <w:sz w:val="24"/>
          <w:szCs w:val="24"/>
          <w:u w:val="single"/>
        </w:rPr>
        <w:t>College</w:t>
      </w:r>
      <w:r w:rsidR="007B4EBC" w:rsidRPr="009035F4">
        <w:rPr>
          <w:rFonts w:cs="Times New Roman"/>
          <w:i/>
          <w:color w:val="010302"/>
          <w:sz w:val="24"/>
          <w:szCs w:val="24"/>
        </w:rPr>
        <w:t xml:space="preserve"> </w:t>
      </w:r>
      <w:r w:rsidR="007B4EBC" w:rsidRPr="009035F4">
        <w:rPr>
          <w:rFonts w:cs="Times New Roman"/>
          <w:color w:val="010302"/>
          <w:sz w:val="24"/>
          <w:szCs w:val="24"/>
        </w:rPr>
        <w:t>[</w:t>
      </w:r>
      <w:r w:rsidRPr="009035F4">
        <w:rPr>
          <w:rFonts w:cs="Times New Roman"/>
          <w:color w:val="010302"/>
          <w:sz w:val="24"/>
          <w:szCs w:val="24"/>
        </w:rPr>
        <w:t>201</w:t>
      </w:r>
      <w:r w:rsidR="006B3E0B">
        <w:rPr>
          <w:rFonts w:cs="Times New Roman"/>
          <w:color w:val="010302"/>
          <w:sz w:val="24"/>
          <w:szCs w:val="24"/>
        </w:rPr>
        <w:t>1</w:t>
      </w:r>
      <w:r w:rsidRPr="009035F4">
        <w:rPr>
          <w:rFonts w:cs="Times New Roman"/>
          <w:color w:val="010302"/>
          <w:sz w:val="24"/>
          <w:szCs w:val="24"/>
        </w:rPr>
        <w:t xml:space="preserve">] IRLR  </w:t>
      </w:r>
      <w:r w:rsidR="006B3E0B">
        <w:rPr>
          <w:rFonts w:cs="Times New Roman"/>
          <w:color w:val="010302"/>
          <w:sz w:val="24"/>
          <w:szCs w:val="24"/>
        </w:rPr>
        <w:t>217 (EAT)</w:t>
      </w:r>
      <w:r w:rsidR="00CA5000">
        <w:rPr>
          <w:rFonts w:cs="Times New Roman"/>
          <w:color w:val="010302"/>
          <w:sz w:val="24"/>
          <w:szCs w:val="24"/>
        </w:rPr>
        <w:t>,</w:t>
      </w:r>
      <w:r w:rsidRPr="009035F4">
        <w:rPr>
          <w:rFonts w:cs="Times New Roman"/>
          <w:color w:val="010302"/>
          <w:sz w:val="24"/>
          <w:szCs w:val="24"/>
        </w:rPr>
        <w:t xml:space="preserve"> </w:t>
      </w:r>
      <w:r w:rsidRPr="009035F4">
        <w:rPr>
          <w:rFonts w:cs="Times New Roman"/>
          <w:b/>
          <w:bCs/>
          <w:iCs/>
          <w:color w:val="010302"/>
          <w:sz w:val="24"/>
          <w:szCs w:val="24"/>
          <w:u w:val="single"/>
        </w:rPr>
        <w:t>HM Prison Service v. Dolby</w:t>
      </w:r>
      <w:r w:rsidRPr="009035F4">
        <w:rPr>
          <w:rFonts w:cs="Times New Roman"/>
          <w:color w:val="010302"/>
          <w:sz w:val="24"/>
          <w:szCs w:val="24"/>
        </w:rPr>
        <w:t xml:space="preserve"> [2003] IRLR 694 </w:t>
      </w:r>
      <w:proofErr w:type="gramStart"/>
      <w:r w:rsidRPr="009035F4">
        <w:rPr>
          <w:rFonts w:cs="Times New Roman"/>
          <w:color w:val="010302"/>
          <w:sz w:val="24"/>
          <w:szCs w:val="24"/>
        </w:rPr>
        <w:t xml:space="preserve">and  </w:t>
      </w:r>
      <w:r w:rsidRPr="009035F4">
        <w:rPr>
          <w:rFonts w:cs="Times New Roman"/>
          <w:b/>
          <w:bCs/>
          <w:iCs/>
          <w:color w:val="010302"/>
          <w:sz w:val="24"/>
          <w:szCs w:val="24"/>
          <w:u w:val="single"/>
        </w:rPr>
        <w:t>Parkin</w:t>
      </w:r>
      <w:proofErr w:type="gramEnd"/>
      <w:r w:rsidRPr="009035F4">
        <w:rPr>
          <w:rFonts w:cs="Times New Roman"/>
          <w:b/>
          <w:bCs/>
          <w:iCs/>
          <w:color w:val="010302"/>
          <w:sz w:val="24"/>
          <w:szCs w:val="24"/>
          <w:u w:val="single"/>
        </w:rPr>
        <w:t xml:space="preserve"> v Leeds City Council</w:t>
      </w:r>
      <w:r w:rsidR="00E75FD3">
        <w:rPr>
          <w:rFonts w:cs="Times New Roman"/>
          <w:b/>
          <w:bCs/>
          <w:iCs/>
          <w:color w:val="010302"/>
          <w:sz w:val="24"/>
          <w:szCs w:val="24"/>
        </w:rPr>
        <w:t xml:space="preserve"> </w:t>
      </w:r>
      <w:r w:rsidR="00C3357A">
        <w:rPr>
          <w:rFonts w:cs="Times New Roman"/>
          <w:iCs/>
          <w:color w:val="010302"/>
          <w:sz w:val="24"/>
          <w:szCs w:val="24"/>
        </w:rPr>
        <w:t>[</w:t>
      </w:r>
      <w:r w:rsidR="00E75FD3" w:rsidRPr="00C3357A">
        <w:rPr>
          <w:rFonts w:cs="Times New Roman"/>
          <w:iCs/>
          <w:color w:val="010302"/>
          <w:sz w:val="24"/>
          <w:szCs w:val="24"/>
        </w:rPr>
        <w:t>UKEAT/0178/19/RN</w:t>
      </w:r>
      <w:r w:rsidR="00C3357A" w:rsidRPr="00C3357A">
        <w:rPr>
          <w:rFonts w:cs="Times New Roman"/>
          <w:iCs/>
          <w:color w:val="010302"/>
          <w:sz w:val="24"/>
          <w:szCs w:val="24"/>
        </w:rPr>
        <w:t>]</w:t>
      </w:r>
      <w:r w:rsidRPr="009035F4">
        <w:rPr>
          <w:rFonts w:cs="Times New Roman"/>
          <w:color w:val="010302"/>
          <w:sz w:val="24"/>
          <w:szCs w:val="24"/>
        </w:rPr>
        <w:t xml:space="preserve">. </w:t>
      </w:r>
      <w:r w:rsidR="00C52754">
        <w:rPr>
          <w:rFonts w:cs="Times New Roman"/>
          <w:color w:val="010302"/>
          <w:sz w:val="24"/>
          <w:szCs w:val="24"/>
        </w:rPr>
        <w:t xml:space="preserve">In </w:t>
      </w:r>
      <w:r w:rsidR="00C52754">
        <w:rPr>
          <w:rFonts w:cs="Times New Roman"/>
          <w:b/>
          <w:bCs/>
          <w:color w:val="010302"/>
          <w:sz w:val="24"/>
          <w:szCs w:val="24"/>
          <w:u w:val="single"/>
        </w:rPr>
        <w:t xml:space="preserve">Balls v Downham Market High School and </w:t>
      </w:r>
      <w:r w:rsidR="00C52754" w:rsidRPr="00C52754">
        <w:rPr>
          <w:rFonts w:cs="Times New Roman"/>
          <w:b/>
          <w:bCs/>
          <w:color w:val="010302"/>
          <w:sz w:val="24"/>
          <w:szCs w:val="24"/>
        </w:rPr>
        <w:t>College</w:t>
      </w:r>
      <w:r w:rsidR="00C52754">
        <w:rPr>
          <w:rFonts w:cs="Times New Roman"/>
          <w:b/>
          <w:bCs/>
          <w:color w:val="010302"/>
          <w:sz w:val="24"/>
          <w:szCs w:val="24"/>
        </w:rPr>
        <w:t xml:space="preserve"> </w:t>
      </w:r>
      <w:r w:rsidR="00C52754">
        <w:rPr>
          <w:rFonts w:cs="Times New Roman"/>
          <w:color w:val="010302"/>
          <w:sz w:val="24"/>
          <w:szCs w:val="24"/>
        </w:rPr>
        <w:t>Lady Smith sitting in the EAT advocated a two stage approach to an application for strike out</w:t>
      </w:r>
      <w:r w:rsidR="006B4302">
        <w:rPr>
          <w:rFonts w:cs="Times New Roman"/>
          <w:color w:val="010302"/>
          <w:sz w:val="24"/>
          <w:szCs w:val="24"/>
        </w:rPr>
        <w:t xml:space="preserve"> on the </w:t>
      </w:r>
      <w:r w:rsidR="006B4302">
        <w:rPr>
          <w:rFonts w:cs="Times New Roman"/>
          <w:color w:val="010302"/>
          <w:sz w:val="24"/>
          <w:szCs w:val="24"/>
        </w:rPr>
        <w:lastRenderedPageBreak/>
        <w:t>grounds that there is no reasonable prospect of success  (r.37(1)(a)</w:t>
      </w:r>
      <w:r w:rsidR="00FB59FB">
        <w:rPr>
          <w:rFonts w:cs="Times New Roman"/>
          <w:color w:val="010302"/>
          <w:sz w:val="24"/>
          <w:szCs w:val="24"/>
        </w:rPr>
        <w:t>), noting that that test is not whether the claim is likely to fail or possible to fail</w:t>
      </w:r>
      <w:r w:rsidR="00512F45">
        <w:rPr>
          <w:rFonts w:cs="Times New Roman"/>
          <w:color w:val="010302"/>
          <w:sz w:val="24"/>
          <w:szCs w:val="24"/>
        </w:rPr>
        <w:t>. F</w:t>
      </w:r>
      <w:r w:rsidR="00431D39">
        <w:rPr>
          <w:rFonts w:cs="Times New Roman"/>
          <w:color w:val="010302"/>
          <w:sz w:val="24"/>
          <w:szCs w:val="24"/>
        </w:rPr>
        <w:t xml:space="preserve">irst, </w:t>
      </w:r>
      <w:r w:rsidR="00512F45">
        <w:rPr>
          <w:rFonts w:cs="Times New Roman"/>
          <w:color w:val="010302"/>
          <w:sz w:val="24"/>
          <w:szCs w:val="24"/>
        </w:rPr>
        <w:t xml:space="preserve">the Tribunal </w:t>
      </w:r>
      <w:proofErr w:type="gramStart"/>
      <w:r w:rsidR="00512F45">
        <w:rPr>
          <w:rFonts w:cs="Times New Roman"/>
          <w:color w:val="010302"/>
          <w:sz w:val="24"/>
          <w:szCs w:val="24"/>
        </w:rPr>
        <w:t xml:space="preserve">must </w:t>
      </w:r>
      <w:r w:rsidR="00431D39">
        <w:rPr>
          <w:rFonts w:cs="Times New Roman"/>
          <w:color w:val="010302"/>
          <w:sz w:val="24"/>
          <w:szCs w:val="24"/>
        </w:rPr>
        <w:t xml:space="preserve"> consider</w:t>
      </w:r>
      <w:proofErr w:type="gramEnd"/>
      <w:r w:rsidR="00431D39">
        <w:rPr>
          <w:rFonts w:cs="Times New Roman"/>
          <w:color w:val="010302"/>
          <w:sz w:val="24"/>
          <w:szCs w:val="24"/>
        </w:rPr>
        <w:t xml:space="preserve"> whether, on a careful consideration of all the available material, the tribunal can properly conclude that the claim has </w:t>
      </w:r>
      <w:r w:rsidR="00431D39">
        <w:rPr>
          <w:rFonts w:cs="Times New Roman"/>
          <w:color w:val="010302"/>
          <w:sz w:val="24"/>
          <w:szCs w:val="24"/>
          <w:u w:val="single"/>
        </w:rPr>
        <w:t>no</w:t>
      </w:r>
      <w:r w:rsidR="00431D39">
        <w:rPr>
          <w:rFonts w:cs="Times New Roman"/>
          <w:color w:val="010302"/>
          <w:sz w:val="24"/>
          <w:szCs w:val="24"/>
        </w:rPr>
        <w:t xml:space="preserve"> reasonable prospect of success. Secondly</w:t>
      </w:r>
      <w:r w:rsidR="00BD23ED">
        <w:rPr>
          <w:rFonts w:cs="Times New Roman"/>
          <w:color w:val="010302"/>
          <w:sz w:val="24"/>
          <w:szCs w:val="24"/>
        </w:rPr>
        <w:t>, the Tribunal should then consider whether it should exercise its discretion to strike the claim out</w:t>
      </w:r>
      <w:r w:rsidR="00FB59FB">
        <w:rPr>
          <w:rFonts w:cs="Times New Roman"/>
          <w:color w:val="010302"/>
          <w:sz w:val="24"/>
          <w:szCs w:val="24"/>
        </w:rPr>
        <w:t xml:space="preserve">. </w:t>
      </w:r>
      <w:r w:rsidRPr="00C52754">
        <w:rPr>
          <w:rFonts w:cs="Times New Roman"/>
          <w:color w:val="010302"/>
          <w:sz w:val="24"/>
          <w:szCs w:val="24"/>
        </w:rPr>
        <w:t>There</w:t>
      </w:r>
      <w:r w:rsidRPr="009035F4">
        <w:rPr>
          <w:rFonts w:cs="Times New Roman"/>
          <w:color w:val="010302"/>
          <w:sz w:val="24"/>
          <w:szCs w:val="24"/>
        </w:rPr>
        <w:t xml:space="preserve"> are also </w:t>
      </w:r>
      <w:proofErr w:type="gramStart"/>
      <w:r w:rsidRPr="009035F4">
        <w:rPr>
          <w:rFonts w:cs="Times New Roman"/>
          <w:color w:val="010302"/>
          <w:sz w:val="24"/>
          <w:szCs w:val="24"/>
        </w:rPr>
        <w:t>a number of</w:t>
      </w:r>
      <w:proofErr w:type="gramEnd"/>
      <w:r w:rsidRPr="009035F4">
        <w:rPr>
          <w:rFonts w:cs="Times New Roman"/>
          <w:color w:val="010302"/>
          <w:sz w:val="24"/>
          <w:szCs w:val="24"/>
        </w:rPr>
        <w:t xml:space="preserve"> cases which </w:t>
      </w:r>
      <w:r w:rsidR="008F68C5">
        <w:rPr>
          <w:rFonts w:cs="Times New Roman"/>
          <w:color w:val="010302"/>
          <w:sz w:val="24"/>
          <w:szCs w:val="24"/>
        </w:rPr>
        <w:t xml:space="preserve">contain guidance as to the proper </w:t>
      </w:r>
      <w:r w:rsidRPr="009035F4">
        <w:rPr>
          <w:rFonts w:cs="Times New Roman"/>
          <w:color w:val="010302"/>
          <w:sz w:val="24"/>
          <w:szCs w:val="24"/>
        </w:rPr>
        <w:t>approach to considering</w:t>
      </w:r>
      <w:r w:rsidR="00BD23ED">
        <w:rPr>
          <w:rFonts w:cs="Times New Roman"/>
          <w:color w:val="010302"/>
          <w:sz w:val="24"/>
          <w:szCs w:val="24"/>
        </w:rPr>
        <w:t xml:space="preserve"> limitation</w:t>
      </w:r>
      <w:r w:rsidRPr="009035F4">
        <w:rPr>
          <w:rFonts w:cs="Times New Roman"/>
          <w:color w:val="010302"/>
          <w:sz w:val="24"/>
          <w:szCs w:val="24"/>
        </w:rPr>
        <w:t xml:space="preserve"> </w:t>
      </w:r>
      <w:r w:rsidR="008F68C5">
        <w:rPr>
          <w:rFonts w:cs="Times New Roman"/>
          <w:color w:val="010302"/>
          <w:sz w:val="24"/>
          <w:szCs w:val="24"/>
        </w:rPr>
        <w:t>issues a</w:t>
      </w:r>
      <w:r w:rsidRPr="009035F4">
        <w:rPr>
          <w:rFonts w:cs="Times New Roman"/>
          <w:color w:val="010302"/>
          <w:sz w:val="24"/>
          <w:szCs w:val="24"/>
        </w:rPr>
        <w:t xml:space="preserve">t a preliminary stage of proceedings and also generally in respect of preliminary hearings.  </w:t>
      </w:r>
      <w:proofErr w:type="gramStart"/>
      <w:r w:rsidRPr="009035F4">
        <w:rPr>
          <w:rFonts w:cs="Times New Roman"/>
          <w:color w:val="010302"/>
          <w:sz w:val="24"/>
          <w:szCs w:val="24"/>
        </w:rPr>
        <w:t>In particular, in</w:t>
      </w:r>
      <w:proofErr w:type="gramEnd"/>
      <w:r w:rsidRPr="009035F4">
        <w:rPr>
          <w:rFonts w:cs="Times New Roman"/>
          <w:color w:val="010302"/>
          <w:sz w:val="24"/>
          <w:szCs w:val="24"/>
        </w:rPr>
        <w:t xml:space="preserve"> </w:t>
      </w:r>
      <w:r w:rsidRPr="009035F4">
        <w:rPr>
          <w:rFonts w:cs="Times New Roman"/>
          <w:b/>
          <w:bCs/>
          <w:iCs/>
          <w:color w:val="010302"/>
          <w:sz w:val="24"/>
          <w:szCs w:val="24"/>
          <w:u w:val="single"/>
        </w:rPr>
        <w:t>Caterham School Limited v Rose</w:t>
      </w:r>
      <w:r w:rsidRPr="009035F4">
        <w:rPr>
          <w:rFonts w:cs="Times New Roman"/>
          <w:color w:val="010302"/>
          <w:sz w:val="24"/>
          <w:szCs w:val="24"/>
        </w:rPr>
        <w:t xml:space="preserve"> (UKEAT/0149RN</w:t>
      </w:r>
      <w:r w:rsidR="008F68C5">
        <w:rPr>
          <w:rFonts w:cs="Times New Roman"/>
          <w:color w:val="010302"/>
          <w:sz w:val="24"/>
          <w:szCs w:val="24"/>
        </w:rPr>
        <w:t>)</w:t>
      </w:r>
      <w:r w:rsidRPr="009035F4">
        <w:rPr>
          <w:rFonts w:cs="Times New Roman"/>
          <w:color w:val="010302"/>
          <w:sz w:val="24"/>
          <w:szCs w:val="24"/>
        </w:rPr>
        <w:t xml:space="preserve"> the EAT, His Honour Judge </w:t>
      </w:r>
      <w:r w:rsidR="004A5CEE" w:rsidRPr="009035F4">
        <w:rPr>
          <w:rFonts w:cs="Times New Roman"/>
          <w:color w:val="010302"/>
          <w:sz w:val="24"/>
          <w:szCs w:val="24"/>
        </w:rPr>
        <w:t>Auerbach</w:t>
      </w:r>
      <w:r w:rsidR="002A1E7A">
        <w:rPr>
          <w:rFonts w:cs="Times New Roman"/>
          <w:color w:val="010302"/>
          <w:sz w:val="24"/>
          <w:szCs w:val="24"/>
        </w:rPr>
        <w:t>,</w:t>
      </w:r>
      <w:r w:rsidRPr="009035F4">
        <w:rPr>
          <w:rFonts w:cs="Times New Roman"/>
          <w:color w:val="010302"/>
          <w:sz w:val="24"/>
          <w:szCs w:val="24"/>
        </w:rPr>
        <w:t xml:space="preserve"> emphasised the importance of ensuring that there is clarity as to the purposes of a preliminary hearing and what is to be considered. I agree. If cr</w:t>
      </w:r>
      <w:r w:rsidR="002A1E7A">
        <w:rPr>
          <w:rFonts w:cs="Times New Roman"/>
          <w:color w:val="010302"/>
          <w:sz w:val="24"/>
          <w:szCs w:val="24"/>
        </w:rPr>
        <w:t xml:space="preserve">ucial, at times, </w:t>
      </w:r>
      <w:r w:rsidRPr="009035F4">
        <w:rPr>
          <w:rFonts w:cs="Times New Roman"/>
          <w:color w:val="010302"/>
          <w:sz w:val="24"/>
          <w:szCs w:val="24"/>
        </w:rPr>
        <w:t xml:space="preserve">wholly determinative issues are to be decided at a preliminary hearing it is an essential tenet </w:t>
      </w:r>
      <w:r w:rsidR="002A1E7A">
        <w:rPr>
          <w:rFonts w:cs="Times New Roman"/>
          <w:color w:val="010302"/>
          <w:sz w:val="24"/>
          <w:szCs w:val="24"/>
        </w:rPr>
        <w:t>o</w:t>
      </w:r>
      <w:r w:rsidRPr="009035F4">
        <w:rPr>
          <w:rFonts w:cs="Times New Roman"/>
          <w:color w:val="010302"/>
          <w:sz w:val="24"/>
          <w:szCs w:val="24"/>
        </w:rPr>
        <w:t xml:space="preserve">f a fair process </w:t>
      </w:r>
      <w:r w:rsidR="002A1E7A">
        <w:rPr>
          <w:rFonts w:cs="Times New Roman"/>
          <w:color w:val="010302"/>
          <w:sz w:val="24"/>
          <w:szCs w:val="24"/>
        </w:rPr>
        <w:t xml:space="preserve">that </w:t>
      </w:r>
      <w:r w:rsidRPr="009035F4">
        <w:rPr>
          <w:rFonts w:cs="Times New Roman"/>
          <w:color w:val="010302"/>
          <w:sz w:val="24"/>
          <w:szCs w:val="24"/>
        </w:rPr>
        <w:t>the parties should know what those issues are</w:t>
      </w:r>
      <w:r w:rsidR="00512F45">
        <w:rPr>
          <w:rFonts w:cs="Times New Roman"/>
          <w:color w:val="010302"/>
          <w:sz w:val="24"/>
          <w:szCs w:val="24"/>
        </w:rPr>
        <w:t xml:space="preserve"> and </w:t>
      </w:r>
      <w:r w:rsidRPr="009035F4">
        <w:rPr>
          <w:rFonts w:cs="Times New Roman"/>
          <w:color w:val="010302"/>
          <w:sz w:val="24"/>
          <w:szCs w:val="24"/>
        </w:rPr>
        <w:t xml:space="preserve">have </w:t>
      </w:r>
      <w:r w:rsidR="002A1E7A">
        <w:rPr>
          <w:rFonts w:cs="Times New Roman"/>
          <w:color w:val="010302"/>
          <w:sz w:val="24"/>
          <w:szCs w:val="24"/>
        </w:rPr>
        <w:t xml:space="preserve">had </w:t>
      </w:r>
      <w:r w:rsidRPr="009035F4">
        <w:rPr>
          <w:rFonts w:cs="Times New Roman"/>
          <w:color w:val="010302"/>
          <w:sz w:val="24"/>
          <w:szCs w:val="24"/>
        </w:rPr>
        <w:t xml:space="preserve">adequate notice of them </w:t>
      </w:r>
      <w:r w:rsidR="002A1E7A">
        <w:rPr>
          <w:rFonts w:cs="Times New Roman"/>
          <w:color w:val="010302"/>
          <w:sz w:val="24"/>
          <w:szCs w:val="24"/>
        </w:rPr>
        <w:t xml:space="preserve">so as to be able to fairly and properly </w:t>
      </w:r>
      <w:r w:rsidRPr="009035F4">
        <w:rPr>
          <w:rFonts w:cs="Times New Roman"/>
          <w:color w:val="010302"/>
          <w:sz w:val="24"/>
          <w:szCs w:val="24"/>
        </w:rPr>
        <w:t>address them</w:t>
      </w:r>
      <w:r w:rsidR="00512F45">
        <w:rPr>
          <w:rFonts w:cs="Times New Roman"/>
          <w:color w:val="010302"/>
          <w:sz w:val="24"/>
          <w:szCs w:val="24"/>
        </w:rPr>
        <w:t xml:space="preserve"> and their implications for the claims before the Tribunal</w:t>
      </w:r>
      <w:r w:rsidRPr="009035F4">
        <w:rPr>
          <w:rFonts w:cs="Times New Roman"/>
          <w:color w:val="010302"/>
          <w:sz w:val="24"/>
          <w:szCs w:val="24"/>
        </w:rPr>
        <w:t xml:space="preserve">. </w:t>
      </w:r>
    </w:p>
    <w:p w14:paraId="7BB3BAEF" w14:textId="18A73506" w:rsidR="00B968CF" w:rsidRPr="000208EF" w:rsidRDefault="00C9019D" w:rsidP="0091566F">
      <w:pPr>
        <w:pStyle w:val="ListParagraph"/>
        <w:tabs>
          <w:tab w:val="left" w:pos="0"/>
        </w:tabs>
        <w:spacing w:before="240" w:line="480" w:lineRule="auto"/>
        <w:jc w:val="both"/>
        <w:rPr>
          <w:rFonts w:cs="Times New Roman"/>
          <w:color w:val="010302"/>
          <w:sz w:val="24"/>
          <w:szCs w:val="24"/>
        </w:rPr>
      </w:pPr>
      <w:r>
        <w:rPr>
          <w:rFonts w:cs="Times New Roman"/>
          <w:color w:val="010302"/>
          <w:sz w:val="24"/>
          <w:szCs w:val="24"/>
        </w:rPr>
        <w:t xml:space="preserve">30. </w:t>
      </w:r>
      <w:r>
        <w:rPr>
          <w:rFonts w:cs="Times New Roman"/>
          <w:color w:val="010302"/>
          <w:sz w:val="24"/>
          <w:szCs w:val="24"/>
        </w:rPr>
        <w:tab/>
        <w:t xml:space="preserve">It is also </w:t>
      </w:r>
      <w:r w:rsidR="00B968CF" w:rsidRPr="009035F4">
        <w:rPr>
          <w:rFonts w:cs="Times New Roman"/>
          <w:color w:val="010302"/>
          <w:sz w:val="24"/>
          <w:szCs w:val="24"/>
        </w:rPr>
        <w:t xml:space="preserve">necessary to ensure that there is a clarity about whether the </w:t>
      </w:r>
      <w:r>
        <w:rPr>
          <w:rFonts w:cs="Times New Roman"/>
          <w:color w:val="010302"/>
          <w:sz w:val="24"/>
          <w:szCs w:val="24"/>
        </w:rPr>
        <w:t>preliminary hearing h</w:t>
      </w:r>
      <w:r w:rsidR="00B968CF" w:rsidRPr="009035F4">
        <w:rPr>
          <w:rFonts w:cs="Times New Roman"/>
          <w:color w:val="010302"/>
          <w:sz w:val="24"/>
          <w:szCs w:val="24"/>
        </w:rPr>
        <w:t>as been listed to determine an application to strike out</w:t>
      </w:r>
      <w:r>
        <w:rPr>
          <w:rFonts w:cs="Times New Roman"/>
          <w:color w:val="010302"/>
          <w:sz w:val="24"/>
          <w:szCs w:val="24"/>
        </w:rPr>
        <w:t>,</w:t>
      </w:r>
      <w:r w:rsidR="00B968CF" w:rsidRPr="009035F4">
        <w:rPr>
          <w:rFonts w:cs="Times New Roman"/>
          <w:color w:val="010302"/>
          <w:sz w:val="24"/>
          <w:szCs w:val="24"/>
        </w:rPr>
        <w:t xml:space="preserve"> or</w:t>
      </w:r>
      <w:r>
        <w:rPr>
          <w:rFonts w:cs="Times New Roman"/>
          <w:color w:val="010302"/>
          <w:sz w:val="24"/>
          <w:szCs w:val="24"/>
        </w:rPr>
        <w:t>,</w:t>
      </w:r>
      <w:r w:rsidR="00B968CF" w:rsidRPr="009035F4">
        <w:rPr>
          <w:rFonts w:cs="Times New Roman"/>
          <w:color w:val="010302"/>
          <w:sz w:val="24"/>
          <w:szCs w:val="24"/>
        </w:rPr>
        <w:t xml:space="preserve"> to determine a preliminary issue. Strike-out applications may be made wholly on submission, taking the case of the party whose</w:t>
      </w:r>
      <w:r>
        <w:rPr>
          <w:rFonts w:cs="Times New Roman"/>
          <w:color w:val="010302"/>
          <w:sz w:val="24"/>
          <w:szCs w:val="24"/>
        </w:rPr>
        <w:t xml:space="preserve"> c</w:t>
      </w:r>
      <w:r w:rsidR="005C41F1">
        <w:rPr>
          <w:rFonts w:cs="Times New Roman"/>
          <w:color w:val="010302"/>
          <w:sz w:val="24"/>
          <w:szCs w:val="24"/>
        </w:rPr>
        <w:t>laim</w:t>
      </w:r>
      <w:r w:rsidR="00B968CF" w:rsidRPr="009035F4">
        <w:rPr>
          <w:rFonts w:cs="Times New Roman"/>
          <w:color w:val="010302"/>
          <w:sz w:val="24"/>
          <w:szCs w:val="24"/>
        </w:rPr>
        <w:t xml:space="preserve"> or </w:t>
      </w:r>
      <w:r>
        <w:rPr>
          <w:rFonts w:cs="Times New Roman"/>
          <w:color w:val="010302"/>
          <w:sz w:val="24"/>
          <w:szCs w:val="24"/>
        </w:rPr>
        <w:t>r</w:t>
      </w:r>
      <w:r w:rsidR="00B968CF" w:rsidRPr="009035F4">
        <w:rPr>
          <w:rFonts w:cs="Times New Roman"/>
          <w:color w:val="010302"/>
          <w:sz w:val="24"/>
          <w:szCs w:val="24"/>
        </w:rPr>
        <w:t xml:space="preserve">esponse is at risk of strike-out at its highest.  Fair and just determination of a preliminary issue may require evidence to be </w:t>
      </w:r>
      <w:r>
        <w:rPr>
          <w:rFonts w:cs="Times New Roman"/>
          <w:color w:val="010302"/>
          <w:sz w:val="24"/>
          <w:szCs w:val="24"/>
        </w:rPr>
        <w:t>give</w:t>
      </w:r>
      <w:r w:rsidR="000F1A9E">
        <w:rPr>
          <w:rFonts w:cs="Times New Roman"/>
          <w:color w:val="010302"/>
          <w:sz w:val="24"/>
          <w:szCs w:val="24"/>
        </w:rPr>
        <w:t xml:space="preserve">n, </w:t>
      </w:r>
      <w:r w:rsidR="00B968CF" w:rsidRPr="009035F4">
        <w:rPr>
          <w:rFonts w:cs="Times New Roman"/>
          <w:color w:val="010302"/>
          <w:sz w:val="24"/>
          <w:szCs w:val="24"/>
        </w:rPr>
        <w:t>including oral evidence</w:t>
      </w:r>
      <w:r w:rsidR="000F1A9E">
        <w:rPr>
          <w:rFonts w:cs="Times New Roman"/>
          <w:color w:val="010302"/>
          <w:sz w:val="24"/>
          <w:szCs w:val="24"/>
        </w:rPr>
        <w:t>,</w:t>
      </w:r>
      <w:r w:rsidR="00B968CF" w:rsidRPr="009035F4">
        <w:rPr>
          <w:rFonts w:cs="Times New Roman"/>
          <w:color w:val="010302"/>
          <w:sz w:val="24"/>
          <w:szCs w:val="24"/>
        </w:rPr>
        <w:t xml:space="preserve"> and a factual determination to be made </w:t>
      </w:r>
      <w:proofErr w:type="gramStart"/>
      <w:r w:rsidR="00B968CF" w:rsidRPr="009035F4">
        <w:rPr>
          <w:rFonts w:cs="Times New Roman"/>
          <w:color w:val="010302"/>
          <w:sz w:val="24"/>
          <w:szCs w:val="24"/>
        </w:rPr>
        <w:t>so as to</w:t>
      </w:r>
      <w:proofErr w:type="gramEnd"/>
      <w:r w:rsidR="00B968CF" w:rsidRPr="009035F4">
        <w:rPr>
          <w:rFonts w:cs="Times New Roman"/>
          <w:color w:val="010302"/>
          <w:sz w:val="24"/>
          <w:szCs w:val="24"/>
        </w:rPr>
        <w:t xml:space="preserve"> reach a definitive outcome on a point which c</w:t>
      </w:r>
      <w:r w:rsidR="000F1A9E">
        <w:rPr>
          <w:rFonts w:cs="Times New Roman"/>
          <w:color w:val="010302"/>
          <w:sz w:val="24"/>
          <w:szCs w:val="24"/>
        </w:rPr>
        <w:t>an</w:t>
      </w:r>
      <w:r w:rsidR="00B968CF" w:rsidRPr="009035F4">
        <w:rPr>
          <w:rFonts w:cs="Times New Roman"/>
          <w:color w:val="010302"/>
          <w:sz w:val="24"/>
          <w:szCs w:val="24"/>
        </w:rPr>
        <w:t>not be re-visited at a full merits hearing.  In many cases that will require either</w:t>
      </w:r>
      <w:r w:rsidR="000F1A9E">
        <w:rPr>
          <w:rFonts w:cs="Times New Roman"/>
          <w:color w:val="010302"/>
          <w:sz w:val="24"/>
          <w:szCs w:val="24"/>
        </w:rPr>
        <w:t>,</w:t>
      </w:r>
      <w:r w:rsidR="00B968CF" w:rsidRPr="009035F4">
        <w:rPr>
          <w:rFonts w:cs="Times New Roman"/>
          <w:color w:val="010302"/>
          <w:sz w:val="24"/>
          <w:szCs w:val="24"/>
        </w:rPr>
        <w:t xml:space="preserve"> agreed case management directions or a hearing to identify the issues which will be considered at the preliminary hearing</w:t>
      </w:r>
      <w:r w:rsidR="000F1A9E">
        <w:rPr>
          <w:rFonts w:cs="Times New Roman"/>
          <w:color w:val="010302"/>
          <w:sz w:val="24"/>
          <w:szCs w:val="24"/>
        </w:rPr>
        <w:t xml:space="preserve"> so that</w:t>
      </w:r>
      <w:r w:rsidR="00B968CF" w:rsidRPr="009035F4">
        <w:rPr>
          <w:rFonts w:cs="Times New Roman"/>
          <w:color w:val="010302"/>
          <w:sz w:val="24"/>
          <w:szCs w:val="24"/>
        </w:rPr>
        <w:t xml:space="preserve"> directions</w:t>
      </w:r>
      <w:r w:rsidR="00B174A8">
        <w:rPr>
          <w:rFonts w:cs="Times New Roman"/>
          <w:color w:val="010302"/>
          <w:sz w:val="24"/>
          <w:szCs w:val="24"/>
        </w:rPr>
        <w:t xml:space="preserve"> can be</w:t>
      </w:r>
      <w:r w:rsidR="00B968CF" w:rsidRPr="009035F4">
        <w:rPr>
          <w:rFonts w:cs="Times New Roman"/>
          <w:color w:val="010302"/>
          <w:sz w:val="24"/>
          <w:szCs w:val="24"/>
        </w:rPr>
        <w:t xml:space="preserve"> made as to how and when evidence should be prepared and considered.</w:t>
      </w:r>
      <w:r w:rsidR="00FE379A">
        <w:rPr>
          <w:rFonts w:cs="Times New Roman"/>
          <w:color w:val="010302"/>
          <w:sz w:val="24"/>
          <w:szCs w:val="24"/>
        </w:rPr>
        <w:t xml:space="preserve"> In addition, the terms or r</w:t>
      </w:r>
      <w:r w:rsidR="00512F45">
        <w:rPr>
          <w:rFonts w:cs="Times New Roman"/>
          <w:color w:val="010302"/>
          <w:sz w:val="24"/>
          <w:szCs w:val="24"/>
        </w:rPr>
        <w:t>.</w:t>
      </w:r>
      <w:r w:rsidR="00FE379A">
        <w:rPr>
          <w:rFonts w:cs="Times New Roman"/>
          <w:color w:val="010302"/>
          <w:sz w:val="24"/>
          <w:szCs w:val="24"/>
        </w:rPr>
        <w:t>54 of the ET Rules of Procedure 2014 are mandatory</w:t>
      </w:r>
      <w:r w:rsidR="00B43642">
        <w:rPr>
          <w:rFonts w:cs="Times New Roman"/>
          <w:color w:val="010302"/>
          <w:sz w:val="24"/>
          <w:szCs w:val="24"/>
        </w:rPr>
        <w:t xml:space="preserve">: in the case of a preliminary hearing  involving ‘preliminary issues’ as defined in </w:t>
      </w:r>
      <w:r w:rsidR="000208EF">
        <w:rPr>
          <w:rFonts w:cs="Times New Roman"/>
          <w:color w:val="010302"/>
          <w:sz w:val="24"/>
          <w:szCs w:val="24"/>
        </w:rPr>
        <w:t>r.53(3) (</w:t>
      </w:r>
      <w:r w:rsidR="00512F45">
        <w:rPr>
          <w:rFonts w:cs="Times New Roman"/>
          <w:color w:val="010302"/>
          <w:sz w:val="24"/>
          <w:szCs w:val="24"/>
        </w:rPr>
        <w:t xml:space="preserve">i.e. </w:t>
      </w:r>
      <w:r w:rsidR="000208EF">
        <w:rPr>
          <w:rFonts w:cs="Times New Roman"/>
          <w:color w:val="010302"/>
          <w:sz w:val="24"/>
          <w:szCs w:val="24"/>
        </w:rPr>
        <w:t xml:space="preserve">those which may determine liability), at least 14 </w:t>
      </w:r>
      <w:proofErr w:type="spellStart"/>
      <w:r w:rsidR="000208EF">
        <w:rPr>
          <w:rFonts w:cs="Times New Roman"/>
          <w:color w:val="010302"/>
          <w:sz w:val="24"/>
          <w:szCs w:val="24"/>
        </w:rPr>
        <w:t>days notice</w:t>
      </w:r>
      <w:proofErr w:type="spellEnd"/>
      <w:r w:rsidR="000208EF">
        <w:rPr>
          <w:rFonts w:cs="Times New Roman"/>
          <w:color w:val="010302"/>
          <w:sz w:val="24"/>
          <w:szCs w:val="24"/>
        </w:rPr>
        <w:t xml:space="preserve"> must be given </w:t>
      </w:r>
      <w:r w:rsidR="000208EF">
        <w:rPr>
          <w:rFonts w:cs="Times New Roman"/>
          <w:color w:val="010302"/>
          <w:sz w:val="24"/>
          <w:szCs w:val="24"/>
          <w:u w:val="single"/>
        </w:rPr>
        <w:t>and</w:t>
      </w:r>
      <w:r w:rsidR="000208EF">
        <w:rPr>
          <w:rFonts w:cs="Times New Roman"/>
          <w:color w:val="010302"/>
          <w:sz w:val="24"/>
          <w:szCs w:val="24"/>
        </w:rPr>
        <w:t xml:space="preserve"> that notice must </w:t>
      </w:r>
      <w:r w:rsidR="000208EF" w:rsidRPr="000208EF">
        <w:rPr>
          <w:rFonts w:cs="Times New Roman"/>
          <w:color w:val="010302"/>
          <w:sz w:val="24"/>
          <w:szCs w:val="24"/>
          <w:u w:val="single"/>
        </w:rPr>
        <w:t>‘specify’</w:t>
      </w:r>
      <w:r w:rsidR="000208EF">
        <w:rPr>
          <w:rFonts w:cs="Times New Roman"/>
          <w:color w:val="010302"/>
          <w:sz w:val="24"/>
          <w:szCs w:val="24"/>
        </w:rPr>
        <w:t xml:space="preserve"> the preliminary issue</w:t>
      </w:r>
      <w:r w:rsidR="00C2688E">
        <w:rPr>
          <w:rFonts w:cs="Times New Roman"/>
          <w:color w:val="010302"/>
          <w:sz w:val="24"/>
          <w:szCs w:val="24"/>
        </w:rPr>
        <w:t>s that are, or may</w:t>
      </w:r>
      <w:r w:rsidR="000208EF">
        <w:rPr>
          <w:rFonts w:cs="Times New Roman"/>
          <w:color w:val="010302"/>
          <w:sz w:val="24"/>
          <w:szCs w:val="24"/>
        </w:rPr>
        <w:t xml:space="preserve"> be determined.</w:t>
      </w:r>
    </w:p>
    <w:p w14:paraId="39174D00" w14:textId="7CBC6517" w:rsidR="00B968CF" w:rsidRPr="009035F4"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lastRenderedPageBreak/>
        <w:t>30.</w:t>
      </w:r>
      <w:r w:rsidRPr="009035F4">
        <w:rPr>
          <w:rFonts w:cs="Times New Roman"/>
          <w:color w:val="010302"/>
          <w:sz w:val="24"/>
          <w:szCs w:val="24"/>
        </w:rPr>
        <w:tab/>
        <w:t>T</w:t>
      </w:r>
      <w:r w:rsidR="006261E7">
        <w:rPr>
          <w:rFonts w:cs="Times New Roman"/>
          <w:color w:val="010302"/>
          <w:sz w:val="24"/>
          <w:szCs w:val="24"/>
        </w:rPr>
        <w:t xml:space="preserve">ribunals and Courts </w:t>
      </w:r>
      <w:r w:rsidRPr="009035F4">
        <w:rPr>
          <w:rFonts w:cs="Times New Roman"/>
          <w:color w:val="010302"/>
          <w:sz w:val="24"/>
          <w:szCs w:val="24"/>
        </w:rPr>
        <w:t xml:space="preserve">are under significant pressure at present </w:t>
      </w:r>
      <w:r w:rsidR="007B4CAB">
        <w:rPr>
          <w:rFonts w:cs="Times New Roman"/>
          <w:color w:val="010302"/>
          <w:sz w:val="24"/>
          <w:szCs w:val="24"/>
        </w:rPr>
        <w:t xml:space="preserve">from the volume of work before them. The </w:t>
      </w:r>
      <w:r w:rsidRPr="009035F4">
        <w:rPr>
          <w:rFonts w:cs="Times New Roman"/>
          <w:color w:val="010302"/>
          <w:sz w:val="24"/>
          <w:szCs w:val="24"/>
        </w:rPr>
        <w:t xml:space="preserve">need for </w:t>
      </w:r>
      <w:r w:rsidR="007B4EBC" w:rsidRPr="009035F4">
        <w:rPr>
          <w:rFonts w:cs="Times New Roman"/>
          <w:color w:val="010302"/>
          <w:sz w:val="24"/>
          <w:szCs w:val="24"/>
        </w:rPr>
        <w:t>effective case</w:t>
      </w:r>
      <w:r w:rsidRPr="009035F4">
        <w:rPr>
          <w:rFonts w:cs="Times New Roman"/>
          <w:color w:val="010302"/>
          <w:sz w:val="24"/>
          <w:szCs w:val="24"/>
        </w:rPr>
        <w:t xml:space="preserve"> management and application of the principles set out in the overriding objective </w:t>
      </w:r>
      <w:r w:rsidR="007B4CAB">
        <w:rPr>
          <w:rFonts w:cs="Times New Roman"/>
          <w:color w:val="010302"/>
          <w:sz w:val="24"/>
          <w:szCs w:val="24"/>
        </w:rPr>
        <w:t xml:space="preserve">is clear. </w:t>
      </w:r>
      <w:r w:rsidRPr="009035F4">
        <w:rPr>
          <w:rFonts w:cs="Times New Roman"/>
          <w:color w:val="010302"/>
          <w:sz w:val="24"/>
          <w:szCs w:val="24"/>
        </w:rPr>
        <w:t>That, however, cannot be any justification for short cuts where</w:t>
      </w:r>
      <w:r w:rsidR="007B4CAB">
        <w:rPr>
          <w:rFonts w:cs="Times New Roman"/>
          <w:color w:val="010302"/>
          <w:sz w:val="24"/>
          <w:szCs w:val="24"/>
        </w:rPr>
        <w:t xml:space="preserve"> that leads to </w:t>
      </w:r>
      <w:r w:rsidRPr="009035F4">
        <w:rPr>
          <w:rFonts w:cs="Times New Roman"/>
          <w:color w:val="010302"/>
          <w:sz w:val="24"/>
          <w:szCs w:val="24"/>
        </w:rPr>
        <w:t xml:space="preserve">unjust </w:t>
      </w:r>
      <w:r w:rsidR="00772259">
        <w:rPr>
          <w:rFonts w:cs="Times New Roman"/>
          <w:color w:val="010302"/>
          <w:sz w:val="24"/>
          <w:szCs w:val="24"/>
        </w:rPr>
        <w:t xml:space="preserve">or unfair </w:t>
      </w:r>
      <w:r w:rsidRPr="009035F4">
        <w:rPr>
          <w:rFonts w:cs="Times New Roman"/>
          <w:color w:val="010302"/>
          <w:sz w:val="24"/>
          <w:szCs w:val="24"/>
        </w:rPr>
        <w:t xml:space="preserve">consideration of important issues and </w:t>
      </w:r>
      <w:r w:rsidR="005C41F1">
        <w:rPr>
          <w:rFonts w:cs="Times New Roman"/>
          <w:color w:val="010302"/>
          <w:sz w:val="24"/>
          <w:szCs w:val="24"/>
        </w:rPr>
        <w:t>claim</w:t>
      </w:r>
      <w:r w:rsidRPr="009035F4">
        <w:rPr>
          <w:rFonts w:cs="Times New Roman"/>
          <w:color w:val="010302"/>
          <w:sz w:val="24"/>
          <w:szCs w:val="24"/>
        </w:rPr>
        <w:t xml:space="preserve">s. </w:t>
      </w:r>
      <w:r w:rsidR="007B4CAB">
        <w:rPr>
          <w:rFonts w:cs="Times New Roman"/>
          <w:color w:val="010302"/>
          <w:sz w:val="24"/>
          <w:szCs w:val="24"/>
        </w:rPr>
        <w:t xml:space="preserve"> Whilst unnecessary delay is inconsistent with the proper administration of justice,</w:t>
      </w:r>
      <w:r w:rsidRPr="009035F4">
        <w:rPr>
          <w:rFonts w:cs="Times New Roman"/>
          <w:color w:val="010302"/>
          <w:sz w:val="24"/>
          <w:szCs w:val="24"/>
        </w:rPr>
        <w:t xml:space="preserve"> </w:t>
      </w:r>
      <w:r w:rsidR="007B4CAB">
        <w:rPr>
          <w:rFonts w:cs="Times New Roman"/>
          <w:color w:val="010302"/>
          <w:sz w:val="24"/>
          <w:szCs w:val="24"/>
        </w:rPr>
        <w:t>“</w:t>
      </w:r>
      <w:r w:rsidRPr="009035F4">
        <w:rPr>
          <w:rFonts w:cs="Times New Roman"/>
          <w:color w:val="010302"/>
          <w:sz w:val="24"/>
          <w:szCs w:val="24"/>
        </w:rPr>
        <w:t>justice must never be sacrificed on the altar of speed</w:t>
      </w:r>
      <w:r w:rsidR="007B4CAB">
        <w:rPr>
          <w:rFonts w:cs="Times New Roman"/>
          <w:color w:val="010302"/>
          <w:sz w:val="24"/>
          <w:szCs w:val="24"/>
        </w:rPr>
        <w:t xml:space="preserve">”. </w:t>
      </w:r>
      <w:r w:rsidRPr="009035F4">
        <w:rPr>
          <w:rFonts w:cs="Times New Roman"/>
          <w:color w:val="010302"/>
          <w:sz w:val="24"/>
          <w:szCs w:val="24"/>
        </w:rPr>
        <w:t xml:space="preserve"> (</w:t>
      </w:r>
      <w:r w:rsidR="007B4CAB">
        <w:rPr>
          <w:rFonts w:cs="Times New Roman"/>
          <w:color w:val="010302"/>
          <w:sz w:val="24"/>
          <w:szCs w:val="24"/>
        </w:rPr>
        <w:t>S</w:t>
      </w:r>
      <w:r w:rsidRPr="009035F4">
        <w:rPr>
          <w:rFonts w:cs="Times New Roman"/>
          <w:color w:val="010302"/>
          <w:sz w:val="24"/>
          <w:szCs w:val="24"/>
        </w:rPr>
        <w:t>ee</w:t>
      </w:r>
      <w:r w:rsidR="00512F45">
        <w:rPr>
          <w:rFonts w:cs="Times New Roman"/>
          <w:color w:val="010302"/>
          <w:sz w:val="24"/>
          <w:szCs w:val="24"/>
        </w:rPr>
        <w:t>,</w:t>
      </w:r>
      <w:r w:rsidR="00772259">
        <w:rPr>
          <w:rFonts w:cs="Times New Roman"/>
          <w:color w:val="010302"/>
          <w:sz w:val="24"/>
          <w:szCs w:val="24"/>
        </w:rPr>
        <w:t xml:space="preserve"> albeit</w:t>
      </w:r>
      <w:r w:rsidRPr="009035F4">
        <w:rPr>
          <w:rFonts w:cs="Times New Roman"/>
          <w:color w:val="010302"/>
          <w:sz w:val="24"/>
          <w:szCs w:val="24"/>
        </w:rPr>
        <w:t xml:space="preserve"> </w:t>
      </w:r>
      <w:r w:rsidR="007B4CAB">
        <w:rPr>
          <w:rFonts w:cs="Times New Roman"/>
          <w:color w:val="010302"/>
          <w:sz w:val="24"/>
          <w:szCs w:val="24"/>
        </w:rPr>
        <w:t>in a different jurisdiction</w:t>
      </w:r>
      <w:r w:rsidR="00512F45">
        <w:rPr>
          <w:rFonts w:cs="Times New Roman"/>
          <w:color w:val="010302"/>
          <w:sz w:val="24"/>
          <w:szCs w:val="24"/>
        </w:rPr>
        <w:t xml:space="preserve">, but where delay was particularly significant </w:t>
      </w:r>
      <w:proofErr w:type="spellStart"/>
      <w:r w:rsidR="00512F45">
        <w:rPr>
          <w:rFonts w:cs="Times New Roman"/>
          <w:color w:val="010302"/>
          <w:sz w:val="24"/>
          <w:szCs w:val="24"/>
        </w:rPr>
        <w:t>becasuse</w:t>
      </w:r>
      <w:proofErr w:type="spellEnd"/>
      <w:r w:rsidR="00512F45">
        <w:rPr>
          <w:rFonts w:cs="Times New Roman"/>
          <w:color w:val="010302"/>
          <w:sz w:val="24"/>
          <w:szCs w:val="24"/>
        </w:rPr>
        <w:t xml:space="preserve"> of a statutory time limit for proceedings per </w:t>
      </w:r>
      <w:proofErr w:type="spellStart"/>
      <w:r w:rsidR="00512F45">
        <w:rPr>
          <w:rFonts w:cs="Times New Roman"/>
          <w:color w:val="010302"/>
          <w:sz w:val="24"/>
          <w:szCs w:val="24"/>
        </w:rPr>
        <w:t>Paulfley</w:t>
      </w:r>
      <w:proofErr w:type="spellEnd"/>
      <w:r w:rsidR="00512F45">
        <w:rPr>
          <w:rFonts w:cs="Times New Roman"/>
          <w:color w:val="010302"/>
          <w:sz w:val="24"/>
          <w:szCs w:val="24"/>
        </w:rPr>
        <w:t xml:space="preserve"> J.</w:t>
      </w:r>
      <w:r w:rsidR="007B4CAB">
        <w:rPr>
          <w:rFonts w:cs="Times New Roman"/>
          <w:color w:val="010302"/>
          <w:sz w:val="24"/>
          <w:szCs w:val="24"/>
        </w:rPr>
        <w:t xml:space="preserve"> </w:t>
      </w:r>
      <w:r w:rsidRPr="009035F4">
        <w:rPr>
          <w:rFonts w:cs="Times New Roman"/>
          <w:color w:val="010302"/>
          <w:sz w:val="24"/>
          <w:szCs w:val="24"/>
        </w:rPr>
        <w:t xml:space="preserve">in </w:t>
      </w:r>
      <w:r w:rsidRPr="009035F4">
        <w:rPr>
          <w:rFonts w:cs="Times New Roman"/>
          <w:b/>
          <w:bCs/>
          <w:iCs/>
          <w:color w:val="010302"/>
          <w:sz w:val="24"/>
          <w:szCs w:val="24"/>
          <w:u w:val="single"/>
        </w:rPr>
        <w:t xml:space="preserve">Re: NL (A child) </w:t>
      </w:r>
      <w:r w:rsidRPr="009035F4">
        <w:rPr>
          <w:rFonts w:cs="Times New Roman"/>
          <w:color w:val="010302"/>
          <w:sz w:val="24"/>
          <w:szCs w:val="24"/>
        </w:rPr>
        <w:t>[2014] EWHC 270).</w:t>
      </w:r>
    </w:p>
    <w:p w14:paraId="4DF1BB50" w14:textId="3EB96C78" w:rsidR="00B968CF" w:rsidRPr="009035F4"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31.</w:t>
      </w:r>
      <w:r w:rsidRPr="009035F4">
        <w:rPr>
          <w:rFonts w:cs="Times New Roman"/>
          <w:color w:val="010302"/>
          <w:sz w:val="24"/>
          <w:szCs w:val="24"/>
        </w:rPr>
        <w:tab/>
        <w:t>In my judgment, two further issues are important. First, the position of litigants in person. Lawyers will be, or should be, familiar with the rules of procedure; litigants in person may not be. They may not appreciate the significance of a PH at which a preliminary issue is to be determined. E</w:t>
      </w:r>
      <w:r w:rsidR="00772259">
        <w:rPr>
          <w:rFonts w:cs="Times New Roman"/>
          <w:color w:val="010302"/>
          <w:sz w:val="24"/>
          <w:szCs w:val="24"/>
        </w:rPr>
        <w:t xml:space="preserve">mployment </w:t>
      </w:r>
      <w:r w:rsidR="00FE43A1" w:rsidRPr="009035F4">
        <w:rPr>
          <w:rFonts w:cs="Times New Roman"/>
          <w:color w:val="010302"/>
          <w:sz w:val="24"/>
          <w:szCs w:val="24"/>
        </w:rPr>
        <w:t>J</w:t>
      </w:r>
      <w:r w:rsidR="00FE43A1">
        <w:rPr>
          <w:rFonts w:cs="Times New Roman"/>
          <w:color w:val="010302"/>
          <w:sz w:val="24"/>
          <w:szCs w:val="24"/>
        </w:rPr>
        <w:t>udges</w:t>
      </w:r>
      <w:r w:rsidRPr="009035F4">
        <w:rPr>
          <w:rFonts w:cs="Times New Roman"/>
          <w:color w:val="010302"/>
          <w:sz w:val="24"/>
          <w:szCs w:val="24"/>
        </w:rPr>
        <w:t xml:space="preserve"> must be astute to ensure that before such a hearing proceeds</w:t>
      </w:r>
      <w:r w:rsidR="00B663CF">
        <w:rPr>
          <w:rFonts w:cs="Times New Roman"/>
          <w:color w:val="010302"/>
          <w:sz w:val="24"/>
          <w:szCs w:val="24"/>
        </w:rPr>
        <w:t>, particular</w:t>
      </w:r>
      <w:r w:rsidR="00772259">
        <w:rPr>
          <w:rFonts w:cs="Times New Roman"/>
          <w:color w:val="010302"/>
          <w:sz w:val="24"/>
          <w:szCs w:val="24"/>
        </w:rPr>
        <w:t>ly</w:t>
      </w:r>
      <w:r w:rsidR="00B663CF">
        <w:rPr>
          <w:rFonts w:cs="Times New Roman"/>
          <w:color w:val="010302"/>
          <w:sz w:val="24"/>
          <w:szCs w:val="24"/>
        </w:rPr>
        <w:t xml:space="preserve"> one where preliminary </w:t>
      </w:r>
      <w:proofErr w:type="gramStart"/>
      <w:r w:rsidR="00B663CF">
        <w:rPr>
          <w:rFonts w:cs="Times New Roman"/>
          <w:color w:val="010302"/>
          <w:sz w:val="24"/>
          <w:szCs w:val="24"/>
        </w:rPr>
        <w:t>issues</w:t>
      </w:r>
      <w:proofErr w:type="gramEnd"/>
      <w:r w:rsidR="00B663CF">
        <w:rPr>
          <w:rFonts w:cs="Times New Roman"/>
          <w:color w:val="010302"/>
          <w:sz w:val="24"/>
          <w:szCs w:val="24"/>
        </w:rPr>
        <w:t xml:space="preserve"> </w:t>
      </w:r>
      <w:r w:rsidR="00DC6A3E">
        <w:rPr>
          <w:rFonts w:cs="Times New Roman"/>
          <w:color w:val="010302"/>
          <w:sz w:val="24"/>
          <w:szCs w:val="24"/>
        </w:rPr>
        <w:t xml:space="preserve">(as defined above) </w:t>
      </w:r>
      <w:r w:rsidR="00B663CF">
        <w:rPr>
          <w:rFonts w:cs="Times New Roman"/>
          <w:color w:val="010302"/>
          <w:sz w:val="24"/>
          <w:szCs w:val="24"/>
        </w:rPr>
        <w:t>are determined.</w:t>
      </w:r>
      <w:r w:rsidRPr="009035F4">
        <w:rPr>
          <w:rFonts w:cs="Times New Roman"/>
          <w:color w:val="010302"/>
          <w:sz w:val="24"/>
          <w:szCs w:val="24"/>
        </w:rPr>
        <w:t xml:space="preserve"> a litigant in person has had adequate notice of both the hearing, the issues to be determined</w:t>
      </w:r>
      <w:r w:rsidR="00B663CF">
        <w:rPr>
          <w:rFonts w:cs="Times New Roman"/>
          <w:color w:val="010302"/>
          <w:sz w:val="24"/>
          <w:szCs w:val="24"/>
        </w:rPr>
        <w:t>,</w:t>
      </w:r>
      <w:r w:rsidRPr="009035F4">
        <w:rPr>
          <w:rFonts w:cs="Times New Roman"/>
          <w:color w:val="010302"/>
          <w:sz w:val="24"/>
          <w:szCs w:val="24"/>
        </w:rPr>
        <w:t xml:space="preserve"> ha</w:t>
      </w:r>
      <w:r w:rsidR="00B663CF">
        <w:rPr>
          <w:rFonts w:cs="Times New Roman"/>
          <w:color w:val="010302"/>
          <w:sz w:val="24"/>
          <w:szCs w:val="24"/>
        </w:rPr>
        <w:t xml:space="preserve">s </w:t>
      </w:r>
      <w:r w:rsidRPr="009035F4">
        <w:rPr>
          <w:rFonts w:cs="Times New Roman"/>
          <w:color w:val="010302"/>
          <w:sz w:val="24"/>
          <w:szCs w:val="24"/>
        </w:rPr>
        <w:t>understood the purpose of the hearing and</w:t>
      </w:r>
      <w:r w:rsidR="00B663CF">
        <w:rPr>
          <w:rFonts w:cs="Times New Roman"/>
          <w:color w:val="010302"/>
          <w:sz w:val="24"/>
          <w:szCs w:val="24"/>
        </w:rPr>
        <w:t xml:space="preserve"> (if appropriate) has</w:t>
      </w:r>
      <w:r w:rsidRPr="009035F4">
        <w:rPr>
          <w:rFonts w:cs="Times New Roman"/>
          <w:color w:val="010302"/>
          <w:sz w:val="24"/>
          <w:szCs w:val="24"/>
        </w:rPr>
        <w:t xml:space="preserve"> had time to reflect upon the need for evidence. </w:t>
      </w:r>
      <w:r w:rsidR="00772259">
        <w:rPr>
          <w:rFonts w:cs="Times New Roman"/>
          <w:color w:val="010302"/>
          <w:sz w:val="24"/>
          <w:szCs w:val="24"/>
        </w:rPr>
        <w:t>Secondly</w:t>
      </w:r>
      <w:r w:rsidR="009C6B7D">
        <w:rPr>
          <w:rFonts w:cs="Times New Roman"/>
          <w:color w:val="010302"/>
          <w:sz w:val="24"/>
          <w:szCs w:val="24"/>
        </w:rPr>
        <w:t xml:space="preserve">, </w:t>
      </w:r>
      <w:r w:rsidRPr="009035F4">
        <w:rPr>
          <w:rFonts w:cs="Times New Roman"/>
          <w:color w:val="010302"/>
          <w:sz w:val="24"/>
          <w:szCs w:val="24"/>
        </w:rPr>
        <w:t>the question of whether and when some issues should be determined at a preliminary hearing. One party may be keen to proceed with a preliminary hearing to determine what, from their perspective is a knock-out point. For the other, however, that may mean that determination of a key issue has taken place before a full hearing on the merits</w:t>
      </w:r>
      <w:r w:rsidR="00B663CF">
        <w:rPr>
          <w:rFonts w:cs="Times New Roman"/>
          <w:color w:val="010302"/>
          <w:sz w:val="24"/>
          <w:szCs w:val="24"/>
        </w:rPr>
        <w:t xml:space="preserve"> and prior </w:t>
      </w:r>
      <w:r w:rsidR="00DC6A3E">
        <w:rPr>
          <w:rFonts w:cs="Times New Roman"/>
          <w:color w:val="010302"/>
          <w:sz w:val="24"/>
          <w:szCs w:val="24"/>
        </w:rPr>
        <w:t xml:space="preserve">to </w:t>
      </w:r>
      <w:r w:rsidRPr="009035F4">
        <w:rPr>
          <w:rFonts w:cs="Times New Roman"/>
          <w:color w:val="010302"/>
          <w:sz w:val="24"/>
          <w:szCs w:val="24"/>
        </w:rPr>
        <w:t>disclosure having taken place</w:t>
      </w:r>
      <w:r w:rsidR="002E5369">
        <w:rPr>
          <w:rFonts w:cs="Times New Roman"/>
          <w:color w:val="010302"/>
          <w:sz w:val="24"/>
          <w:szCs w:val="24"/>
        </w:rPr>
        <w:t>. I</w:t>
      </w:r>
      <w:r w:rsidRPr="009035F4">
        <w:rPr>
          <w:rFonts w:cs="Times New Roman"/>
          <w:color w:val="010302"/>
          <w:sz w:val="24"/>
          <w:szCs w:val="24"/>
        </w:rPr>
        <w:t>t is vitally important, in my judgment, not to lose sight of the previously well stated principle: discrimination is highly fact sensitive. It is not uncommon that most of the</w:t>
      </w:r>
      <w:r w:rsidR="002E5369">
        <w:rPr>
          <w:rFonts w:cs="Times New Roman"/>
          <w:color w:val="010302"/>
          <w:sz w:val="24"/>
          <w:szCs w:val="24"/>
        </w:rPr>
        <w:t xml:space="preserve"> documentary</w:t>
      </w:r>
      <w:r w:rsidRPr="009035F4">
        <w:rPr>
          <w:rFonts w:cs="Times New Roman"/>
          <w:color w:val="010302"/>
          <w:sz w:val="24"/>
          <w:szCs w:val="24"/>
        </w:rPr>
        <w:t xml:space="preserve"> evidence will be in the hands of one party</w:t>
      </w:r>
      <w:r w:rsidR="002E5369">
        <w:rPr>
          <w:rFonts w:cs="Times New Roman"/>
          <w:color w:val="010302"/>
          <w:sz w:val="24"/>
          <w:szCs w:val="24"/>
        </w:rPr>
        <w:t xml:space="preserve">. </w:t>
      </w:r>
      <w:r w:rsidRPr="009035F4">
        <w:rPr>
          <w:rFonts w:cs="Times New Roman"/>
          <w:color w:val="010302"/>
          <w:sz w:val="24"/>
          <w:szCs w:val="24"/>
        </w:rPr>
        <w:t xml:space="preserve">It is for all these reasons that </w:t>
      </w:r>
      <w:r w:rsidR="009C6B7D">
        <w:rPr>
          <w:rFonts w:cs="Times New Roman"/>
          <w:color w:val="010302"/>
          <w:sz w:val="24"/>
          <w:szCs w:val="24"/>
        </w:rPr>
        <w:t xml:space="preserve">the </w:t>
      </w:r>
      <w:r w:rsidRPr="009035F4">
        <w:rPr>
          <w:rFonts w:cs="Times New Roman"/>
          <w:color w:val="010302"/>
          <w:sz w:val="24"/>
          <w:szCs w:val="24"/>
        </w:rPr>
        <w:t>principles have been stated</w:t>
      </w:r>
      <w:r w:rsidR="00DC6A3E">
        <w:rPr>
          <w:rFonts w:cs="Times New Roman"/>
          <w:color w:val="010302"/>
          <w:sz w:val="24"/>
          <w:szCs w:val="24"/>
        </w:rPr>
        <w:t>,</w:t>
      </w:r>
      <w:r w:rsidRPr="009035F4">
        <w:rPr>
          <w:rFonts w:cs="Times New Roman"/>
          <w:color w:val="010302"/>
          <w:sz w:val="24"/>
          <w:szCs w:val="24"/>
        </w:rPr>
        <w:t xml:space="preserve"> time and time again</w:t>
      </w:r>
      <w:r w:rsidR="00DC6A3E">
        <w:rPr>
          <w:rFonts w:cs="Times New Roman"/>
          <w:color w:val="010302"/>
          <w:sz w:val="24"/>
          <w:szCs w:val="24"/>
        </w:rPr>
        <w:t>,</w:t>
      </w:r>
      <w:r w:rsidRPr="009035F4">
        <w:rPr>
          <w:rFonts w:cs="Times New Roman"/>
          <w:color w:val="010302"/>
          <w:sz w:val="24"/>
          <w:szCs w:val="24"/>
        </w:rPr>
        <w:t xml:space="preserve"> </w:t>
      </w:r>
      <w:r w:rsidR="007B4EBC" w:rsidRPr="009035F4">
        <w:rPr>
          <w:rFonts w:cs="Times New Roman"/>
          <w:color w:val="010302"/>
          <w:sz w:val="24"/>
          <w:szCs w:val="24"/>
        </w:rPr>
        <w:t>that only</w:t>
      </w:r>
      <w:r w:rsidRPr="009035F4">
        <w:rPr>
          <w:rFonts w:cs="Times New Roman"/>
          <w:color w:val="010302"/>
          <w:sz w:val="24"/>
          <w:szCs w:val="24"/>
        </w:rPr>
        <w:t xml:space="preserve"> in the clearest of cases should a discrimination case be struck out without full consideration of the merits.</w:t>
      </w:r>
    </w:p>
    <w:p w14:paraId="04C6CAA0" w14:textId="40B6A734" w:rsidR="00FA3EFC" w:rsidRDefault="00B968CF" w:rsidP="0091566F">
      <w:pPr>
        <w:pStyle w:val="ListParagraph"/>
        <w:tabs>
          <w:tab w:val="left" w:pos="0"/>
        </w:tabs>
        <w:spacing w:before="240" w:line="480" w:lineRule="auto"/>
        <w:jc w:val="both"/>
        <w:rPr>
          <w:rFonts w:cs="Times New Roman"/>
          <w:iCs/>
          <w:color w:val="010302"/>
          <w:sz w:val="24"/>
          <w:szCs w:val="24"/>
        </w:rPr>
      </w:pPr>
      <w:r w:rsidRPr="009035F4">
        <w:rPr>
          <w:rFonts w:cs="Times New Roman"/>
          <w:color w:val="010302"/>
          <w:sz w:val="24"/>
          <w:szCs w:val="24"/>
        </w:rPr>
        <w:t>32.</w:t>
      </w:r>
      <w:r w:rsidRPr="009035F4">
        <w:rPr>
          <w:rFonts w:cs="Times New Roman"/>
          <w:color w:val="010302"/>
          <w:sz w:val="24"/>
          <w:szCs w:val="24"/>
        </w:rPr>
        <w:tab/>
      </w:r>
      <w:r w:rsidR="009C6B7D">
        <w:rPr>
          <w:rFonts w:cs="Times New Roman"/>
          <w:color w:val="010302"/>
          <w:sz w:val="24"/>
          <w:szCs w:val="24"/>
        </w:rPr>
        <w:t>For similar reasons, there is authority to support the proposition that c</w:t>
      </w:r>
      <w:r w:rsidRPr="009035F4">
        <w:rPr>
          <w:rFonts w:cs="Times New Roman"/>
          <w:color w:val="010302"/>
          <w:sz w:val="24"/>
          <w:szCs w:val="24"/>
        </w:rPr>
        <w:t>aution applies to consideration of limitation issues in discrimination cases</w:t>
      </w:r>
      <w:r w:rsidR="009C6B7D">
        <w:rPr>
          <w:rFonts w:cs="Times New Roman"/>
          <w:color w:val="010302"/>
          <w:sz w:val="24"/>
          <w:szCs w:val="24"/>
        </w:rPr>
        <w:t xml:space="preserve"> at a preliminary stage</w:t>
      </w:r>
      <w:r w:rsidRPr="009035F4">
        <w:rPr>
          <w:rFonts w:cs="Times New Roman"/>
          <w:color w:val="010302"/>
          <w:sz w:val="24"/>
          <w:szCs w:val="24"/>
        </w:rPr>
        <w:t>. In practice</w:t>
      </w:r>
      <w:r w:rsidR="002E5369">
        <w:rPr>
          <w:rFonts w:cs="Times New Roman"/>
          <w:color w:val="010302"/>
          <w:sz w:val="24"/>
          <w:szCs w:val="24"/>
        </w:rPr>
        <w:t>,</w:t>
      </w:r>
      <w:r w:rsidRPr="009035F4">
        <w:rPr>
          <w:rFonts w:cs="Times New Roman"/>
          <w:color w:val="010302"/>
          <w:sz w:val="24"/>
          <w:szCs w:val="24"/>
        </w:rPr>
        <w:t xml:space="preserve"> </w:t>
      </w:r>
      <w:r w:rsidR="00CF3E6B">
        <w:rPr>
          <w:rFonts w:cs="Times New Roman"/>
          <w:color w:val="010302"/>
          <w:sz w:val="24"/>
          <w:szCs w:val="24"/>
        </w:rPr>
        <w:t xml:space="preserve">those issues may be so closely inter-twined with </w:t>
      </w:r>
      <w:r w:rsidRPr="009035F4">
        <w:rPr>
          <w:rFonts w:cs="Times New Roman"/>
          <w:color w:val="010302"/>
          <w:sz w:val="24"/>
          <w:szCs w:val="24"/>
        </w:rPr>
        <w:t xml:space="preserve">merits of the </w:t>
      </w:r>
      <w:r w:rsidR="005C41F1">
        <w:rPr>
          <w:rFonts w:cs="Times New Roman"/>
          <w:color w:val="010302"/>
          <w:sz w:val="24"/>
          <w:szCs w:val="24"/>
        </w:rPr>
        <w:t>claim</w:t>
      </w:r>
      <w:r w:rsidRPr="009035F4">
        <w:rPr>
          <w:rFonts w:cs="Times New Roman"/>
          <w:color w:val="010302"/>
          <w:sz w:val="24"/>
          <w:szCs w:val="24"/>
        </w:rPr>
        <w:t xml:space="preserve">s themselves. For example, it may not </w:t>
      </w:r>
      <w:r w:rsidRPr="009035F4">
        <w:rPr>
          <w:rFonts w:cs="Times New Roman"/>
          <w:color w:val="010302"/>
          <w:sz w:val="24"/>
          <w:szCs w:val="24"/>
        </w:rPr>
        <w:lastRenderedPageBreak/>
        <w:t>be possible to determine whether an act extended over a period</w:t>
      </w:r>
      <w:r w:rsidR="009C6B7D">
        <w:rPr>
          <w:rFonts w:cs="Times New Roman"/>
          <w:color w:val="010302"/>
          <w:sz w:val="24"/>
          <w:szCs w:val="24"/>
        </w:rPr>
        <w:t xml:space="preserve"> within the meaning of s</w:t>
      </w:r>
      <w:r w:rsidR="00CF3E6B">
        <w:rPr>
          <w:rFonts w:cs="Times New Roman"/>
          <w:color w:val="010302"/>
          <w:sz w:val="24"/>
          <w:szCs w:val="24"/>
        </w:rPr>
        <w:t>123(3) of the EqA 1010</w:t>
      </w:r>
      <w:r w:rsidR="009C6B7D">
        <w:rPr>
          <w:rFonts w:cs="Times New Roman"/>
          <w:color w:val="010302"/>
          <w:sz w:val="24"/>
          <w:szCs w:val="24"/>
        </w:rPr>
        <w:t>.</w:t>
      </w:r>
      <w:r w:rsidRPr="009035F4">
        <w:rPr>
          <w:rFonts w:cs="Times New Roman"/>
          <w:color w:val="010302"/>
          <w:sz w:val="24"/>
          <w:szCs w:val="24"/>
        </w:rPr>
        <w:t xml:space="preserve"> unless and until a decision is made about whether separate incidents amounted to unlawful discrimination. </w:t>
      </w:r>
      <w:r w:rsidR="007A0E9D">
        <w:rPr>
          <w:rFonts w:cs="Times New Roman"/>
          <w:color w:val="010302"/>
          <w:sz w:val="24"/>
          <w:szCs w:val="24"/>
        </w:rPr>
        <w:t xml:space="preserve">Consequently, </w:t>
      </w:r>
      <w:r w:rsidR="00FB2C1A">
        <w:rPr>
          <w:rFonts w:cs="Times New Roman"/>
          <w:color w:val="010302"/>
          <w:sz w:val="24"/>
          <w:szCs w:val="24"/>
        </w:rPr>
        <w:t>there may be n</w:t>
      </w:r>
      <w:r w:rsidRPr="009035F4">
        <w:rPr>
          <w:rFonts w:cs="Times New Roman"/>
          <w:color w:val="010302"/>
          <w:sz w:val="24"/>
          <w:szCs w:val="24"/>
        </w:rPr>
        <w:t xml:space="preserve">o appreciable saving of time in seeking to determine those </w:t>
      </w:r>
      <w:r w:rsidR="00FB2C1A">
        <w:rPr>
          <w:rFonts w:cs="Times New Roman"/>
          <w:color w:val="010302"/>
          <w:sz w:val="24"/>
          <w:szCs w:val="24"/>
        </w:rPr>
        <w:t xml:space="preserve">limitation </w:t>
      </w:r>
      <w:r w:rsidRPr="009035F4">
        <w:rPr>
          <w:rFonts w:cs="Times New Roman"/>
          <w:color w:val="010302"/>
          <w:sz w:val="24"/>
          <w:szCs w:val="24"/>
        </w:rPr>
        <w:t>issues at a preliminary hearing.</w:t>
      </w:r>
      <w:r w:rsidR="00FB2C1A">
        <w:rPr>
          <w:rFonts w:cs="Times New Roman"/>
          <w:color w:val="010302"/>
          <w:sz w:val="24"/>
          <w:szCs w:val="24"/>
        </w:rPr>
        <w:t xml:space="preserve"> </w:t>
      </w:r>
      <w:r w:rsidR="00CF3E6B">
        <w:rPr>
          <w:rFonts w:cs="Times New Roman"/>
          <w:color w:val="010302"/>
          <w:sz w:val="24"/>
          <w:szCs w:val="24"/>
        </w:rPr>
        <w:t>See further the s</w:t>
      </w:r>
      <w:r w:rsidRPr="009035F4">
        <w:rPr>
          <w:rFonts w:cs="Times New Roman"/>
          <w:color w:val="010302"/>
          <w:sz w:val="24"/>
          <w:szCs w:val="24"/>
        </w:rPr>
        <w:t xml:space="preserve">pecific guidance set out by </w:t>
      </w:r>
      <w:r w:rsidR="00D46FDB" w:rsidRPr="009035F4">
        <w:rPr>
          <w:rFonts w:cs="Times New Roman"/>
          <w:color w:val="010302"/>
          <w:sz w:val="24"/>
          <w:szCs w:val="24"/>
        </w:rPr>
        <w:t>Ellenbogen</w:t>
      </w:r>
      <w:r w:rsidRPr="009035F4">
        <w:rPr>
          <w:rFonts w:cs="Times New Roman"/>
          <w:color w:val="010302"/>
          <w:sz w:val="24"/>
          <w:szCs w:val="24"/>
        </w:rPr>
        <w:t xml:space="preserve"> J, in </w:t>
      </w:r>
      <w:r w:rsidR="00190EB6" w:rsidRPr="009035F4">
        <w:rPr>
          <w:rFonts w:cs="Times New Roman"/>
          <w:b/>
          <w:bCs/>
          <w:iCs/>
          <w:color w:val="010302"/>
          <w:sz w:val="24"/>
          <w:szCs w:val="24"/>
          <w:u w:val="single"/>
        </w:rPr>
        <w:t>E v 1) X 2) L and 3) Z</w:t>
      </w:r>
      <w:r w:rsidR="00190EB6" w:rsidRPr="009035F4">
        <w:rPr>
          <w:rFonts w:cs="Times New Roman"/>
          <w:b/>
          <w:bCs/>
          <w:iCs/>
          <w:color w:val="010302"/>
          <w:sz w:val="24"/>
          <w:szCs w:val="24"/>
        </w:rPr>
        <w:t xml:space="preserve"> </w:t>
      </w:r>
      <w:r w:rsidR="00190EB6" w:rsidRPr="009035F4">
        <w:rPr>
          <w:rFonts w:cs="Times New Roman"/>
          <w:iCs/>
          <w:color w:val="010302"/>
          <w:sz w:val="24"/>
          <w:szCs w:val="24"/>
        </w:rPr>
        <w:t>UKEAT/0079/20/RN</w:t>
      </w:r>
      <w:r w:rsidR="0030417B">
        <w:rPr>
          <w:rFonts w:cs="Times New Roman"/>
          <w:iCs/>
          <w:color w:val="010302"/>
          <w:sz w:val="24"/>
          <w:szCs w:val="24"/>
        </w:rPr>
        <w:t xml:space="preserve">. Having referred to the Judgment of HHJ Auerbach in </w:t>
      </w:r>
      <w:r w:rsidR="0030417B" w:rsidRPr="00E61DD5">
        <w:rPr>
          <w:b/>
          <w:bCs/>
        </w:rPr>
        <w:t>Caterham School Ltd v Rose</w:t>
      </w:r>
      <w:r w:rsidR="0030417B">
        <w:t xml:space="preserve"> (UKEAT/0149/RN), Mrs Justice Ell</w:t>
      </w:r>
      <w:r w:rsidR="00DC6A3E">
        <w:t>e</w:t>
      </w:r>
      <w:r w:rsidR="0030417B">
        <w:t xml:space="preserve">nbogen expressed some limited disagreement with one of the points made in that case. In that case the EAT had </w:t>
      </w:r>
      <w:r w:rsidR="008A478B">
        <w:t xml:space="preserve">considered an appeal from a tribunal’s determination that treatment complained of, up to and including a complaint of constructive dismissal, had all formed part of a </w:t>
      </w:r>
      <w:r w:rsidR="009F6836">
        <w:t>“conduct extending over a period” for the purposes of s.123(3)(a) of the EqA 2010</w:t>
      </w:r>
      <w:r w:rsidR="008432F1">
        <w:t xml:space="preserve">. </w:t>
      </w:r>
      <w:r w:rsidR="002D4DE3">
        <w:t xml:space="preserve">In </w:t>
      </w:r>
      <w:r w:rsidR="002D4DE3">
        <w:rPr>
          <w:b/>
          <w:bCs/>
        </w:rPr>
        <w:t>Cater</w:t>
      </w:r>
      <w:r w:rsidR="00C73149">
        <w:rPr>
          <w:b/>
          <w:bCs/>
        </w:rPr>
        <w:t xml:space="preserve">ham, </w:t>
      </w:r>
      <w:r w:rsidR="008432F1">
        <w:t>HHJ Auerbach had stated</w:t>
      </w:r>
      <w:r w:rsidR="00FA3EFC">
        <w:rPr>
          <w:rFonts w:cs="Times New Roman"/>
          <w:iCs/>
          <w:color w:val="010302"/>
          <w:sz w:val="24"/>
          <w:szCs w:val="24"/>
        </w:rPr>
        <w:t>:</w:t>
      </w:r>
    </w:p>
    <w:p w14:paraId="227A489C" w14:textId="02C9D695" w:rsidR="002D4DE3" w:rsidRDefault="00C73149" w:rsidP="00A52A22">
      <w:pPr>
        <w:pStyle w:val="ListParagraph"/>
        <w:tabs>
          <w:tab w:val="left" w:pos="0"/>
        </w:tabs>
        <w:spacing w:before="240" w:line="276" w:lineRule="auto"/>
        <w:ind w:left="1440"/>
        <w:jc w:val="both"/>
      </w:pPr>
      <w:r>
        <w:t>“</w:t>
      </w:r>
      <w:r w:rsidR="002D4DE3">
        <w:t>59. The differences</w:t>
      </w:r>
      <w:proofErr w:type="gramStart"/>
      <w:r w:rsidR="002D4DE3">
        <w:t>, in particular, between</w:t>
      </w:r>
      <w:proofErr w:type="gramEnd"/>
      <w:r w:rsidR="002D4DE3">
        <w:t xml:space="preserve"> consideration of a substantive issue, and consideration of a strike out application, at a Preliminary Hearing, are generally well understood, but still worth restating. </w:t>
      </w:r>
      <w:r w:rsidR="002D4DE3" w:rsidRPr="00B44660">
        <w:t>A strike out application in respect of some part of a claim can (and should) be approached assuming, for that purpose, the facts to be as pleaded by the Claimant.</w:t>
      </w:r>
      <w:r w:rsidR="002D4DE3">
        <w:t xml:space="preserve"> </w:t>
      </w:r>
      <w:r w:rsidR="002D4DE3" w:rsidRPr="00C73149">
        <w:rPr>
          <w:i/>
          <w:iCs/>
        </w:rPr>
        <w:t>That does not require evidence or actual findings of fact.</w:t>
      </w:r>
      <w:r w:rsidR="002D4DE3">
        <w:t xml:space="preserve"> If a strike out application succeeds, on the basis that, even if all the facts were as pleaded, the complaint would have no reasonable prospect of success (whether because of a time point, or on the merits), that will bring that complaint to an end. But if a strike out application fails, the point is not decided in the Claimant’s favour. The Respondent, as well as the Claimant, lives to fight another day, at the Full Hearing, on the time point and/or whatever point it may be</w:t>
      </w:r>
      <w:r>
        <w:t>”</w:t>
      </w:r>
      <w:r w:rsidR="002D4DE3">
        <w:t>.</w:t>
      </w:r>
      <w:r>
        <w:t xml:space="preserve"> (Emphasis added)</w:t>
      </w:r>
    </w:p>
    <w:p w14:paraId="04E079B2" w14:textId="3F1FA4B1" w:rsidR="00C73149" w:rsidRPr="00C73149" w:rsidRDefault="00C73149" w:rsidP="00C73149">
      <w:pPr>
        <w:tabs>
          <w:tab w:val="left" w:pos="0"/>
        </w:tabs>
        <w:spacing w:before="240" w:line="480" w:lineRule="auto"/>
        <w:jc w:val="both"/>
        <w:rPr>
          <w:rFonts w:cs="Times New Roman"/>
          <w:iCs/>
          <w:color w:val="010302"/>
          <w:sz w:val="24"/>
          <w:szCs w:val="24"/>
        </w:rPr>
      </w:pPr>
      <w:r>
        <w:rPr>
          <w:rFonts w:cs="Times New Roman"/>
          <w:iCs/>
          <w:color w:val="010302"/>
          <w:sz w:val="24"/>
          <w:szCs w:val="24"/>
        </w:rPr>
        <w:t>Mrs Justice Ellen</w:t>
      </w:r>
      <w:r w:rsidR="00D97789">
        <w:rPr>
          <w:rFonts w:cs="Times New Roman"/>
          <w:iCs/>
          <w:color w:val="010302"/>
          <w:sz w:val="24"/>
          <w:szCs w:val="24"/>
        </w:rPr>
        <w:t>bogen expressed disagreement with the point italicised above. She stated:</w:t>
      </w:r>
    </w:p>
    <w:p w14:paraId="30954D6C" w14:textId="24F3C325" w:rsidR="00C33BE9" w:rsidRDefault="00ED6849" w:rsidP="00A52A22">
      <w:pPr>
        <w:pStyle w:val="ListParagraph"/>
        <w:tabs>
          <w:tab w:val="left" w:pos="0"/>
        </w:tabs>
        <w:spacing w:before="240" w:line="276" w:lineRule="auto"/>
        <w:ind w:left="720"/>
        <w:jc w:val="both"/>
      </w:pPr>
      <w:proofErr w:type="gramStart"/>
      <w:r>
        <w:rPr>
          <w:rFonts w:cs="Times New Roman"/>
          <w:iCs/>
          <w:color w:val="010302"/>
          <w:sz w:val="24"/>
          <w:szCs w:val="24"/>
        </w:rPr>
        <w:t>“</w:t>
      </w:r>
      <w:r w:rsidR="00FB2C1A">
        <w:rPr>
          <w:rFonts w:cs="Times New Roman"/>
          <w:iCs/>
          <w:color w:val="010302"/>
          <w:sz w:val="24"/>
          <w:szCs w:val="24"/>
        </w:rPr>
        <w:t xml:space="preserve"> </w:t>
      </w:r>
      <w:r w:rsidR="00FA3EFC">
        <w:t>47</w:t>
      </w:r>
      <w:proofErr w:type="gramEnd"/>
      <w:r w:rsidR="00FA3EFC">
        <w:t xml:space="preserve">. With respect to His Honour Judge Auerbach, I do not share his view as stated at paragraph 59, that: “A strike out application in respect of some part of a claim can (and should) be approached assuming, for that purpose, the facts to be as pleaded by the Claimant. </w:t>
      </w:r>
      <w:r w:rsidR="00FA3EFC" w:rsidRPr="00B44660">
        <w:rPr>
          <w:u w:val="single"/>
        </w:rPr>
        <w:t>That does not require evidence or actual findings of fact</w:t>
      </w:r>
      <w:r w:rsidR="00FA3EFC">
        <w:t xml:space="preserve">.” (emphasis added.) It seems to me that the emphasised parts of such a conclusion are at odds with the conclusion of Hooper LJ, at paragraphs 10 and 11 of </w:t>
      </w:r>
      <w:proofErr w:type="spellStart"/>
      <w:r w:rsidR="00FA3EFC" w:rsidRPr="00C33BE9">
        <w:rPr>
          <w:b/>
          <w:bCs/>
        </w:rPr>
        <w:t>Lyfar</w:t>
      </w:r>
      <w:proofErr w:type="spellEnd"/>
      <w:r w:rsidR="00FA3EFC">
        <w:t xml:space="preserve"> (cited above), by which I am bound. It is also at odds with the way in which such cases proceed in practice and without criticism by the higher courts – see, for example, </w:t>
      </w:r>
      <w:r w:rsidR="00FA3EFC" w:rsidRPr="00407379">
        <w:rPr>
          <w:b/>
          <w:bCs/>
        </w:rPr>
        <w:t>Hendricks</w:t>
      </w:r>
      <w:r w:rsidR="00FA3EFC">
        <w:t xml:space="preserve">, at paragraph 22, from which it is clear that the claimant had produced a 42-page witness statement and given oral evidence at the preliminary hearing. In my judgment, whilst, in any given case, it may be possible and appropriate to determine a strike-out application by reference to the pleaded case alone, it cannot be said that that approach should be adopted on every occasion. That is not to say that the tribunal is to consider the assertions made by the claimant uncritically, or to disregard any implausible aspects of the claimant’s case, taken at its highest. Save, possibly, to highlight any factual basis for asserted implausibility (which is not synonymous with the mere running of an alternative case), one would not expect evidence to be called by a respondent in relation to the existence, or otherwise, of a prima facie case </w:t>
      </w:r>
      <w:r w:rsidR="00FA3EFC">
        <w:lastRenderedPageBreak/>
        <w:t xml:space="preserve">(see, for example, paragraph 36 of </w:t>
      </w:r>
      <w:r w:rsidR="00FA3EFC" w:rsidRPr="00A52A22">
        <w:rPr>
          <w:b/>
          <w:bCs/>
        </w:rPr>
        <w:t>Hendricks</w:t>
      </w:r>
      <w:r w:rsidR="00FA3EFC">
        <w:t xml:space="preserve">; and paragraphs 23 and 35 of </w:t>
      </w:r>
      <w:r w:rsidR="00FA3EFC" w:rsidRPr="00A52A22">
        <w:rPr>
          <w:b/>
          <w:bCs/>
        </w:rPr>
        <w:t>Aziz</w:t>
      </w:r>
      <w:r w:rsidR="00FA3EFC">
        <w:t xml:space="preserve">). </w:t>
      </w:r>
    </w:p>
    <w:p w14:paraId="26C2A7B6" w14:textId="500B8B00" w:rsidR="00C33BE9" w:rsidRDefault="00C33BE9" w:rsidP="00A52A22">
      <w:pPr>
        <w:pStyle w:val="ListParagraph"/>
        <w:tabs>
          <w:tab w:val="left" w:pos="0"/>
        </w:tabs>
        <w:spacing w:before="240" w:line="276" w:lineRule="auto"/>
        <w:ind w:left="720"/>
        <w:jc w:val="both"/>
      </w:pPr>
      <w:r>
        <w:rPr>
          <w:rFonts w:cs="Times New Roman"/>
          <w:iCs/>
          <w:color w:val="010302"/>
          <w:sz w:val="24"/>
          <w:szCs w:val="24"/>
        </w:rPr>
        <w:t>…</w:t>
      </w:r>
    </w:p>
    <w:p w14:paraId="16DEDAC0" w14:textId="26BC2EFC" w:rsidR="000149E1" w:rsidRDefault="00FA3EFC" w:rsidP="00A52A22">
      <w:pPr>
        <w:pStyle w:val="ListParagraph"/>
        <w:tabs>
          <w:tab w:val="left" w:pos="0"/>
        </w:tabs>
        <w:spacing w:before="240" w:line="276" w:lineRule="auto"/>
        <w:ind w:left="720"/>
        <w:jc w:val="both"/>
      </w:pPr>
      <w:r>
        <w:t xml:space="preserve">50. With the qualification to which I have referred at paragraph 47 above, from the above authorities the following principles may be derived: </w:t>
      </w:r>
    </w:p>
    <w:p w14:paraId="28B01AF6" w14:textId="77777777" w:rsidR="003700C9" w:rsidRDefault="00FA3EFC" w:rsidP="00A52A22">
      <w:pPr>
        <w:pStyle w:val="ListParagraph"/>
        <w:tabs>
          <w:tab w:val="left" w:pos="0"/>
        </w:tabs>
        <w:spacing w:before="240" w:line="276" w:lineRule="auto"/>
        <w:ind w:left="720"/>
        <w:jc w:val="both"/>
      </w:pPr>
      <w:r>
        <w:t xml:space="preserve">1) In order to identify the substance of the acts of which complaint is made, it is necessary to look at the claim form: </w:t>
      </w:r>
      <w:proofErr w:type="spellStart"/>
      <w:r w:rsidRPr="003700C9">
        <w:rPr>
          <w:b/>
          <w:bCs/>
        </w:rPr>
        <w:t>Sougrin</w:t>
      </w:r>
      <w:proofErr w:type="spellEnd"/>
      <w:r w:rsidR="000149E1" w:rsidRPr="003700C9">
        <w:rPr>
          <w:b/>
          <w:bCs/>
        </w:rPr>
        <w:t xml:space="preserve"> v Haringey Health Authority</w:t>
      </w:r>
      <w:r w:rsidR="003700C9">
        <w:t xml:space="preserve"> [1992] ICR 650 CA</w:t>
      </w:r>
      <w:r>
        <w:t xml:space="preserve">; </w:t>
      </w:r>
    </w:p>
    <w:p w14:paraId="35D9498D" w14:textId="4FFB466F" w:rsidR="003700C9" w:rsidRDefault="00FA3EFC" w:rsidP="00A52A22">
      <w:pPr>
        <w:pStyle w:val="ListParagraph"/>
        <w:tabs>
          <w:tab w:val="left" w:pos="0"/>
        </w:tabs>
        <w:spacing w:before="240" w:line="276" w:lineRule="auto"/>
        <w:ind w:left="720"/>
        <w:jc w:val="both"/>
      </w:pPr>
      <w:r>
        <w:t>2) It is appropriate to consider the way in which a claimant puts his or her case and</w:t>
      </w:r>
      <w:proofErr w:type="gramStart"/>
      <w:r>
        <w:t>, in particular, whether</w:t>
      </w:r>
      <w:proofErr w:type="gramEnd"/>
      <w:r>
        <w:t xml:space="preserve"> there is said to be a link between the acts of which complaint is made. The fact that the alleged acts in question may be framed as different species of discrimination (and harassment) is immaterial: </w:t>
      </w:r>
      <w:r w:rsidRPr="006E6472">
        <w:rPr>
          <w:b/>
          <w:bCs/>
        </w:rPr>
        <w:t>Robinson</w:t>
      </w:r>
      <w:r w:rsidR="004410FB" w:rsidRPr="006E6472">
        <w:rPr>
          <w:b/>
          <w:bCs/>
        </w:rPr>
        <w:t xml:space="preserve"> v Royal Surrey County Hospital NHS Foundation Trust </w:t>
      </w:r>
      <w:r w:rsidR="004410FB">
        <w:t>(</w:t>
      </w:r>
      <w:r w:rsidR="006E6472">
        <w:t>UKEAT/0311/14/MC)</w:t>
      </w:r>
      <w:r>
        <w:t xml:space="preserve">; </w:t>
      </w:r>
    </w:p>
    <w:p w14:paraId="11B803AF" w14:textId="77777777" w:rsidR="00666208" w:rsidRDefault="00FA3EFC" w:rsidP="00A52A22">
      <w:pPr>
        <w:pStyle w:val="ListParagraph"/>
        <w:tabs>
          <w:tab w:val="left" w:pos="0"/>
        </w:tabs>
        <w:spacing w:before="240" w:line="276" w:lineRule="auto"/>
        <w:ind w:left="720"/>
        <w:jc w:val="both"/>
      </w:pPr>
      <w:r>
        <w:t xml:space="preserve">3) Nonetheless, it is not essential that a positive assertion that the claimant is complaining of a continuing discriminatory </w:t>
      </w:r>
      <w:proofErr w:type="gramStart"/>
      <w:r>
        <w:t>state of affairs</w:t>
      </w:r>
      <w:proofErr w:type="gramEnd"/>
      <w:r>
        <w:t xml:space="preserve"> be explicitly stated, either in the claim form, or in the list of issues. Such a contention may become apparent from evidence or submissions made, once a time point is taken against the claimant: </w:t>
      </w:r>
      <w:bookmarkStart w:id="1" w:name="_Hlk160784013"/>
      <w:r w:rsidRPr="00CA627E">
        <w:rPr>
          <w:b/>
          <w:bCs/>
        </w:rPr>
        <w:t>Sridhar</w:t>
      </w:r>
      <w:r w:rsidR="00CA627E" w:rsidRPr="00CA627E">
        <w:rPr>
          <w:b/>
          <w:bCs/>
        </w:rPr>
        <w:t xml:space="preserve"> v Kingston Hospital NHS Foundation Trust</w:t>
      </w:r>
      <w:r w:rsidR="00666208">
        <w:t xml:space="preserve"> (UKEAT/0066/20/LA)</w:t>
      </w:r>
    </w:p>
    <w:bookmarkEnd w:id="1"/>
    <w:p w14:paraId="5E253BDF" w14:textId="77777777" w:rsidR="00666208" w:rsidRDefault="00FA3EFC" w:rsidP="00A52A22">
      <w:pPr>
        <w:pStyle w:val="ListParagraph"/>
        <w:tabs>
          <w:tab w:val="left" w:pos="0"/>
        </w:tabs>
        <w:spacing w:before="240" w:line="276" w:lineRule="auto"/>
        <w:ind w:left="720"/>
        <w:jc w:val="both"/>
      </w:pPr>
      <w:r>
        <w:t xml:space="preserve">4) It is important that the issues for determination by the tribunal at a preliminary hearing have been identified with clarity. That will include identification of whether the tribunal is being asked: </w:t>
      </w:r>
    </w:p>
    <w:p w14:paraId="1DF49769" w14:textId="77777777" w:rsidR="00666208" w:rsidRDefault="00FA3EFC" w:rsidP="00A52A22">
      <w:pPr>
        <w:pStyle w:val="ListParagraph"/>
        <w:tabs>
          <w:tab w:val="left" w:pos="0"/>
        </w:tabs>
        <w:spacing w:before="240" w:line="276" w:lineRule="auto"/>
        <w:ind w:left="1440"/>
        <w:jc w:val="both"/>
      </w:pPr>
      <w:r>
        <w:t xml:space="preserve">(1) to consider whether a particular allegation or complaint should be struck out, because no prima facie case can be demonstrated, or </w:t>
      </w:r>
    </w:p>
    <w:p w14:paraId="57CF9077" w14:textId="77777777" w:rsidR="00666208" w:rsidRDefault="00FA3EFC" w:rsidP="00A52A22">
      <w:pPr>
        <w:pStyle w:val="ListParagraph"/>
        <w:tabs>
          <w:tab w:val="left" w:pos="0"/>
        </w:tabs>
        <w:spacing w:before="240" w:line="276" w:lineRule="auto"/>
        <w:ind w:left="1440"/>
        <w:jc w:val="both"/>
      </w:pPr>
      <w:r>
        <w:t>(2) substantively to determine the limitation issue:</w:t>
      </w:r>
    </w:p>
    <w:p w14:paraId="6B0915BE" w14:textId="1B4434B2" w:rsidR="00666208" w:rsidRDefault="00FA3EFC" w:rsidP="00A52A22">
      <w:pPr>
        <w:pStyle w:val="ListParagraph"/>
        <w:tabs>
          <w:tab w:val="left" w:pos="0"/>
        </w:tabs>
        <w:spacing w:before="240" w:line="276" w:lineRule="auto"/>
        <w:ind w:left="1440"/>
        <w:jc w:val="both"/>
      </w:pPr>
      <w:r>
        <w:t xml:space="preserve"> </w:t>
      </w:r>
      <w:bookmarkStart w:id="2" w:name="_Hlk160784067"/>
      <w:r w:rsidRPr="00E61DD5">
        <w:rPr>
          <w:b/>
          <w:bCs/>
        </w:rPr>
        <w:t>Caterham</w:t>
      </w:r>
      <w:r w:rsidR="00E61DD5" w:rsidRPr="00E61DD5">
        <w:rPr>
          <w:b/>
          <w:bCs/>
        </w:rPr>
        <w:t xml:space="preserve"> School Ltd v Rose</w:t>
      </w:r>
      <w:r w:rsidR="00E61DD5">
        <w:t xml:space="preserve"> (UKEAT/0149/RN)</w:t>
      </w:r>
      <w:bookmarkEnd w:id="2"/>
      <w:r>
        <w:t xml:space="preserve">; </w:t>
      </w:r>
    </w:p>
    <w:p w14:paraId="07E4EF2D" w14:textId="4F2CB9F8" w:rsidR="00B515FC" w:rsidRDefault="00FA3EFC" w:rsidP="00A52A22">
      <w:pPr>
        <w:tabs>
          <w:tab w:val="left" w:pos="0"/>
        </w:tabs>
        <w:spacing w:before="240" w:line="276" w:lineRule="auto"/>
        <w:ind w:left="720"/>
        <w:jc w:val="both"/>
      </w:pPr>
      <w:r>
        <w:t xml:space="preserve">5) When faced with a strike-out application arising from a time point, the test which a tribunal must apply is whether the claimant has established a prima facie case, in which connection it may be advisable for oral evidence to be called. It will be a finding of fact for the tribunal as to whether one act leads to another, in any particular case: </w:t>
      </w:r>
      <w:proofErr w:type="spellStart"/>
      <w:r w:rsidRPr="005D65DA">
        <w:rPr>
          <w:b/>
          <w:bCs/>
        </w:rPr>
        <w:t>Lyfar</w:t>
      </w:r>
      <w:proofErr w:type="spellEnd"/>
      <w:r w:rsidR="00CC0F7A" w:rsidRPr="005D65DA">
        <w:rPr>
          <w:b/>
          <w:bCs/>
        </w:rPr>
        <w:t xml:space="preserve"> v</w:t>
      </w:r>
      <w:r w:rsidR="005D65DA" w:rsidRPr="005D65DA">
        <w:rPr>
          <w:b/>
          <w:bCs/>
        </w:rPr>
        <w:t>. Brighton and Sussex University Hospitals NHS Trust</w:t>
      </w:r>
      <w:r w:rsidR="005D65DA">
        <w:t xml:space="preserve"> [2006] EWCA Civ </w:t>
      </w:r>
      <w:proofErr w:type="gramStart"/>
      <w:r w:rsidR="005D65DA">
        <w:t>304</w:t>
      </w:r>
      <w:r>
        <w:t>;</w:t>
      </w:r>
      <w:proofErr w:type="gramEnd"/>
    </w:p>
    <w:p w14:paraId="291564CE" w14:textId="77777777" w:rsidR="004D3330" w:rsidRDefault="00FA3EFC" w:rsidP="00A52A22">
      <w:pPr>
        <w:pStyle w:val="ListParagraph"/>
        <w:tabs>
          <w:tab w:val="left" w:pos="0"/>
        </w:tabs>
        <w:spacing w:before="240" w:line="276" w:lineRule="auto"/>
        <w:ind w:left="720"/>
        <w:jc w:val="both"/>
      </w:pPr>
      <w:r>
        <w:t xml:space="preserve"> 6) An alternative framing of the test to be applied on a strike-out application is whether the claimant has established a reasonably arguable basis for the contention that the various acts are so linked as to be continuing acts, or to constitute an on-going state of affairs: </w:t>
      </w:r>
      <w:bookmarkStart w:id="3" w:name="_Hlk160784036"/>
      <w:r w:rsidRPr="004D3330">
        <w:rPr>
          <w:b/>
          <w:bCs/>
        </w:rPr>
        <w:t>Aziz</w:t>
      </w:r>
      <w:r w:rsidR="004D3330" w:rsidRPr="004D3330">
        <w:rPr>
          <w:b/>
          <w:bCs/>
        </w:rPr>
        <w:t xml:space="preserve"> v. FDA</w:t>
      </w:r>
      <w:r w:rsidR="004D3330">
        <w:t xml:space="preserve"> [2010] EWCA Civ 304</w:t>
      </w:r>
      <w:bookmarkEnd w:id="3"/>
      <w:r>
        <w:t xml:space="preserve">; </w:t>
      </w:r>
      <w:r w:rsidR="004D3330" w:rsidRPr="00CA627E">
        <w:rPr>
          <w:b/>
          <w:bCs/>
        </w:rPr>
        <w:t>Sridhar v Kingston Hospital NHS Foundation Trust</w:t>
      </w:r>
      <w:r w:rsidR="004D3330">
        <w:t xml:space="preserve"> (UKEAT/0066/20/LA)</w:t>
      </w:r>
    </w:p>
    <w:p w14:paraId="7124507E" w14:textId="77777777" w:rsidR="004D3330" w:rsidRDefault="00FA3EFC" w:rsidP="00A52A22">
      <w:pPr>
        <w:tabs>
          <w:tab w:val="left" w:pos="0"/>
        </w:tabs>
        <w:spacing w:before="240" w:line="276" w:lineRule="auto"/>
        <w:ind w:left="720"/>
        <w:jc w:val="both"/>
      </w:pPr>
      <w:r>
        <w:t xml:space="preserve">7) The fact that different individuals may have been involved in the various acts of which complaint is made is a relevant, but not conclusive, factor: </w:t>
      </w:r>
      <w:r w:rsidR="004D3330" w:rsidRPr="004D3330">
        <w:rPr>
          <w:b/>
          <w:bCs/>
        </w:rPr>
        <w:t>Aziz v. FDA</w:t>
      </w:r>
      <w:r w:rsidR="004D3330">
        <w:t xml:space="preserve"> [2010] EWCA Civ 304</w:t>
      </w:r>
    </w:p>
    <w:p w14:paraId="711EA03A" w14:textId="77777777" w:rsidR="007D0FE3" w:rsidRDefault="00FA3EFC" w:rsidP="00A52A22">
      <w:pPr>
        <w:tabs>
          <w:tab w:val="left" w:pos="0"/>
        </w:tabs>
        <w:spacing w:before="240" w:line="276" w:lineRule="auto"/>
        <w:ind w:left="720"/>
        <w:jc w:val="both"/>
      </w:pPr>
      <w:r>
        <w:t xml:space="preserve">8) In an appropriate case, a strike-out application in respect of some part of a claim can been approached, assuming, for that purpose, the facts to be as pleaded by the claimant. In that event, no evidence will be required — the matter will be decided on the claimant’s pleading: </w:t>
      </w:r>
      <w:bookmarkStart w:id="4" w:name="_Hlk160784161"/>
      <w:r w:rsidR="004D3330" w:rsidRPr="00E61DD5">
        <w:rPr>
          <w:b/>
          <w:bCs/>
        </w:rPr>
        <w:t>Caterham School Ltd v Rose</w:t>
      </w:r>
      <w:r w:rsidR="004D3330">
        <w:t xml:space="preserve"> (UKEAT/0149/RN)</w:t>
      </w:r>
      <w:bookmarkEnd w:id="4"/>
      <w:r w:rsidR="007D0FE3">
        <w:t xml:space="preserve"> </w:t>
      </w:r>
      <w:r>
        <w:t xml:space="preserve">(as qualified at paragraph 47 above); </w:t>
      </w:r>
    </w:p>
    <w:p w14:paraId="0366816D" w14:textId="77777777" w:rsidR="003D7458" w:rsidRDefault="00FA3EFC" w:rsidP="00A52A22">
      <w:pPr>
        <w:tabs>
          <w:tab w:val="left" w:pos="0"/>
        </w:tabs>
        <w:spacing w:before="240" w:line="276" w:lineRule="auto"/>
        <w:ind w:left="720"/>
        <w:jc w:val="both"/>
      </w:pPr>
      <w:r>
        <w:t xml:space="preserve">9) A tribunal hearing a strike-out application should view the claimant’s case, at its highest, critically, </w:t>
      </w:r>
      <w:r>
        <w:lastRenderedPageBreak/>
        <w:t xml:space="preserve">including by considering whether any aspect of that case is innately implausible for any reason: </w:t>
      </w:r>
      <w:r w:rsidR="003D7458" w:rsidRPr="006E6472">
        <w:rPr>
          <w:b/>
          <w:bCs/>
        </w:rPr>
        <w:t xml:space="preserve">Robinson v Royal Surrey County Hospital NHS Foundation Trust </w:t>
      </w:r>
      <w:r w:rsidR="003D7458">
        <w:t>(UKEAT/0311/14/MC)</w:t>
      </w:r>
      <w:r>
        <w:t xml:space="preserve"> and paragraph 47 above; </w:t>
      </w:r>
    </w:p>
    <w:p w14:paraId="04446A3D" w14:textId="77777777" w:rsidR="005C450E" w:rsidRDefault="00FA3EFC" w:rsidP="00A52A22">
      <w:pPr>
        <w:tabs>
          <w:tab w:val="left" w:pos="0"/>
        </w:tabs>
        <w:spacing w:before="240" w:line="276" w:lineRule="auto"/>
        <w:ind w:left="720"/>
        <w:jc w:val="both"/>
      </w:pPr>
      <w:r>
        <w:t xml:space="preserve">10) If a strike-out application succeeds, on the basis that, even if all the facts were as pleaded, the complaint would have no reasonable prospect of success (whether because of a time point or on the merits), that will bring that complaint to an end. If it fails, the claimant lives to fight another day, at the full merits hearing: </w:t>
      </w:r>
      <w:r w:rsidR="003D7458" w:rsidRPr="00E61DD5">
        <w:rPr>
          <w:b/>
          <w:bCs/>
        </w:rPr>
        <w:t>Caterham School Ltd v Rose</w:t>
      </w:r>
      <w:r w:rsidR="003D7458">
        <w:t xml:space="preserve"> (UKEAT/0149/RN)</w:t>
      </w:r>
    </w:p>
    <w:p w14:paraId="0EA500FA" w14:textId="77777777" w:rsidR="005C450E" w:rsidRDefault="00FA3EFC" w:rsidP="00A52A22">
      <w:pPr>
        <w:tabs>
          <w:tab w:val="left" w:pos="0"/>
        </w:tabs>
        <w:spacing w:before="240" w:line="276" w:lineRule="auto"/>
        <w:ind w:left="720"/>
        <w:jc w:val="both"/>
      </w:pPr>
      <w:r>
        <w:t xml:space="preserve">11) Thus, if a tribunal considers (properly) at a preliminary hearing that there is no reasonable prospect of establishing at trial that a particular incident, complaint about which would, by itself, be out of time, formed part of such conduct together with other incidents, such as to make it in time, that complaint may be struck out: </w:t>
      </w:r>
      <w:r w:rsidR="005C450E" w:rsidRPr="00E61DD5">
        <w:rPr>
          <w:b/>
          <w:bCs/>
        </w:rPr>
        <w:t>Caterham School Ltd v Rose</w:t>
      </w:r>
      <w:r w:rsidR="005C450E">
        <w:t xml:space="preserve"> (UKEAT/0149/RN)</w:t>
      </w:r>
    </w:p>
    <w:p w14:paraId="5D31ACF3" w14:textId="77777777" w:rsidR="005C450E" w:rsidRDefault="00FA3EFC" w:rsidP="00A52A22">
      <w:pPr>
        <w:tabs>
          <w:tab w:val="left" w:pos="0"/>
        </w:tabs>
        <w:spacing w:before="240" w:line="276" w:lineRule="auto"/>
        <w:ind w:left="720"/>
        <w:jc w:val="both"/>
      </w:pPr>
      <w:r>
        <w:t xml:space="preserve">12) Definitive determination of an issue which is factually disputed requires preparation and presentation of evidence to be considered at the preliminary hearing, findings of fact and, as necessary, the application of the law to those facts, so as to reach a definitive outcome on the point, which cannot then be revisited at the full merits hearing: </w:t>
      </w:r>
      <w:r w:rsidR="005C450E" w:rsidRPr="00E61DD5">
        <w:rPr>
          <w:b/>
          <w:bCs/>
        </w:rPr>
        <w:t>Caterham School Ltd v Rose</w:t>
      </w:r>
      <w:r w:rsidR="005C450E">
        <w:t xml:space="preserve"> (UKEAT/0149/RN);</w:t>
      </w:r>
    </w:p>
    <w:p w14:paraId="0AEE2C64" w14:textId="77777777" w:rsidR="00283C73" w:rsidRDefault="005C450E" w:rsidP="00A52A22">
      <w:pPr>
        <w:tabs>
          <w:tab w:val="left" w:pos="0"/>
        </w:tabs>
        <w:spacing w:before="240" w:line="276" w:lineRule="auto"/>
        <w:ind w:left="720"/>
        <w:jc w:val="both"/>
      </w:pPr>
      <w:r>
        <w:t>1</w:t>
      </w:r>
      <w:r w:rsidR="00FA3EFC">
        <w:t xml:space="preserve">3) If it can be done properly, it may be sensible, and, potentially, beneficial, for a tribunal to consider a time point at a preliminary hearing, either on the basis of a strike-out application, or, in an appropriate case, substantively,, so that time and resource is not taken up preparing, and considering at a full merits hearing, complaints which may properly be found to be truly stale such that they ought not to be so considered. However, caution should be exercised, having regard to the difficulty of disentangling time points relating to individual complaints from other complaints and issues in the case; the fact that there may make no appreciable saving of preparation or hearing time, in any event, if episodes that could be potentially severed as out of time are, in any case, relied upon as background more recent complaints; the acute fact-sensitivity of discrimination claims and the high strike-out threshold; and the need for evidence to be prepared, and facts found (unless agreed), in order to make a definitive determination of such an issue: </w:t>
      </w:r>
      <w:r w:rsidR="00283C73" w:rsidRPr="00E61DD5">
        <w:rPr>
          <w:b/>
          <w:bCs/>
        </w:rPr>
        <w:t>Caterham School Ltd v Rose</w:t>
      </w:r>
      <w:r w:rsidR="00283C73">
        <w:t xml:space="preserve"> (UKEAT/0149/RN).” </w:t>
      </w:r>
    </w:p>
    <w:p w14:paraId="120B5F98" w14:textId="77777777" w:rsidR="00E55882" w:rsidRDefault="00E55882" w:rsidP="00A52A22">
      <w:pPr>
        <w:tabs>
          <w:tab w:val="left" w:pos="0"/>
        </w:tabs>
        <w:spacing w:before="240" w:line="276" w:lineRule="auto"/>
        <w:ind w:left="720"/>
        <w:jc w:val="both"/>
      </w:pPr>
    </w:p>
    <w:p w14:paraId="03ADD653" w14:textId="29C7E450" w:rsidR="00A4262A"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3</w:t>
      </w:r>
      <w:r w:rsidR="00852AAF">
        <w:rPr>
          <w:rFonts w:cs="Times New Roman"/>
          <w:color w:val="010302"/>
          <w:sz w:val="24"/>
          <w:szCs w:val="24"/>
        </w:rPr>
        <w:t>3</w:t>
      </w:r>
      <w:r w:rsidRPr="009035F4">
        <w:rPr>
          <w:rFonts w:cs="Times New Roman"/>
          <w:color w:val="010302"/>
          <w:sz w:val="24"/>
          <w:szCs w:val="24"/>
        </w:rPr>
        <w:t>.</w:t>
      </w:r>
      <w:r w:rsidRPr="009035F4">
        <w:rPr>
          <w:rFonts w:cs="Times New Roman"/>
          <w:color w:val="010302"/>
          <w:sz w:val="24"/>
          <w:szCs w:val="24"/>
        </w:rPr>
        <w:tab/>
      </w:r>
      <w:r w:rsidR="00A52A22" w:rsidRPr="00666208">
        <w:rPr>
          <w:rFonts w:cs="Times New Roman"/>
          <w:color w:val="010302"/>
          <w:sz w:val="24"/>
          <w:szCs w:val="24"/>
        </w:rPr>
        <w:t>T</w:t>
      </w:r>
      <w:r w:rsidR="00A52A22">
        <w:rPr>
          <w:rFonts w:cs="Times New Roman"/>
          <w:color w:val="010302"/>
          <w:sz w:val="24"/>
          <w:szCs w:val="24"/>
        </w:rPr>
        <w:t>ribunals have a wide discretion in terms of case management decisions and</w:t>
      </w:r>
      <w:r w:rsidR="003E0B38">
        <w:rPr>
          <w:rFonts w:cs="Times New Roman"/>
          <w:color w:val="010302"/>
          <w:sz w:val="24"/>
          <w:szCs w:val="24"/>
        </w:rPr>
        <w:t xml:space="preserve"> in the application of s.123 of the EqA 2010</w:t>
      </w:r>
      <w:r w:rsidR="00DC6A3E">
        <w:rPr>
          <w:rFonts w:cs="Times New Roman"/>
          <w:color w:val="010302"/>
          <w:sz w:val="24"/>
          <w:szCs w:val="24"/>
        </w:rPr>
        <w:t>,</w:t>
      </w:r>
      <w:r w:rsidR="00E55882">
        <w:rPr>
          <w:rFonts w:cs="Times New Roman"/>
          <w:color w:val="010302"/>
          <w:sz w:val="24"/>
          <w:szCs w:val="24"/>
        </w:rPr>
        <w:t xml:space="preserve"> both of which must be properly respected</w:t>
      </w:r>
      <w:r w:rsidR="003E0B38">
        <w:rPr>
          <w:rFonts w:cs="Times New Roman"/>
          <w:color w:val="010302"/>
          <w:sz w:val="24"/>
          <w:szCs w:val="24"/>
        </w:rPr>
        <w:t>. The principles set out above</w:t>
      </w:r>
      <w:r w:rsidR="00A52A22" w:rsidRPr="00666208">
        <w:rPr>
          <w:rFonts w:cs="Times New Roman"/>
          <w:color w:val="010302"/>
          <w:sz w:val="24"/>
          <w:szCs w:val="24"/>
        </w:rPr>
        <w:t xml:space="preserve"> are, in my judgment, however, </w:t>
      </w:r>
      <w:proofErr w:type="gramStart"/>
      <w:r w:rsidR="00A52A22" w:rsidRPr="00666208">
        <w:rPr>
          <w:rFonts w:cs="Times New Roman"/>
          <w:color w:val="010302"/>
          <w:sz w:val="24"/>
          <w:szCs w:val="24"/>
        </w:rPr>
        <w:t>valid</w:t>
      </w:r>
      <w:proofErr w:type="gramEnd"/>
      <w:r w:rsidR="00A52A22" w:rsidRPr="00666208">
        <w:rPr>
          <w:rFonts w:cs="Times New Roman"/>
          <w:color w:val="010302"/>
          <w:sz w:val="24"/>
          <w:szCs w:val="24"/>
        </w:rPr>
        <w:t xml:space="preserve"> and important points of guidance which Tribunal judges </w:t>
      </w:r>
      <w:r w:rsidR="00E55882">
        <w:rPr>
          <w:rFonts w:cs="Times New Roman"/>
          <w:color w:val="010302"/>
          <w:sz w:val="24"/>
          <w:szCs w:val="24"/>
        </w:rPr>
        <w:t>should consider w</w:t>
      </w:r>
      <w:r w:rsidR="00A52A22" w:rsidRPr="00666208">
        <w:rPr>
          <w:rFonts w:cs="Times New Roman"/>
          <w:color w:val="010302"/>
          <w:sz w:val="24"/>
          <w:szCs w:val="24"/>
        </w:rPr>
        <w:t>hen looking at time limits at a preliminary stage of proceedings.</w:t>
      </w:r>
      <w:r w:rsidR="00A4262A">
        <w:rPr>
          <w:rFonts w:cs="Times New Roman"/>
          <w:color w:val="010302"/>
          <w:sz w:val="24"/>
          <w:szCs w:val="24"/>
        </w:rPr>
        <w:t xml:space="preserve"> </w:t>
      </w:r>
      <w:r w:rsidRPr="009035F4">
        <w:rPr>
          <w:rFonts w:cs="Times New Roman"/>
          <w:color w:val="010302"/>
          <w:sz w:val="24"/>
          <w:szCs w:val="24"/>
        </w:rPr>
        <w:t xml:space="preserve">In addition, it is important, in my judgment, to consider </w:t>
      </w:r>
      <w:r w:rsidR="00A4262A">
        <w:rPr>
          <w:rFonts w:cs="Times New Roman"/>
          <w:color w:val="010302"/>
          <w:sz w:val="24"/>
          <w:szCs w:val="24"/>
        </w:rPr>
        <w:t>the following</w:t>
      </w:r>
      <w:r w:rsidRPr="009035F4">
        <w:rPr>
          <w:rFonts w:cs="Times New Roman"/>
          <w:color w:val="010302"/>
          <w:sz w:val="24"/>
          <w:szCs w:val="24"/>
        </w:rPr>
        <w:t xml:space="preserve"> passage</w:t>
      </w:r>
      <w:r w:rsidR="00A4262A">
        <w:rPr>
          <w:rFonts w:cs="Times New Roman"/>
          <w:color w:val="010302"/>
          <w:sz w:val="24"/>
          <w:szCs w:val="24"/>
        </w:rPr>
        <w:t>s</w:t>
      </w:r>
      <w:r w:rsidRPr="009035F4">
        <w:rPr>
          <w:rFonts w:cs="Times New Roman"/>
          <w:color w:val="010302"/>
          <w:sz w:val="24"/>
          <w:szCs w:val="24"/>
        </w:rPr>
        <w:t xml:space="preserve"> from the Judgment of His Honour Judge Tayler in </w:t>
      </w:r>
      <w:r w:rsidRPr="009035F4">
        <w:rPr>
          <w:rFonts w:cs="Times New Roman"/>
          <w:b/>
          <w:bCs/>
          <w:iCs/>
          <w:color w:val="010302"/>
          <w:sz w:val="24"/>
          <w:szCs w:val="24"/>
          <w:u w:val="single"/>
        </w:rPr>
        <w:t xml:space="preserve">Cox v Adecco Group UK </w:t>
      </w:r>
      <w:r w:rsidR="00B32E08" w:rsidRPr="009035F4">
        <w:rPr>
          <w:rFonts w:cs="Times New Roman"/>
          <w:b/>
          <w:bCs/>
          <w:iCs/>
          <w:color w:val="010302"/>
          <w:sz w:val="24"/>
          <w:szCs w:val="24"/>
          <w:u w:val="single"/>
        </w:rPr>
        <w:t>Ltd</w:t>
      </w:r>
      <w:r w:rsidR="00B32E08" w:rsidRPr="009035F4">
        <w:rPr>
          <w:rFonts w:cs="Times New Roman"/>
          <w:color w:val="010302"/>
          <w:sz w:val="24"/>
          <w:szCs w:val="24"/>
        </w:rPr>
        <w:t xml:space="preserve"> [</w:t>
      </w:r>
      <w:r w:rsidRPr="009035F4">
        <w:rPr>
          <w:rFonts w:cs="Times New Roman"/>
          <w:color w:val="010302"/>
          <w:sz w:val="24"/>
          <w:szCs w:val="24"/>
        </w:rPr>
        <w:t>2021] ICR1307</w:t>
      </w:r>
      <w:r w:rsidR="0037204E">
        <w:rPr>
          <w:rFonts w:cs="Times New Roman"/>
          <w:color w:val="010302"/>
          <w:sz w:val="24"/>
          <w:szCs w:val="24"/>
        </w:rPr>
        <w:t xml:space="preserve"> who had undertaken a review of relevant authorities</w:t>
      </w:r>
      <w:r w:rsidR="00D05504">
        <w:rPr>
          <w:rFonts w:cs="Times New Roman"/>
          <w:color w:val="010302"/>
          <w:sz w:val="24"/>
          <w:szCs w:val="24"/>
        </w:rPr>
        <w:t xml:space="preserve"> and </w:t>
      </w:r>
      <w:r w:rsidR="003E649C">
        <w:rPr>
          <w:rFonts w:cs="Times New Roman"/>
          <w:color w:val="010302"/>
          <w:sz w:val="24"/>
          <w:szCs w:val="24"/>
        </w:rPr>
        <w:t>with which I agree</w:t>
      </w:r>
      <w:r w:rsidR="00A4262A">
        <w:rPr>
          <w:rFonts w:cs="Times New Roman"/>
          <w:color w:val="010302"/>
          <w:sz w:val="24"/>
          <w:szCs w:val="24"/>
        </w:rPr>
        <w:t>:</w:t>
      </w:r>
    </w:p>
    <w:p w14:paraId="3AB64951" w14:textId="77777777" w:rsidR="00F51347" w:rsidRDefault="00F51347" w:rsidP="003E649C">
      <w:pPr>
        <w:spacing w:after="25" w:line="276" w:lineRule="auto"/>
        <w:ind w:left="672"/>
      </w:pPr>
    </w:p>
    <w:p w14:paraId="113CB78F" w14:textId="353F4207" w:rsidR="003A2D10" w:rsidRDefault="00F51347" w:rsidP="00D05504">
      <w:pPr>
        <w:spacing w:after="25" w:line="276" w:lineRule="auto"/>
        <w:ind w:left="1207"/>
        <w:jc w:val="both"/>
      </w:pPr>
      <w:r>
        <w:t>“</w:t>
      </w:r>
      <w:r w:rsidR="003A2D10">
        <w:t>28.</w:t>
      </w:r>
      <w:r w:rsidR="003A2D10">
        <w:rPr>
          <w:rFonts w:cs="Times New Roman"/>
        </w:rPr>
        <w:t xml:space="preserve"> </w:t>
      </w:r>
      <w:r w:rsidR="003A2D10">
        <w:t xml:space="preserve">From these cases </w:t>
      </w:r>
      <w:proofErr w:type="gramStart"/>
      <w:r w:rsidR="003A2D10">
        <w:t>a number of</w:t>
      </w:r>
      <w:proofErr w:type="gramEnd"/>
      <w:r w:rsidR="003A2D10">
        <w:t xml:space="preserve"> general propositions emerge, some generally </w:t>
      </w:r>
      <w:r>
        <w:t>w</w:t>
      </w:r>
      <w:r w:rsidR="003A2D10">
        <w:t>ell</w:t>
      </w:r>
      <w:r>
        <w:t xml:space="preserve"> </w:t>
      </w:r>
      <w:r w:rsidR="003A2D10">
        <w:t xml:space="preserve">understood, some not so much: </w:t>
      </w:r>
    </w:p>
    <w:p w14:paraId="0D9650A9" w14:textId="77777777" w:rsidR="00F51347" w:rsidRDefault="003A2D10" w:rsidP="00D05504">
      <w:pPr>
        <w:widowControl/>
        <w:numPr>
          <w:ilvl w:val="0"/>
          <w:numId w:val="7"/>
        </w:numPr>
        <w:spacing w:after="5" w:line="276" w:lineRule="auto"/>
        <w:ind w:hanging="533"/>
        <w:jc w:val="both"/>
      </w:pPr>
      <w:r>
        <w:lastRenderedPageBreak/>
        <w:t xml:space="preserve">No-one gains by truly hopeless cases being pursued to a hearing;  </w:t>
      </w:r>
    </w:p>
    <w:p w14:paraId="6B0AA075" w14:textId="74376E7B" w:rsidR="003A2D10" w:rsidRDefault="003A2D10" w:rsidP="00D05504">
      <w:pPr>
        <w:widowControl/>
        <w:numPr>
          <w:ilvl w:val="0"/>
          <w:numId w:val="7"/>
        </w:numPr>
        <w:spacing w:after="5" w:line="276" w:lineRule="auto"/>
        <w:ind w:hanging="533"/>
        <w:jc w:val="both"/>
      </w:pPr>
      <w:r>
        <w:t xml:space="preserve">Strike out is not prohibited in discrimination or whistleblowing cases; but especial care must be taken in such cases as it is very rarely appropriate;  </w:t>
      </w:r>
    </w:p>
    <w:p w14:paraId="4A2649CF" w14:textId="77777777" w:rsidR="00802EB6" w:rsidRDefault="003A2D10" w:rsidP="00D05504">
      <w:pPr>
        <w:widowControl/>
        <w:numPr>
          <w:ilvl w:val="0"/>
          <w:numId w:val="7"/>
        </w:numPr>
        <w:spacing w:after="1" w:line="276" w:lineRule="auto"/>
        <w:ind w:hanging="533"/>
        <w:jc w:val="both"/>
      </w:pPr>
      <w:r>
        <w:t xml:space="preserve">If the question of whether a claim has reasonable prospect of success turns on factual issues that are disputed, it is highly unlikely that strike out will be appropriate; </w:t>
      </w:r>
    </w:p>
    <w:p w14:paraId="4F31C819" w14:textId="77777777" w:rsidR="00802EB6" w:rsidRDefault="003A2D10" w:rsidP="00D05504">
      <w:pPr>
        <w:widowControl/>
        <w:numPr>
          <w:ilvl w:val="0"/>
          <w:numId w:val="7"/>
        </w:numPr>
        <w:spacing w:after="1" w:line="276" w:lineRule="auto"/>
        <w:ind w:hanging="533"/>
        <w:jc w:val="both"/>
      </w:pPr>
      <w:r>
        <w:t xml:space="preserve">The Claimant’s case must ordinarily be taken at its highest; </w:t>
      </w:r>
    </w:p>
    <w:p w14:paraId="3FA51635" w14:textId="77777777" w:rsidR="00802EB6" w:rsidRDefault="003A2D10" w:rsidP="00D05504">
      <w:pPr>
        <w:widowControl/>
        <w:numPr>
          <w:ilvl w:val="0"/>
          <w:numId w:val="7"/>
        </w:numPr>
        <w:spacing w:after="1" w:line="276" w:lineRule="auto"/>
        <w:ind w:hanging="533"/>
        <w:jc w:val="both"/>
      </w:pPr>
      <w:r>
        <w:t>It is necessary to consider, in reasonable detail, what the claims and issues are. Put bluntly, you can’t decide whether a claim has reasonable prospects of success if you don’t know what it is;</w:t>
      </w:r>
    </w:p>
    <w:p w14:paraId="512EA1DD" w14:textId="77777777" w:rsidR="00802EB6" w:rsidRDefault="003A2D10" w:rsidP="00D05504">
      <w:pPr>
        <w:widowControl/>
        <w:numPr>
          <w:ilvl w:val="0"/>
          <w:numId w:val="7"/>
        </w:numPr>
        <w:spacing w:after="1" w:line="276" w:lineRule="auto"/>
        <w:ind w:hanging="533"/>
        <w:jc w:val="both"/>
      </w:pPr>
      <w:r>
        <w:t xml:space="preserve">This does not necessarily require the agreement of a formal list of issues, although that may assist greatly, but does require a fair assessment of the claims and issues on the basis of the pleadings and any other documents in which the claimant seeks to set out the claim; </w:t>
      </w:r>
    </w:p>
    <w:p w14:paraId="052DB591" w14:textId="68745004" w:rsidR="003A2D10" w:rsidRDefault="003A2D10" w:rsidP="00D05504">
      <w:pPr>
        <w:widowControl/>
        <w:numPr>
          <w:ilvl w:val="0"/>
          <w:numId w:val="7"/>
        </w:numPr>
        <w:spacing w:after="1" w:line="276" w:lineRule="auto"/>
        <w:ind w:hanging="533"/>
        <w:jc w:val="both"/>
      </w:pPr>
      <w:r>
        <w:t xml:space="preserve">In the case of a litigant in person, the claim should not be ascertained only by </w:t>
      </w:r>
    </w:p>
    <w:p w14:paraId="51DDD7A1" w14:textId="16470E94" w:rsidR="003A621D" w:rsidRDefault="003A2D10" w:rsidP="00D05504">
      <w:pPr>
        <w:spacing w:line="276" w:lineRule="auto"/>
        <w:ind w:left="1750"/>
        <w:jc w:val="both"/>
      </w:pPr>
      <w:r>
        <w:t>requiring the claimant to explain it while under the stresses of a hearing; reasonable care must be taken to read the pleadings (including additional information) and any key documents in which the claimant sets out the case. When pushed by a judge to explain the claim, a litigant in person may become like a rabbit in the headlights and fail to</w:t>
      </w:r>
      <w:r w:rsidR="00EB3958">
        <w:t xml:space="preserve"> e</w:t>
      </w:r>
      <w:r>
        <w:t xml:space="preserve">xplain the case they have set out in writing; </w:t>
      </w:r>
    </w:p>
    <w:p w14:paraId="0E75EBBB" w14:textId="77777777" w:rsidR="003A621D" w:rsidRDefault="003A2D10" w:rsidP="0049611D">
      <w:pPr>
        <w:widowControl/>
        <w:numPr>
          <w:ilvl w:val="0"/>
          <w:numId w:val="7"/>
        </w:numPr>
        <w:spacing w:after="1" w:line="276" w:lineRule="auto"/>
        <w:ind w:hanging="533"/>
        <w:jc w:val="both"/>
      </w:pPr>
      <w:r>
        <w:t xml:space="preserve">Respondents, particularly if legally represented, in accordance with their duties to assist the tribunal to comply with the overriding objective and not to take procedural advantage of litigants in person, should assist the tribunal to identify the documents in which the claim is set out, even if it may not be explicitly pleaded in a manner that would be expected of a lawyer; </w:t>
      </w:r>
    </w:p>
    <w:p w14:paraId="5247BF08" w14:textId="6E4CAC2B" w:rsidR="003A2D10" w:rsidRDefault="003A2D10" w:rsidP="0049611D">
      <w:pPr>
        <w:widowControl/>
        <w:numPr>
          <w:ilvl w:val="0"/>
          <w:numId w:val="7"/>
        </w:numPr>
        <w:spacing w:after="1" w:line="276" w:lineRule="auto"/>
        <w:ind w:hanging="533"/>
        <w:jc w:val="both"/>
      </w:pPr>
      <w:r>
        <w:t xml:space="preserve">If the claim would have reasonable prospects of success had it been properly pleaded, consideration should be given to the possibility of an amendment, subject to the usual test of balancing the justice of permitting or refusing the amendment, taking account of the relevant circumstances.  </w:t>
      </w:r>
    </w:p>
    <w:p w14:paraId="7777DFFA" w14:textId="1CE30AA1" w:rsidR="001633C5" w:rsidRDefault="00494E0E" w:rsidP="00D05504">
      <w:pPr>
        <w:spacing w:line="276" w:lineRule="auto"/>
        <w:ind w:left="1440"/>
        <w:jc w:val="both"/>
      </w:pPr>
      <w:r>
        <w:t>…</w:t>
      </w:r>
    </w:p>
    <w:p w14:paraId="31B75456" w14:textId="77777777" w:rsidR="00494E0E" w:rsidRDefault="00494E0E" w:rsidP="00D05504">
      <w:pPr>
        <w:spacing w:line="276" w:lineRule="auto"/>
        <w:ind w:left="1440"/>
        <w:jc w:val="both"/>
      </w:pPr>
    </w:p>
    <w:p w14:paraId="54489991" w14:textId="3025CD3C" w:rsidR="0006368E" w:rsidRDefault="003E649C" w:rsidP="00D05504">
      <w:pPr>
        <w:spacing w:line="276" w:lineRule="auto"/>
        <w:ind w:left="1440"/>
        <w:jc w:val="both"/>
      </w:pPr>
      <w:r>
        <w:t>30.</w:t>
      </w:r>
      <w:r>
        <w:rPr>
          <w:rFonts w:cs="Times New Roman"/>
        </w:rPr>
        <w:t xml:space="preserve"> </w:t>
      </w:r>
      <w:r>
        <w:t xml:space="preserve">There </w:t>
      </w:r>
      <w:proofErr w:type="gramStart"/>
      <w:r>
        <w:t>has to</w:t>
      </w:r>
      <w:proofErr w:type="gramEnd"/>
      <w:r>
        <w:t xml:space="preserve"> be a reasonable attempt at identifying the claims and the issues before considering strike out or making a deposit order. In some cases, a proper analysis of the pleadings, and any core documents in which the claimant seeks to identify the claims, may show that there really is no claim, and there are no issues to be identified; but more often there will be a claim if one reads the documents carefully, even if it might require an amendment. Strike out is not a way of avoiding rolling up one’s sleeves and identifying, in reasonable detail, the claims and issues; doing so is a prerequisite of considering whether the claim has reasonable prospects of success. Often it is argued that a claim is bound to fail because there is one issue that is hopeless. For example, in the protected disclosure context, it might be argued that the claimant will not be able to establish a reasonable belief in wrongdoing; however, it is generally not possible to analyse the issue of wrongdoing without considering what information the claimant contends has been disclosed and what type of wrongdoing the claimant contends the information tended to show. </w:t>
      </w:r>
    </w:p>
    <w:p w14:paraId="0594DF04" w14:textId="77777777" w:rsidR="0006368E" w:rsidRDefault="0006368E" w:rsidP="00D05504">
      <w:pPr>
        <w:spacing w:line="276" w:lineRule="auto"/>
        <w:ind w:left="1440"/>
        <w:jc w:val="both"/>
      </w:pPr>
    </w:p>
    <w:p w14:paraId="25E09DF2" w14:textId="7B6547B5" w:rsidR="003E649C" w:rsidRDefault="0006368E" w:rsidP="00D05504">
      <w:pPr>
        <w:spacing w:line="276" w:lineRule="auto"/>
        <w:ind w:left="1440"/>
        <w:jc w:val="both"/>
      </w:pPr>
      <w:r>
        <w:t xml:space="preserve">31. </w:t>
      </w:r>
      <w:r w:rsidR="003E649C">
        <w:t>Respondents seeking strike out should not see it as a way of avoiding having to get to</w:t>
      </w:r>
      <w:r w:rsidR="003E649C">
        <w:rPr>
          <w:rFonts w:cs="Times New Roman"/>
        </w:rPr>
        <w:t xml:space="preserve"> </w:t>
      </w:r>
    </w:p>
    <w:p w14:paraId="0C7C9A75" w14:textId="49ECA371" w:rsidR="003125F7" w:rsidRDefault="003E649C" w:rsidP="00D05504">
      <w:pPr>
        <w:spacing w:line="276" w:lineRule="auto"/>
        <w:ind w:left="1440"/>
        <w:jc w:val="both"/>
      </w:pPr>
      <w:r>
        <w:t xml:space="preserve">grips with the claim. They need to assist the employment tribunal in identifying what, on a fair reading of the pleadings and other key documents in which the claimant sets out the case, the claims and issues are. Respondents, particularly if legally represented, in accordance with their duties to assist the tribunal to comply with the overriding objective and not to take </w:t>
      </w:r>
      <w:r>
        <w:lastRenderedPageBreak/>
        <w:t xml:space="preserve">procedural advantage of litigants in person, should assist the tribunal to identify the documents, and key passages of the documents, in which the claim appears to be set out, even if it may not be explicitly pleaded in a manner that would be expected of a lawyer, and take particular care if a litigant in person has applied the wrong legal label to a factual claim that, if properly pleaded, would be arguable. In applying for strike out, it is as well to take care in what you wish for, as you may get it, but then find that an appeal is being resisted with a losing hand. </w:t>
      </w:r>
    </w:p>
    <w:p w14:paraId="23AD6566" w14:textId="77777777" w:rsidR="003125F7" w:rsidRDefault="003125F7" w:rsidP="00D05504">
      <w:pPr>
        <w:spacing w:line="276" w:lineRule="auto"/>
        <w:ind w:left="1440"/>
        <w:jc w:val="both"/>
      </w:pPr>
    </w:p>
    <w:p w14:paraId="38170AEA" w14:textId="65C24B81" w:rsidR="003E649C" w:rsidRDefault="003E649C" w:rsidP="00D05504">
      <w:pPr>
        <w:spacing w:line="276" w:lineRule="auto"/>
        <w:ind w:left="1440"/>
        <w:jc w:val="both"/>
      </w:pPr>
      <w:r>
        <w:t>32.</w:t>
      </w:r>
      <w:r>
        <w:rPr>
          <w:rFonts w:cs="Times New Roman"/>
        </w:rPr>
        <w:t xml:space="preserve"> </w:t>
      </w:r>
      <w:r>
        <w:t xml:space="preserve">This does not mean that litigants in person have no responsibilities. So far as they can, they should seek to explain their claims clearly even though they may not know the correct legal terms. They should focus on their core claims rather than trying to argue every conceivable point. The more prolix and convoluted the claim is, the less a litigant in person can criticise an employment tribunal for failing to get to grips with all the possible claims and issues. Litigants in person should appreciate that, usually, when a tribunal requires additional </w:t>
      </w:r>
      <w:proofErr w:type="gramStart"/>
      <w:r>
        <w:t>information</w:t>
      </w:r>
      <w:proofErr w:type="gramEnd"/>
      <w:r>
        <w:t xml:space="preserve"> it is with the aim of clarifying, and where possible simplifying, the claim, so that the focus is on the core contentions. The overriding objective also applies to litigants in person, who should do all they can to help the employment tribunal clarify the claim. The employment tribunal can only be expected to take reasonable steps to identify the claims and issues. But respondents, and tribunals, should remember that repeatedly asking for additional information and particularisation rarely assists a litigant in person to clarify the claim. Requests for additional information should be as limited and clearly focussed as possible.</w:t>
      </w:r>
      <w:r w:rsidR="00D05504">
        <w:t>”</w:t>
      </w:r>
    </w:p>
    <w:p w14:paraId="7408D0BC" w14:textId="77777777" w:rsidR="003A2D10" w:rsidRDefault="003A2D10" w:rsidP="003E649C">
      <w:pPr>
        <w:pStyle w:val="ListParagraph"/>
        <w:tabs>
          <w:tab w:val="left" w:pos="0"/>
        </w:tabs>
        <w:spacing w:before="240" w:line="276" w:lineRule="auto"/>
        <w:jc w:val="both"/>
        <w:rPr>
          <w:rFonts w:cs="Times New Roman"/>
          <w:color w:val="010302"/>
          <w:sz w:val="24"/>
          <w:szCs w:val="24"/>
        </w:rPr>
      </w:pPr>
    </w:p>
    <w:p w14:paraId="695C21D6" w14:textId="7B310900" w:rsidR="00495BD3" w:rsidRPr="00495BD3" w:rsidRDefault="009C1652" w:rsidP="0091566F">
      <w:pPr>
        <w:pStyle w:val="ListParagraph"/>
        <w:tabs>
          <w:tab w:val="left" w:pos="0"/>
        </w:tabs>
        <w:spacing w:before="240" w:line="480" w:lineRule="auto"/>
        <w:jc w:val="both"/>
        <w:rPr>
          <w:rFonts w:cs="Times New Roman"/>
          <w:b/>
          <w:bCs/>
          <w:color w:val="010302"/>
          <w:sz w:val="24"/>
          <w:szCs w:val="24"/>
          <w:u w:val="single"/>
        </w:rPr>
      </w:pPr>
      <w:r>
        <w:rPr>
          <w:rFonts w:cs="Times New Roman"/>
          <w:b/>
          <w:bCs/>
          <w:color w:val="010302"/>
          <w:sz w:val="24"/>
          <w:szCs w:val="24"/>
          <w:u w:val="single"/>
        </w:rPr>
        <w:t>S</w:t>
      </w:r>
      <w:r w:rsidR="008B6888">
        <w:rPr>
          <w:rFonts w:cs="Times New Roman"/>
          <w:b/>
          <w:bCs/>
          <w:color w:val="010302"/>
          <w:sz w:val="24"/>
          <w:szCs w:val="24"/>
          <w:u w:val="single"/>
        </w:rPr>
        <w:t>ubmissions</w:t>
      </w:r>
    </w:p>
    <w:p w14:paraId="5BADC75C" w14:textId="705A4CEF" w:rsidR="00B968CF" w:rsidRPr="009035F4"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34.</w:t>
      </w:r>
      <w:r w:rsidRPr="009035F4">
        <w:rPr>
          <w:rFonts w:cs="Times New Roman"/>
          <w:color w:val="010302"/>
          <w:sz w:val="24"/>
          <w:szCs w:val="24"/>
        </w:rPr>
        <w:tab/>
      </w:r>
      <w:r w:rsidR="009C1652">
        <w:rPr>
          <w:rFonts w:cs="Times New Roman"/>
          <w:color w:val="010302"/>
          <w:sz w:val="24"/>
          <w:szCs w:val="24"/>
        </w:rPr>
        <w:t>T</w:t>
      </w:r>
      <w:r w:rsidRPr="009035F4">
        <w:rPr>
          <w:rFonts w:cs="Times New Roman"/>
          <w:color w:val="010302"/>
          <w:sz w:val="24"/>
          <w:szCs w:val="24"/>
        </w:rPr>
        <w:t xml:space="preserve">he </w:t>
      </w:r>
      <w:r w:rsidR="005C41F1">
        <w:rPr>
          <w:rFonts w:cs="Times New Roman"/>
          <w:color w:val="010302"/>
          <w:sz w:val="24"/>
          <w:szCs w:val="24"/>
        </w:rPr>
        <w:t>Claim</w:t>
      </w:r>
      <w:r w:rsidRPr="009035F4">
        <w:rPr>
          <w:rFonts w:cs="Times New Roman"/>
          <w:color w:val="010302"/>
          <w:sz w:val="24"/>
          <w:szCs w:val="24"/>
        </w:rPr>
        <w:t>ant submitted that the hearing had been listed for a preliminary hearing to consider an application for strike-out and/or for a deposit</w:t>
      </w:r>
      <w:r w:rsidR="00DC6A3E">
        <w:rPr>
          <w:rFonts w:cs="Times New Roman"/>
          <w:color w:val="010302"/>
          <w:sz w:val="24"/>
          <w:szCs w:val="24"/>
        </w:rPr>
        <w:t>, h</w:t>
      </w:r>
      <w:r w:rsidRPr="009035F4">
        <w:rPr>
          <w:rFonts w:cs="Times New Roman"/>
          <w:color w:val="010302"/>
          <w:sz w:val="24"/>
          <w:szCs w:val="24"/>
        </w:rPr>
        <w:t xml:space="preserve">owever, it rapidly converted into a preliminary hearing to consider a substantive point, namely whether or not </w:t>
      </w:r>
      <w:r w:rsidR="005C41F1">
        <w:rPr>
          <w:rFonts w:cs="Times New Roman"/>
          <w:color w:val="010302"/>
          <w:sz w:val="24"/>
          <w:szCs w:val="24"/>
        </w:rPr>
        <w:t>claim</w:t>
      </w:r>
      <w:r w:rsidRPr="009035F4">
        <w:rPr>
          <w:rFonts w:cs="Times New Roman"/>
          <w:color w:val="010302"/>
          <w:sz w:val="24"/>
          <w:szCs w:val="24"/>
        </w:rPr>
        <w:t xml:space="preserve">s of discrimination were out of time and, if they were, whether or not time should be extended. It was submitted that there were </w:t>
      </w:r>
      <w:proofErr w:type="gramStart"/>
      <w:r w:rsidRPr="009035F4">
        <w:rPr>
          <w:rFonts w:cs="Times New Roman"/>
          <w:color w:val="010302"/>
          <w:sz w:val="24"/>
          <w:szCs w:val="24"/>
        </w:rPr>
        <w:t>a number of</w:t>
      </w:r>
      <w:proofErr w:type="gramEnd"/>
      <w:r w:rsidRPr="009035F4">
        <w:rPr>
          <w:rFonts w:cs="Times New Roman"/>
          <w:color w:val="010302"/>
          <w:sz w:val="24"/>
          <w:szCs w:val="24"/>
        </w:rPr>
        <w:t xml:space="preserve"> errors of law in respect of the approach of the Tribunal. First, the Tribunal proceeded to hear something where notice had not been properly given of that preliminary issue. In addition, no proper case management had taken place in advance of the preliminary hearing prior to determining that substantive issue. Thirdly, the judge failed to apply the two</w:t>
      </w:r>
      <w:r w:rsidR="00704367">
        <w:rPr>
          <w:rFonts w:cs="Times New Roman"/>
          <w:color w:val="010302"/>
          <w:sz w:val="24"/>
          <w:szCs w:val="24"/>
        </w:rPr>
        <w:t>-</w:t>
      </w:r>
      <w:r w:rsidRPr="009035F4">
        <w:rPr>
          <w:rFonts w:cs="Times New Roman"/>
          <w:color w:val="010302"/>
          <w:sz w:val="24"/>
          <w:szCs w:val="24"/>
        </w:rPr>
        <w:t xml:space="preserve">stage approach outlined in case law, </w:t>
      </w:r>
      <w:proofErr w:type="gramStart"/>
      <w:r w:rsidRPr="009035F4">
        <w:rPr>
          <w:rFonts w:cs="Times New Roman"/>
          <w:color w:val="010302"/>
          <w:sz w:val="24"/>
          <w:szCs w:val="24"/>
        </w:rPr>
        <w:t>in particular in</w:t>
      </w:r>
      <w:proofErr w:type="gramEnd"/>
      <w:r w:rsidRPr="009035F4">
        <w:rPr>
          <w:rFonts w:cs="Times New Roman"/>
          <w:color w:val="010302"/>
          <w:sz w:val="24"/>
          <w:szCs w:val="24"/>
        </w:rPr>
        <w:t xml:space="preserve"> the case of </w:t>
      </w:r>
      <w:r w:rsidRPr="009035F4">
        <w:rPr>
          <w:rFonts w:cs="Times New Roman"/>
          <w:b/>
          <w:bCs/>
          <w:iCs/>
          <w:color w:val="010302"/>
          <w:sz w:val="24"/>
          <w:szCs w:val="24"/>
          <w:u w:val="single"/>
        </w:rPr>
        <w:t>Balls v Downham Market High School</w:t>
      </w:r>
      <w:r w:rsidRPr="009035F4">
        <w:rPr>
          <w:rFonts w:cs="Times New Roman"/>
          <w:color w:val="010302"/>
          <w:sz w:val="24"/>
          <w:szCs w:val="24"/>
        </w:rPr>
        <w:t xml:space="preserve"> and also in </w:t>
      </w:r>
      <w:r w:rsidRPr="009035F4">
        <w:rPr>
          <w:rFonts w:cs="Times New Roman"/>
          <w:b/>
          <w:bCs/>
          <w:iCs/>
          <w:color w:val="010302"/>
          <w:sz w:val="24"/>
          <w:szCs w:val="24"/>
          <w:u w:val="single"/>
        </w:rPr>
        <w:t>HM Prison Service v Dolby</w:t>
      </w:r>
      <w:r w:rsidRPr="009035F4">
        <w:rPr>
          <w:rFonts w:cs="Times New Roman"/>
          <w:color w:val="010302"/>
          <w:sz w:val="24"/>
          <w:szCs w:val="24"/>
        </w:rPr>
        <w:t xml:space="preserve">.  It failed to consider which of the specified grounds for striking out the </w:t>
      </w:r>
      <w:r w:rsidR="005C41F1">
        <w:rPr>
          <w:rFonts w:cs="Times New Roman"/>
          <w:color w:val="010302"/>
          <w:sz w:val="24"/>
          <w:szCs w:val="24"/>
        </w:rPr>
        <w:t>Claim</w:t>
      </w:r>
      <w:r w:rsidRPr="009035F4">
        <w:rPr>
          <w:rFonts w:cs="Times New Roman"/>
          <w:color w:val="010302"/>
          <w:sz w:val="24"/>
          <w:szCs w:val="24"/>
        </w:rPr>
        <w:t xml:space="preserve"> had been established and it then failed to step back and ask itself </w:t>
      </w:r>
      <w:proofErr w:type="gramStart"/>
      <w:r w:rsidRPr="009035F4">
        <w:rPr>
          <w:rFonts w:cs="Times New Roman"/>
          <w:color w:val="010302"/>
          <w:sz w:val="24"/>
          <w:szCs w:val="24"/>
        </w:rPr>
        <w:t>whether or not</w:t>
      </w:r>
      <w:proofErr w:type="gramEnd"/>
      <w:r w:rsidRPr="009035F4">
        <w:rPr>
          <w:rFonts w:cs="Times New Roman"/>
          <w:color w:val="010302"/>
          <w:sz w:val="24"/>
          <w:szCs w:val="24"/>
        </w:rPr>
        <w:t xml:space="preserve"> it was appropriate to strike out the </w:t>
      </w:r>
      <w:r w:rsidR="005C41F1">
        <w:rPr>
          <w:rFonts w:cs="Times New Roman"/>
          <w:color w:val="010302"/>
          <w:sz w:val="24"/>
          <w:szCs w:val="24"/>
        </w:rPr>
        <w:t>Claim</w:t>
      </w:r>
      <w:r w:rsidRPr="009035F4">
        <w:rPr>
          <w:rFonts w:cs="Times New Roman"/>
          <w:color w:val="010302"/>
          <w:sz w:val="24"/>
          <w:szCs w:val="24"/>
        </w:rPr>
        <w:t xml:space="preserve">s on that basis. Further, it was submitted that the Tribunal failed to direct itself to the </w:t>
      </w:r>
      <w:r w:rsidRPr="009035F4">
        <w:rPr>
          <w:rFonts w:cs="Times New Roman"/>
          <w:color w:val="010302"/>
          <w:sz w:val="24"/>
          <w:szCs w:val="24"/>
        </w:rPr>
        <w:lastRenderedPageBreak/>
        <w:t xml:space="preserve">applicable and relevant law and </w:t>
      </w:r>
      <w:proofErr w:type="gramStart"/>
      <w:r w:rsidRPr="009035F4">
        <w:rPr>
          <w:rFonts w:cs="Times New Roman"/>
          <w:color w:val="010302"/>
          <w:sz w:val="24"/>
          <w:szCs w:val="24"/>
        </w:rPr>
        <w:t>in particular failed</w:t>
      </w:r>
      <w:proofErr w:type="gramEnd"/>
      <w:r w:rsidRPr="009035F4">
        <w:rPr>
          <w:rFonts w:cs="Times New Roman"/>
          <w:color w:val="010302"/>
          <w:sz w:val="24"/>
          <w:szCs w:val="24"/>
        </w:rPr>
        <w:t xml:space="preserve"> to comply with the principle</w:t>
      </w:r>
      <w:r w:rsidR="00704367">
        <w:rPr>
          <w:rFonts w:cs="Times New Roman"/>
          <w:color w:val="010302"/>
          <w:sz w:val="24"/>
          <w:szCs w:val="24"/>
        </w:rPr>
        <w:t>s</w:t>
      </w:r>
      <w:r w:rsidRPr="009035F4">
        <w:rPr>
          <w:rFonts w:cs="Times New Roman"/>
          <w:color w:val="010302"/>
          <w:sz w:val="24"/>
          <w:szCs w:val="24"/>
        </w:rPr>
        <w:t xml:space="preserve"> set out in paragraphs paragraph 50 of </w:t>
      </w:r>
      <w:r w:rsidR="00BB42DC" w:rsidRPr="009035F4">
        <w:rPr>
          <w:rFonts w:cs="Times New Roman"/>
          <w:color w:val="010302"/>
          <w:sz w:val="24"/>
          <w:szCs w:val="24"/>
        </w:rPr>
        <w:t>Ellenbogen</w:t>
      </w:r>
      <w:r w:rsidRPr="009035F4">
        <w:rPr>
          <w:rFonts w:cs="Times New Roman"/>
          <w:color w:val="010302"/>
          <w:sz w:val="24"/>
          <w:szCs w:val="24"/>
        </w:rPr>
        <w:t xml:space="preserve"> J</w:t>
      </w:r>
      <w:r w:rsidR="00704367">
        <w:rPr>
          <w:rFonts w:cs="Times New Roman"/>
          <w:color w:val="010302"/>
          <w:sz w:val="24"/>
          <w:szCs w:val="24"/>
        </w:rPr>
        <w:t>.</w:t>
      </w:r>
      <w:r w:rsidRPr="009035F4">
        <w:rPr>
          <w:rFonts w:cs="Times New Roman"/>
          <w:color w:val="010302"/>
          <w:sz w:val="24"/>
          <w:szCs w:val="24"/>
        </w:rPr>
        <w:t xml:space="preserve">’s Judgment in </w:t>
      </w:r>
      <w:r w:rsidRPr="009035F4">
        <w:rPr>
          <w:rFonts w:cs="Times New Roman"/>
          <w:b/>
          <w:bCs/>
          <w:iCs/>
          <w:color w:val="010302"/>
          <w:sz w:val="24"/>
          <w:szCs w:val="24"/>
          <w:u w:val="single"/>
        </w:rPr>
        <w:t>E v X, L and Z</w:t>
      </w:r>
      <w:r w:rsidRPr="009035F4">
        <w:rPr>
          <w:rFonts w:cs="Times New Roman"/>
          <w:i/>
          <w:color w:val="010302"/>
          <w:sz w:val="24"/>
          <w:szCs w:val="24"/>
        </w:rPr>
        <w:t xml:space="preserve">. </w:t>
      </w:r>
      <w:r w:rsidRPr="009035F4">
        <w:rPr>
          <w:rFonts w:cs="Times New Roman"/>
          <w:color w:val="010302"/>
          <w:sz w:val="24"/>
          <w:szCs w:val="24"/>
        </w:rPr>
        <w:t xml:space="preserve">It was submitted that the </w:t>
      </w:r>
      <w:r w:rsidR="00704367">
        <w:rPr>
          <w:rFonts w:cs="Times New Roman"/>
          <w:color w:val="010302"/>
          <w:sz w:val="24"/>
          <w:szCs w:val="24"/>
        </w:rPr>
        <w:t>J</w:t>
      </w:r>
      <w:r w:rsidRPr="009035F4">
        <w:rPr>
          <w:rFonts w:cs="Times New Roman"/>
          <w:color w:val="010302"/>
          <w:sz w:val="24"/>
          <w:szCs w:val="24"/>
        </w:rPr>
        <w:t xml:space="preserve">udge wrongly determined that the acts complained of were a series of distinct acts rather than conduct which extended over </w:t>
      </w:r>
      <w:proofErr w:type="gramStart"/>
      <w:r w:rsidRPr="009035F4">
        <w:rPr>
          <w:rFonts w:cs="Times New Roman"/>
          <w:color w:val="010302"/>
          <w:sz w:val="24"/>
          <w:szCs w:val="24"/>
        </w:rPr>
        <w:t>a period of time</w:t>
      </w:r>
      <w:proofErr w:type="gramEnd"/>
      <w:r w:rsidRPr="009035F4">
        <w:rPr>
          <w:rFonts w:cs="Times New Roman"/>
          <w:color w:val="010302"/>
          <w:sz w:val="24"/>
          <w:szCs w:val="24"/>
        </w:rPr>
        <w:t xml:space="preserve">. It was submitted that the </w:t>
      </w:r>
      <w:r w:rsidR="00A92298">
        <w:rPr>
          <w:rFonts w:cs="Times New Roman"/>
          <w:color w:val="010302"/>
          <w:sz w:val="24"/>
          <w:szCs w:val="24"/>
        </w:rPr>
        <w:t>J</w:t>
      </w:r>
      <w:r w:rsidRPr="009035F4">
        <w:rPr>
          <w:rFonts w:cs="Times New Roman"/>
          <w:color w:val="010302"/>
          <w:sz w:val="24"/>
          <w:szCs w:val="24"/>
        </w:rPr>
        <w:t xml:space="preserve">udge simply failed to consider the case that was set out by the </w:t>
      </w:r>
      <w:r w:rsidR="005C41F1">
        <w:rPr>
          <w:rFonts w:cs="Times New Roman"/>
          <w:color w:val="010302"/>
          <w:sz w:val="24"/>
          <w:szCs w:val="24"/>
        </w:rPr>
        <w:t>Claim</w:t>
      </w:r>
      <w:r w:rsidRPr="009035F4">
        <w:rPr>
          <w:rFonts w:cs="Times New Roman"/>
          <w:color w:val="010302"/>
          <w:sz w:val="24"/>
          <w:szCs w:val="24"/>
        </w:rPr>
        <w:t xml:space="preserve">ant, namely that there was gender discrimination within the </w:t>
      </w:r>
      <w:r w:rsidR="00746C2B">
        <w:rPr>
          <w:rFonts w:cs="Times New Roman"/>
          <w:color w:val="010302"/>
          <w:sz w:val="24"/>
          <w:szCs w:val="24"/>
        </w:rPr>
        <w:t xml:space="preserve">management </w:t>
      </w:r>
      <w:proofErr w:type="gramStart"/>
      <w:r w:rsidR="00746C2B">
        <w:rPr>
          <w:rFonts w:cs="Times New Roman"/>
          <w:color w:val="010302"/>
          <w:sz w:val="24"/>
          <w:szCs w:val="24"/>
        </w:rPr>
        <w:t xml:space="preserve">of </w:t>
      </w:r>
      <w:r w:rsidRPr="009035F4">
        <w:rPr>
          <w:rFonts w:cs="Times New Roman"/>
          <w:color w:val="010302"/>
          <w:sz w:val="24"/>
          <w:szCs w:val="24"/>
        </w:rPr>
        <w:t xml:space="preserve"> Middlesex</w:t>
      </w:r>
      <w:proofErr w:type="gramEnd"/>
      <w:r w:rsidRPr="009035F4">
        <w:rPr>
          <w:rFonts w:cs="Times New Roman"/>
          <w:color w:val="010302"/>
          <w:sz w:val="24"/>
          <w:szCs w:val="24"/>
        </w:rPr>
        <w:t xml:space="preserve"> University.</w:t>
      </w:r>
    </w:p>
    <w:p w14:paraId="34C5F96D" w14:textId="52D208C4" w:rsidR="00B968CF"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35.</w:t>
      </w:r>
      <w:r w:rsidRPr="009035F4">
        <w:rPr>
          <w:rFonts w:cs="Times New Roman"/>
          <w:color w:val="010302"/>
          <w:sz w:val="24"/>
          <w:szCs w:val="24"/>
        </w:rPr>
        <w:tab/>
        <w:t xml:space="preserve">The Respondent submitted that although it was accepted that the </w:t>
      </w:r>
      <w:r w:rsidR="00746C2B">
        <w:rPr>
          <w:rFonts w:cs="Times New Roman"/>
          <w:color w:val="010302"/>
          <w:sz w:val="24"/>
          <w:szCs w:val="24"/>
        </w:rPr>
        <w:t>J</w:t>
      </w:r>
      <w:r w:rsidRPr="009035F4">
        <w:rPr>
          <w:rFonts w:cs="Times New Roman"/>
          <w:color w:val="010302"/>
          <w:sz w:val="24"/>
          <w:szCs w:val="24"/>
        </w:rPr>
        <w:t xml:space="preserve">udge, with two brief exceptions, had not referred to relevant case law or principles, what the </w:t>
      </w:r>
      <w:r w:rsidR="00EB1CC3">
        <w:rPr>
          <w:rFonts w:cs="Times New Roman"/>
          <w:color w:val="010302"/>
          <w:sz w:val="24"/>
          <w:szCs w:val="24"/>
        </w:rPr>
        <w:t>J</w:t>
      </w:r>
      <w:r w:rsidRPr="009035F4">
        <w:rPr>
          <w:rFonts w:cs="Times New Roman"/>
          <w:color w:val="010302"/>
          <w:sz w:val="24"/>
          <w:szCs w:val="24"/>
        </w:rPr>
        <w:t>udge did was</w:t>
      </w:r>
      <w:r w:rsidR="00DC6A3E">
        <w:rPr>
          <w:rFonts w:cs="Times New Roman"/>
          <w:color w:val="010302"/>
          <w:sz w:val="24"/>
          <w:szCs w:val="24"/>
        </w:rPr>
        <w:t>,</w:t>
      </w:r>
      <w:r w:rsidRPr="009035F4">
        <w:rPr>
          <w:rFonts w:cs="Times New Roman"/>
          <w:color w:val="010302"/>
          <w:sz w:val="24"/>
          <w:szCs w:val="24"/>
        </w:rPr>
        <w:t xml:space="preserve"> in substance</w:t>
      </w:r>
      <w:r w:rsidR="00DC6A3E">
        <w:rPr>
          <w:rFonts w:cs="Times New Roman"/>
          <w:color w:val="010302"/>
          <w:sz w:val="24"/>
          <w:szCs w:val="24"/>
        </w:rPr>
        <w:t>,</w:t>
      </w:r>
      <w:r w:rsidRPr="009035F4">
        <w:rPr>
          <w:rFonts w:cs="Times New Roman"/>
          <w:color w:val="010302"/>
          <w:sz w:val="24"/>
          <w:szCs w:val="24"/>
        </w:rPr>
        <w:t xml:space="preserve"> apply the correct legal principles and </w:t>
      </w:r>
      <w:r w:rsidR="00DC6A3E">
        <w:rPr>
          <w:rFonts w:cs="Times New Roman"/>
          <w:color w:val="010302"/>
          <w:sz w:val="24"/>
          <w:szCs w:val="24"/>
        </w:rPr>
        <w:t xml:space="preserve">he </w:t>
      </w:r>
      <w:r w:rsidRPr="009035F4">
        <w:rPr>
          <w:rFonts w:cs="Times New Roman"/>
          <w:color w:val="010302"/>
          <w:sz w:val="24"/>
          <w:szCs w:val="24"/>
        </w:rPr>
        <w:t xml:space="preserve">reached a decision which was open to </w:t>
      </w:r>
      <w:r w:rsidR="00EB1CC3">
        <w:rPr>
          <w:rFonts w:cs="Times New Roman"/>
          <w:color w:val="010302"/>
          <w:sz w:val="24"/>
          <w:szCs w:val="24"/>
        </w:rPr>
        <w:t>him</w:t>
      </w:r>
      <w:r w:rsidRPr="009035F4">
        <w:rPr>
          <w:rFonts w:cs="Times New Roman"/>
          <w:color w:val="010302"/>
          <w:sz w:val="24"/>
          <w:szCs w:val="24"/>
        </w:rPr>
        <w:t xml:space="preserve">. It was submitted that the </w:t>
      </w:r>
      <w:r w:rsidR="00317726">
        <w:rPr>
          <w:rFonts w:cs="Times New Roman"/>
          <w:color w:val="010302"/>
          <w:sz w:val="24"/>
          <w:szCs w:val="24"/>
        </w:rPr>
        <w:t>J</w:t>
      </w:r>
      <w:r w:rsidRPr="009035F4">
        <w:rPr>
          <w:rFonts w:cs="Times New Roman"/>
          <w:color w:val="010302"/>
          <w:sz w:val="24"/>
          <w:szCs w:val="24"/>
        </w:rPr>
        <w:t xml:space="preserve">udge looked at the substance of the allegations made by the </w:t>
      </w:r>
      <w:r w:rsidR="005C41F1">
        <w:rPr>
          <w:rFonts w:cs="Times New Roman"/>
          <w:color w:val="010302"/>
          <w:sz w:val="24"/>
          <w:szCs w:val="24"/>
        </w:rPr>
        <w:t>Claim</w:t>
      </w:r>
      <w:r w:rsidRPr="009035F4">
        <w:rPr>
          <w:rFonts w:cs="Times New Roman"/>
          <w:color w:val="010302"/>
          <w:sz w:val="24"/>
          <w:szCs w:val="24"/>
        </w:rPr>
        <w:t xml:space="preserve">ant and concluded that </w:t>
      </w:r>
      <w:r w:rsidR="00DC6A3E">
        <w:rPr>
          <w:rFonts w:cs="Times New Roman"/>
          <w:color w:val="010302"/>
          <w:sz w:val="24"/>
          <w:szCs w:val="24"/>
        </w:rPr>
        <w:t>t</w:t>
      </w:r>
      <w:r w:rsidRPr="009035F4">
        <w:rPr>
          <w:rFonts w:cs="Times New Roman"/>
          <w:color w:val="010302"/>
          <w:sz w:val="24"/>
          <w:szCs w:val="24"/>
        </w:rPr>
        <w:t xml:space="preserve">he </w:t>
      </w:r>
      <w:r w:rsidR="00DC6A3E">
        <w:rPr>
          <w:rFonts w:cs="Times New Roman"/>
          <w:color w:val="010302"/>
          <w:sz w:val="24"/>
          <w:szCs w:val="24"/>
        </w:rPr>
        <w:t xml:space="preserve">Claimant </w:t>
      </w:r>
      <w:r w:rsidRPr="009035F4">
        <w:rPr>
          <w:rFonts w:cs="Times New Roman"/>
          <w:color w:val="010302"/>
          <w:sz w:val="24"/>
          <w:szCs w:val="24"/>
        </w:rPr>
        <w:t xml:space="preserve">had not established that there was an act which extended over a period. In particular, the </w:t>
      </w:r>
      <w:r w:rsidR="00317726">
        <w:rPr>
          <w:rFonts w:cs="Times New Roman"/>
          <w:color w:val="010302"/>
          <w:sz w:val="24"/>
          <w:szCs w:val="24"/>
        </w:rPr>
        <w:t>J</w:t>
      </w:r>
      <w:r w:rsidRPr="009035F4">
        <w:rPr>
          <w:rFonts w:cs="Times New Roman"/>
          <w:color w:val="010302"/>
          <w:sz w:val="24"/>
          <w:szCs w:val="24"/>
        </w:rPr>
        <w:t xml:space="preserve">udge had regard to inconsistencies within the </w:t>
      </w:r>
      <w:r w:rsidR="005C41F1">
        <w:rPr>
          <w:rFonts w:cs="Times New Roman"/>
          <w:color w:val="010302"/>
          <w:sz w:val="24"/>
          <w:szCs w:val="24"/>
        </w:rPr>
        <w:t>Claim</w:t>
      </w:r>
      <w:r w:rsidRPr="009035F4">
        <w:rPr>
          <w:rFonts w:cs="Times New Roman"/>
          <w:color w:val="010302"/>
          <w:sz w:val="24"/>
          <w:szCs w:val="24"/>
        </w:rPr>
        <w:t xml:space="preserve">ant’s own pleaded case. For example, in relation to one or two allegations of discrimination the </w:t>
      </w:r>
      <w:r w:rsidR="005C41F1">
        <w:rPr>
          <w:rFonts w:cs="Times New Roman"/>
          <w:color w:val="010302"/>
          <w:sz w:val="24"/>
          <w:szCs w:val="24"/>
        </w:rPr>
        <w:t>Claim</w:t>
      </w:r>
      <w:r w:rsidRPr="009035F4">
        <w:rPr>
          <w:rFonts w:cs="Times New Roman"/>
          <w:color w:val="010302"/>
          <w:sz w:val="24"/>
          <w:szCs w:val="24"/>
        </w:rPr>
        <w:t xml:space="preserve">ant appeared to have identified a male comparator and complained about more favourable treatment granted to a male comparator.  It was submitted that the </w:t>
      </w:r>
      <w:r w:rsidR="00317726">
        <w:rPr>
          <w:rFonts w:cs="Times New Roman"/>
          <w:color w:val="010302"/>
          <w:sz w:val="24"/>
          <w:szCs w:val="24"/>
        </w:rPr>
        <w:t>J</w:t>
      </w:r>
      <w:r w:rsidRPr="009035F4">
        <w:rPr>
          <w:rFonts w:cs="Times New Roman"/>
          <w:color w:val="010302"/>
          <w:sz w:val="24"/>
          <w:szCs w:val="24"/>
        </w:rPr>
        <w:t xml:space="preserve">udge approached the case considering the </w:t>
      </w:r>
      <w:r w:rsidR="005C41F1">
        <w:rPr>
          <w:rFonts w:cs="Times New Roman"/>
          <w:color w:val="010302"/>
          <w:sz w:val="24"/>
          <w:szCs w:val="24"/>
        </w:rPr>
        <w:t>Claim</w:t>
      </w:r>
      <w:r w:rsidRPr="009035F4">
        <w:rPr>
          <w:rFonts w:cs="Times New Roman"/>
          <w:color w:val="010302"/>
          <w:sz w:val="24"/>
          <w:szCs w:val="24"/>
        </w:rPr>
        <w:t>ant’s case at its highest and that he did</w:t>
      </w:r>
      <w:r w:rsidR="00317726">
        <w:rPr>
          <w:rFonts w:cs="Times New Roman"/>
          <w:color w:val="010302"/>
          <w:sz w:val="24"/>
          <w:szCs w:val="24"/>
        </w:rPr>
        <w:t>, in fact,</w:t>
      </w:r>
      <w:r w:rsidRPr="009035F4">
        <w:rPr>
          <w:rFonts w:cs="Times New Roman"/>
          <w:color w:val="010302"/>
          <w:sz w:val="24"/>
          <w:szCs w:val="24"/>
        </w:rPr>
        <w:t xml:space="preserve"> adopt the relevant two stage approach. It was submitted that the guidance set out by </w:t>
      </w:r>
      <w:r w:rsidR="00FB1023" w:rsidRPr="009035F4">
        <w:rPr>
          <w:rFonts w:cs="Times New Roman"/>
          <w:color w:val="010302"/>
          <w:sz w:val="24"/>
          <w:szCs w:val="24"/>
        </w:rPr>
        <w:t>Ellenbogen</w:t>
      </w:r>
      <w:r w:rsidRPr="009035F4">
        <w:rPr>
          <w:rFonts w:cs="Times New Roman"/>
          <w:color w:val="010302"/>
          <w:sz w:val="24"/>
          <w:szCs w:val="24"/>
        </w:rPr>
        <w:t xml:space="preserve"> J, was guidance only</w:t>
      </w:r>
      <w:r w:rsidR="00317726">
        <w:rPr>
          <w:rFonts w:cs="Times New Roman"/>
          <w:color w:val="010302"/>
          <w:sz w:val="24"/>
          <w:szCs w:val="24"/>
        </w:rPr>
        <w:t>,</w:t>
      </w:r>
      <w:r w:rsidRPr="009035F4">
        <w:rPr>
          <w:rFonts w:cs="Times New Roman"/>
          <w:color w:val="010302"/>
          <w:sz w:val="24"/>
          <w:szCs w:val="24"/>
        </w:rPr>
        <w:t xml:space="preserve"> but that in any event the </w:t>
      </w:r>
      <w:r w:rsidR="00317726">
        <w:rPr>
          <w:rFonts w:cs="Times New Roman"/>
          <w:color w:val="010302"/>
          <w:sz w:val="24"/>
          <w:szCs w:val="24"/>
        </w:rPr>
        <w:t>J</w:t>
      </w:r>
      <w:r w:rsidRPr="009035F4">
        <w:rPr>
          <w:rFonts w:cs="Times New Roman"/>
          <w:color w:val="010302"/>
          <w:sz w:val="24"/>
          <w:szCs w:val="24"/>
        </w:rPr>
        <w:t>udge had clearly complied with it.</w:t>
      </w:r>
    </w:p>
    <w:p w14:paraId="3BC3493B" w14:textId="30AE0FB2" w:rsidR="00317726" w:rsidRPr="00317726" w:rsidRDefault="00317726" w:rsidP="0091566F">
      <w:pPr>
        <w:pStyle w:val="ListParagraph"/>
        <w:tabs>
          <w:tab w:val="left" w:pos="0"/>
        </w:tabs>
        <w:spacing w:before="240" w:line="480" w:lineRule="auto"/>
        <w:jc w:val="both"/>
        <w:rPr>
          <w:rFonts w:cs="Times New Roman"/>
          <w:b/>
          <w:bCs/>
          <w:color w:val="010302"/>
          <w:sz w:val="24"/>
          <w:szCs w:val="24"/>
          <w:u w:val="single"/>
        </w:rPr>
      </w:pPr>
      <w:r>
        <w:rPr>
          <w:rFonts w:cs="Times New Roman"/>
          <w:b/>
          <w:bCs/>
          <w:color w:val="010302"/>
          <w:sz w:val="24"/>
          <w:szCs w:val="24"/>
          <w:u w:val="single"/>
        </w:rPr>
        <w:t>Analysis and conclusions</w:t>
      </w:r>
    </w:p>
    <w:p w14:paraId="5C349211" w14:textId="77777777" w:rsidR="00062D6D"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 xml:space="preserve">36. </w:t>
      </w:r>
      <w:r w:rsidRPr="009035F4">
        <w:rPr>
          <w:rFonts w:cs="Times New Roman"/>
          <w:color w:val="010302"/>
          <w:sz w:val="24"/>
          <w:szCs w:val="24"/>
        </w:rPr>
        <w:tab/>
      </w:r>
      <w:r w:rsidR="00317726">
        <w:rPr>
          <w:rFonts w:cs="Times New Roman"/>
          <w:color w:val="010302"/>
          <w:sz w:val="24"/>
          <w:szCs w:val="24"/>
        </w:rPr>
        <w:t>I have already out some</w:t>
      </w:r>
      <w:r w:rsidR="00A87E6E">
        <w:rPr>
          <w:rFonts w:cs="Times New Roman"/>
          <w:color w:val="010302"/>
          <w:sz w:val="24"/>
          <w:szCs w:val="24"/>
        </w:rPr>
        <w:t xml:space="preserve"> relevant matters above when considering the detail of the J</w:t>
      </w:r>
      <w:r w:rsidRPr="009035F4">
        <w:rPr>
          <w:rFonts w:cs="Times New Roman"/>
          <w:color w:val="010302"/>
          <w:sz w:val="24"/>
          <w:szCs w:val="24"/>
        </w:rPr>
        <w:t>udge’s Judgment</w:t>
      </w:r>
      <w:r w:rsidR="00A87E6E">
        <w:rPr>
          <w:rFonts w:cs="Times New Roman"/>
          <w:color w:val="010302"/>
          <w:sz w:val="24"/>
          <w:szCs w:val="24"/>
        </w:rPr>
        <w:t xml:space="preserve"> and Reasons</w:t>
      </w:r>
      <w:r w:rsidRPr="009035F4">
        <w:rPr>
          <w:rFonts w:cs="Times New Roman"/>
          <w:color w:val="010302"/>
          <w:sz w:val="24"/>
          <w:szCs w:val="24"/>
        </w:rPr>
        <w:t xml:space="preserve">.  I consider that the Judgment was flawed and that </w:t>
      </w:r>
      <w:proofErr w:type="gramStart"/>
      <w:r w:rsidRPr="009035F4">
        <w:rPr>
          <w:rFonts w:cs="Times New Roman"/>
          <w:color w:val="010302"/>
          <w:sz w:val="24"/>
          <w:szCs w:val="24"/>
        </w:rPr>
        <w:t>a number of</w:t>
      </w:r>
      <w:proofErr w:type="gramEnd"/>
      <w:r w:rsidRPr="009035F4">
        <w:rPr>
          <w:rFonts w:cs="Times New Roman"/>
          <w:color w:val="010302"/>
          <w:sz w:val="24"/>
          <w:szCs w:val="24"/>
        </w:rPr>
        <w:t xml:space="preserve"> errors of law took place</w:t>
      </w:r>
      <w:r w:rsidR="000619E1">
        <w:rPr>
          <w:rFonts w:cs="Times New Roman"/>
          <w:color w:val="010302"/>
          <w:sz w:val="24"/>
          <w:szCs w:val="24"/>
        </w:rPr>
        <w:t>.</w:t>
      </w:r>
      <w:r w:rsidRPr="009035F4">
        <w:rPr>
          <w:rFonts w:cs="Times New Roman"/>
          <w:color w:val="010302"/>
          <w:sz w:val="24"/>
          <w:szCs w:val="24"/>
        </w:rPr>
        <w:t xml:space="preserve"> </w:t>
      </w:r>
    </w:p>
    <w:p w14:paraId="6A669FAF" w14:textId="6B47A488" w:rsidR="00062D6D" w:rsidRDefault="00062D6D" w:rsidP="0091566F">
      <w:pPr>
        <w:pStyle w:val="ListParagraph"/>
        <w:tabs>
          <w:tab w:val="left" w:pos="0"/>
        </w:tabs>
        <w:spacing w:before="240" w:line="480" w:lineRule="auto"/>
        <w:jc w:val="both"/>
        <w:rPr>
          <w:rFonts w:cs="Times New Roman"/>
          <w:color w:val="010302"/>
          <w:sz w:val="24"/>
          <w:szCs w:val="24"/>
        </w:rPr>
      </w:pPr>
      <w:r>
        <w:rPr>
          <w:rFonts w:cs="Times New Roman"/>
          <w:color w:val="010302"/>
          <w:sz w:val="24"/>
          <w:szCs w:val="24"/>
        </w:rPr>
        <w:t xml:space="preserve">37. </w:t>
      </w:r>
      <w:r>
        <w:rPr>
          <w:rFonts w:cs="Times New Roman"/>
          <w:color w:val="010302"/>
          <w:sz w:val="24"/>
          <w:szCs w:val="24"/>
        </w:rPr>
        <w:tab/>
      </w:r>
      <w:r w:rsidR="00B968CF" w:rsidRPr="009035F4">
        <w:rPr>
          <w:rFonts w:cs="Times New Roman"/>
          <w:color w:val="010302"/>
          <w:sz w:val="24"/>
          <w:szCs w:val="24"/>
        </w:rPr>
        <w:t xml:space="preserve">First, in my </w:t>
      </w:r>
      <w:r w:rsidR="000619E1">
        <w:rPr>
          <w:rFonts w:cs="Times New Roman"/>
          <w:color w:val="010302"/>
          <w:sz w:val="24"/>
          <w:szCs w:val="24"/>
        </w:rPr>
        <w:t>view</w:t>
      </w:r>
      <w:r w:rsidR="00242660">
        <w:rPr>
          <w:rFonts w:cs="Times New Roman"/>
          <w:color w:val="010302"/>
          <w:sz w:val="24"/>
          <w:szCs w:val="24"/>
        </w:rPr>
        <w:t xml:space="preserve">, it was clear that the </w:t>
      </w:r>
      <w:r w:rsidR="00B968CF" w:rsidRPr="009035F4">
        <w:rPr>
          <w:rFonts w:cs="Times New Roman"/>
          <w:color w:val="010302"/>
          <w:sz w:val="24"/>
          <w:szCs w:val="24"/>
        </w:rPr>
        <w:t xml:space="preserve">case </w:t>
      </w:r>
      <w:r w:rsidR="00242660">
        <w:rPr>
          <w:rFonts w:cs="Times New Roman"/>
          <w:color w:val="010302"/>
          <w:sz w:val="24"/>
          <w:szCs w:val="24"/>
        </w:rPr>
        <w:t xml:space="preserve">had been </w:t>
      </w:r>
      <w:r w:rsidR="00B968CF" w:rsidRPr="009035F4">
        <w:rPr>
          <w:rFonts w:cs="Times New Roman"/>
          <w:color w:val="010302"/>
          <w:sz w:val="24"/>
          <w:szCs w:val="24"/>
        </w:rPr>
        <w:t xml:space="preserve">listed as a </w:t>
      </w:r>
      <w:r w:rsidR="00DC6A3E">
        <w:rPr>
          <w:rFonts w:cs="Times New Roman"/>
          <w:color w:val="010302"/>
          <w:sz w:val="24"/>
          <w:szCs w:val="24"/>
        </w:rPr>
        <w:t xml:space="preserve">PH </w:t>
      </w:r>
      <w:r w:rsidR="00B968CF" w:rsidRPr="009035F4">
        <w:rPr>
          <w:rFonts w:cs="Times New Roman"/>
          <w:color w:val="010302"/>
          <w:sz w:val="24"/>
          <w:szCs w:val="24"/>
        </w:rPr>
        <w:t>to consider strike-out</w:t>
      </w:r>
      <w:r w:rsidR="00DC6A3E">
        <w:rPr>
          <w:rFonts w:cs="Times New Roman"/>
          <w:color w:val="010302"/>
          <w:sz w:val="24"/>
          <w:szCs w:val="24"/>
        </w:rPr>
        <w:t xml:space="preserve"> and whether a Deposit Order should be paid</w:t>
      </w:r>
      <w:r w:rsidR="00B968CF" w:rsidRPr="009035F4">
        <w:rPr>
          <w:rFonts w:cs="Times New Roman"/>
          <w:color w:val="010302"/>
          <w:sz w:val="24"/>
          <w:szCs w:val="24"/>
        </w:rPr>
        <w:t xml:space="preserve">. However, the </w:t>
      </w:r>
      <w:r w:rsidR="00242660">
        <w:rPr>
          <w:rFonts w:cs="Times New Roman"/>
          <w:color w:val="010302"/>
          <w:sz w:val="24"/>
          <w:szCs w:val="24"/>
        </w:rPr>
        <w:t>J</w:t>
      </w:r>
      <w:r w:rsidR="00B968CF" w:rsidRPr="009035F4">
        <w:rPr>
          <w:rFonts w:cs="Times New Roman"/>
          <w:color w:val="010302"/>
          <w:sz w:val="24"/>
          <w:szCs w:val="24"/>
        </w:rPr>
        <w:t xml:space="preserve">udge </w:t>
      </w:r>
      <w:r w:rsidR="00242660">
        <w:rPr>
          <w:rFonts w:cs="Times New Roman"/>
          <w:color w:val="010302"/>
          <w:sz w:val="24"/>
          <w:szCs w:val="24"/>
        </w:rPr>
        <w:t xml:space="preserve">then </w:t>
      </w:r>
      <w:r w:rsidR="00B968CF" w:rsidRPr="009035F4">
        <w:rPr>
          <w:rFonts w:cs="Times New Roman"/>
          <w:color w:val="010302"/>
          <w:sz w:val="24"/>
          <w:szCs w:val="24"/>
        </w:rPr>
        <w:t>proceeded to determine issue</w:t>
      </w:r>
      <w:r w:rsidR="00242660">
        <w:rPr>
          <w:rFonts w:cs="Times New Roman"/>
          <w:color w:val="010302"/>
          <w:sz w:val="24"/>
          <w:szCs w:val="24"/>
        </w:rPr>
        <w:t>s</w:t>
      </w:r>
      <w:r w:rsidR="00B968CF" w:rsidRPr="009035F4">
        <w:rPr>
          <w:rFonts w:cs="Times New Roman"/>
          <w:color w:val="010302"/>
          <w:sz w:val="24"/>
          <w:szCs w:val="24"/>
        </w:rPr>
        <w:t xml:space="preserve"> of substance</w:t>
      </w:r>
      <w:r w:rsidR="00DC6A3E">
        <w:rPr>
          <w:rFonts w:cs="Times New Roman"/>
          <w:color w:val="010302"/>
          <w:sz w:val="24"/>
          <w:szCs w:val="24"/>
        </w:rPr>
        <w:t>, preliminary issues properly so called</w:t>
      </w:r>
      <w:r w:rsidR="00242660">
        <w:rPr>
          <w:rFonts w:cs="Times New Roman"/>
          <w:color w:val="010302"/>
          <w:sz w:val="24"/>
          <w:szCs w:val="24"/>
        </w:rPr>
        <w:t xml:space="preserve">. First, whether </w:t>
      </w:r>
      <w:r w:rsidR="00B968CF" w:rsidRPr="009035F4">
        <w:rPr>
          <w:rFonts w:cs="Times New Roman"/>
          <w:color w:val="010302"/>
          <w:sz w:val="24"/>
          <w:szCs w:val="24"/>
        </w:rPr>
        <w:t xml:space="preserve">not </w:t>
      </w:r>
      <w:r w:rsidR="005C41F1">
        <w:rPr>
          <w:rFonts w:cs="Times New Roman"/>
          <w:color w:val="010302"/>
          <w:sz w:val="24"/>
          <w:szCs w:val="24"/>
        </w:rPr>
        <w:t>claim</w:t>
      </w:r>
      <w:r w:rsidR="00B968CF" w:rsidRPr="009035F4">
        <w:rPr>
          <w:rFonts w:cs="Times New Roman"/>
          <w:color w:val="010302"/>
          <w:sz w:val="24"/>
          <w:szCs w:val="24"/>
        </w:rPr>
        <w:t xml:space="preserve">s were out of time, </w:t>
      </w:r>
      <w:r w:rsidR="00242660">
        <w:rPr>
          <w:rFonts w:cs="Times New Roman"/>
          <w:color w:val="010302"/>
          <w:sz w:val="24"/>
          <w:szCs w:val="24"/>
        </w:rPr>
        <w:t xml:space="preserve">which, </w:t>
      </w:r>
      <w:r w:rsidR="00242660">
        <w:rPr>
          <w:rFonts w:cs="Times New Roman"/>
          <w:color w:val="010302"/>
          <w:sz w:val="24"/>
          <w:szCs w:val="24"/>
        </w:rPr>
        <w:lastRenderedPageBreak/>
        <w:t xml:space="preserve">in this case, required consideration of </w:t>
      </w:r>
      <w:r w:rsidR="00B968CF" w:rsidRPr="009035F4">
        <w:rPr>
          <w:rFonts w:cs="Times New Roman"/>
          <w:color w:val="010302"/>
          <w:sz w:val="24"/>
          <w:szCs w:val="24"/>
        </w:rPr>
        <w:t xml:space="preserve">whether </w:t>
      </w:r>
      <w:r w:rsidR="00A519C7">
        <w:rPr>
          <w:rFonts w:cs="Times New Roman"/>
          <w:color w:val="010302"/>
          <w:sz w:val="24"/>
          <w:szCs w:val="24"/>
        </w:rPr>
        <w:t>that which was alleged was “a</w:t>
      </w:r>
      <w:r w:rsidR="00B968CF" w:rsidRPr="009035F4">
        <w:rPr>
          <w:rFonts w:cs="Times New Roman"/>
          <w:color w:val="010302"/>
          <w:sz w:val="24"/>
          <w:szCs w:val="24"/>
        </w:rPr>
        <w:t>n act which extended over a period</w:t>
      </w:r>
      <w:r w:rsidR="00A519C7">
        <w:rPr>
          <w:rFonts w:cs="Times New Roman"/>
          <w:color w:val="010302"/>
          <w:sz w:val="24"/>
          <w:szCs w:val="24"/>
        </w:rPr>
        <w:t>”. The Claimant asserted</w:t>
      </w:r>
      <w:r>
        <w:rPr>
          <w:rFonts w:cs="Times New Roman"/>
          <w:color w:val="010302"/>
          <w:sz w:val="24"/>
          <w:szCs w:val="24"/>
        </w:rPr>
        <w:t xml:space="preserve"> that it was. S</w:t>
      </w:r>
      <w:r w:rsidR="00B968CF" w:rsidRPr="009035F4">
        <w:rPr>
          <w:rFonts w:cs="Times New Roman"/>
          <w:color w:val="010302"/>
          <w:sz w:val="24"/>
          <w:szCs w:val="24"/>
        </w:rPr>
        <w:t xml:space="preserve">econdly, </w:t>
      </w:r>
      <w:r>
        <w:rPr>
          <w:rFonts w:cs="Times New Roman"/>
          <w:color w:val="010302"/>
          <w:sz w:val="24"/>
          <w:szCs w:val="24"/>
        </w:rPr>
        <w:t xml:space="preserve">the Judge then considered </w:t>
      </w:r>
      <w:proofErr w:type="gramStart"/>
      <w:r w:rsidR="00B968CF" w:rsidRPr="009035F4">
        <w:rPr>
          <w:rFonts w:cs="Times New Roman"/>
          <w:color w:val="010302"/>
          <w:sz w:val="24"/>
          <w:szCs w:val="24"/>
        </w:rPr>
        <w:t>whether or not</w:t>
      </w:r>
      <w:proofErr w:type="gramEnd"/>
      <w:r w:rsidR="00B968CF" w:rsidRPr="009035F4">
        <w:rPr>
          <w:rFonts w:cs="Times New Roman"/>
          <w:color w:val="010302"/>
          <w:sz w:val="24"/>
          <w:szCs w:val="24"/>
        </w:rPr>
        <w:t xml:space="preserve"> time should be extended.  </w:t>
      </w:r>
    </w:p>
    <w:p w14:paraId="0FDB2A83" w14:textId="04CF3B86" w:rsidR="00106C60" w:rsidRDefault="00062D6D" w:rsidP="0091566F">
      <w:pPr>
        <w:pStyle w:val="ListParagraph"/>
        <w:tabs>
          <w:tab w:val="left" w:pos="0"/>
        </w:tabs>
        <w:spacing w:before="240" w:line="480" w:lineRule="auto"/>
        <w:jc w:val="both"/>
        <w:rPr>
          <w:rFonts w:cs="Times New Roman"/>
          <w:color w:val="010302"/>
          <w:sz w:val="24"/>
          <w:szCs w:val="24"/>
        </w:rPr>
      </w:pPr>
      <w:r>
        <w:rPr>
          <w:rFonts w:cs="Times New Roman"/>
          <w:color w:val="010302"/>
          <w:sz w:val="24"/>
          <w:szCs w:val="24"/>
        </w:rPr>
        <w:t xml:space="preserve">38. </w:t>
      </w:r>
      <w:r>
        <w:rPr>
          <w:rFonts w:cs="Times New Roman"/>
          <w:color w:val="010302"/>
          <w:sz w:val="24"/>
          <w:szCs w:val="24"/>
        </w:rPr>
        <w:tab/>
      </w:r>
      <w:r w:rsidR="00DC6A3E">
        <w:rPr>
          <w:rFonts w:cs="Times New Roman"/>
          <w:color w:val="010302"/>
          <w:sz w:val="24"/>
          <w:szCs w:val="24"/>
        </w:rPr>
        <w:t>Further</w:t>
      </w:r>
      <w:r w:rsidR="00B968CF" w:rsidRPr="009035F4">
        <w:rPr>
          <w:rFonts w:cs="Times New Roman"/>
          <w:color w:val="010302"/>
          <w:sz w:val="24"/>
          <w:szCs w:val="24"/>
        </w:rPr>
        <w:t xml:space="preserve">, </w:t>
      </w:r>
      <w:r w:rsidR="009035F4" w:rsidRPr="009035F4">
        <w:rPr>
          <w:rFonts w:cs="Times New Roman"/>
          <w:color w:val="010302"/>
          <w:sz w:val="24"/>
          <w:szCs w:val="24"/>
        </w:rPr>
        <w:t>in my</w:t>
      </w:r>
      <w:r w:rsidR="00B968CF" w:rsidRPr="009035F4">
        <w:rPr>
          <w:rFonts w:cs="Times New Roman"/>
          <w:color w:val="010302"/>
          <w:sz w:val="24"/>
          <w:szCs w:val="24"/>
        </w:rPr>
        <w:t xml:space="preserve"> judgment, the </w:t>
      </w:r>
      <w:r>
        <w:rPr>
          <w:rFonts w:cs="Times New Roman"/>
          <w:color w:val="010302"/>
          <w:sz w:val="24"/>
          <w:szCs w:val="24"/>
        </w:rPr>
        <w:t>J</w:t>
      </w:r>
      <w:r w:rsidR="00B968CF" w:rsidRPr="009035F4">
        <w:rPr>
          <w:rFonts w:cs="Times New Roman"/>
          <w:color w:val="010302"/>
          <w:sz w:val="24"/>
          <w:szCs w:val="24"/>
        </w:rPr>
        <w:t xml:space="preserve">udge failed </w:t>
      </w:r>
      <w:r>
        <w:rPr>
          <w:rFonts w:cs="Times New Roman"/>
          <w:color w:val="010302"/>
          <w:sz w:val="24"/>
          <w:szCs w:val="24"/>
        </w:rPr>
        <w:t xml:space="preserve">to </w:t>
      </w:r>
      <w:r w:rsidR="00B968CF" w:rsidRPr="009035F4">
        <w:rPr>
          <w:rFonts w:cs="Times New Roman"/>
          <w:color w:val="010302"/>
          <w:sz w:val="24"/>
          <w:szCs w:val="24"/>
        </w:rPr>
        <w:t xml:space="preserve">properly identify </w:t>
      </w:r>
      <w:r>
        <w:rPr>
          <w:rFonts w:cs="Times New Roman"/>
          <w:color w:val="010302"/>
          <w:sz w:val="24"/>
          <w:szCs w:val="24"/>
        </w:rPr>
        <w:t xml:space="preserve">how </w:t>
      </w:r>
      <w:r w:rsidR="00B968CF" w:rsidRPr="009035F4">
        <w:rPr>
          <w:rFonts w:cs="Times New Roman"/>
          <w:color w:val="010302"/>
          <w:sz w:val="24"/>
          <w:szCs w:val="24"/>
        </w:rPr>
        <w:t xml:space="preserve">the </w:t>
      </w:r>
      <w:r w:rsidR="005C41F1">
        <w:rPr>
          <w:rFonts w:cs="Times New Roman"/>
          <w:color w:val="010302"/>
          <w:sz w:val="24"/>
          <w:szCs w:val="24"/>
        </w:rPr>
        <w:t>Claim</w:t>
      </w:r>
      <w:r w:rsidR="00B968CF" w:rsidRPr="009035F4">
        <w:rPr>
          <w:rFonts w:cs="Times New Roman"/>
          <w:color w:val="010302"/>
          <w:sz w:val="24"/>
          <w:szCs w:val="24"/>
        </w:rPr>
        <w:t xml:space="preserve">ant put his </w:t>
      </w:r>
      <w:r>
        <w:rPr>
          <w:rFonts w:cs="Times New Roman"/>
          <w:color w:val="010302"/>
          <w:sz w:val="24"/>
          <w:szCs w:val="24"/>
        </w:rPr>
        <w:t>c</w:t>
      </w:r>
      <w:r w:rsidR="005C41F1">
        <w:rPr>
          <w:rFonts w:cs="Times New Roman"/>
          <w:color w:val="010302"/>
          <w:sz w:val="24"/>
          <w:szCs w:val="24"/>
        </w:rPr>
        <w:t>laim</w:t>
      </w:r>
      <w:r w:rsidR="00B968CF" w:rsidRPr="009035F4">
        <w:rPr>
          <w:rFonts w:cs="Times New Roman"/>
          <w:color w:val="010302"/>
          <w:sz w:val="24"/>
          <w:szCs w:val="24"/>
        </w:rPr>
        <w:t xml:space="preserve"> and the issues</w:t>
      </w:r>
      <w:r>
        <w:rPr>
          <w:rFonts w:cs="Times New Roman"/>
          <w:color w:val="010302"/>
          <w:sz w:val="24"/>
          <w:szCs w:val="24"/>
        </w:rPr>
        <w:t xml:space="preserve"> within th</w:t>
      </w:r>
      <w:r w:rsidR="009D5D3B">
        <w:rPr>
          <w:rFonts w:cs="Times New Roman"/>
          <w:color w:val="010302"/>
          <w:sz w:val="24"/>
          <w:szCs w:val="24"/>
        </w:rPr>
        <w:t xml:space="preserve">ose </w:t>
      </w:r>
      <w:r>
        <w:rPr>
          <w:rFonts w:cs="Times New Roman"/>
          <w:color w:val="010302"/>
          <w:sz w:val="24"/>
          <w:szCs w:val="24"/>
        </w:rPr>
        <w:t>claim</w:t>
      </w:r>
      <w:r w:rsidR="009D5D3B">
        <w:rPr>
          <w:rFonts w:cs="Times New Roman"/>
          <w:color w:val="010302"/>
          <w:sz w:val="24"/>
          <w:szCs w:val="24"/>
        </w:rPr>
        <w:t>s</w:t>
      </w:r>
      <w:r w:rsidR="00B968CF" w:rsidRPr="009035F4">
        <w:rPr>
          <w:rFonts w:cs="Times New Roman"/>
          <w:color w:val="010302"/>
          <w:sz w:val="24"/>
          <w:szCs w:val="24"/>
        </w:rPr>
        <w:t xml:space="preserve">. </w:t>
      </w:r>
      <w:r>
        <w:rPr>
          <w:rFonts w:cs="Times New Roman"/>
          <w:color w:val="010302"/>
          <w:sz w:val="24"/>
          <w:szCs w:val="24"/>
        </w:rPr>
        <w:t>The Judge’</w:t>
      </w:r>
      <w:r w:rsidR="00B968CF" w:rsidRPr="009035F4">
        <w:rPr>
          <w:rFonts w:cs="Times New Roman"/>
          <w:color w:val="010302"/>
          <w:sz w:val="24"/>
          <w:szCs w:val="24"/>
        </w:rPr>
        <w:t xml:space="preserve"> summary of the </w:t>
      </w:r>
      <w:r>
        <w:rPr>
          <w:rFonts w:cs="Times New Roman"/>
          <w:color w:val="010302"/>
          <w:sz w:val="24"/>
          <w:szCs w:val="24"/>
        </w:rPr>
        <w:t>c</w:t>
      </w:r>
      <w:r w:rsidR="005C41F1">
        <w:rPr>
          <w:rFonts w:cs="Times New Roman"/>
          <w:color w:val="010302"/>
          <w:sz w:val="24"/>
          <w:szCs w:val="24"/>
        </w:rPr>
        <w:t>laim</w:t>
      </w:r>
      <w:r w:rsidR="00B968CF" w:rsidRPr="009035F4">
        <w:rPr>
          <w:rFonts w:cs="Times New Roman"/>
          <w:color w:val="010302"/>
          <w:sz w:val="24"/>
          <w:szCs w:val="24"/>
        </w:rPr>
        <w:t xml:space="preserve">s failed to refer to clear </w:t>
      </w:r>
      <w:r>
        <w:rPr>
          <w:rFonts w:cs="Times New Roman"/>
          <w:color w:val="010302"/>
          <w:sz w:val="24"/>
          <w:szCs w:val="24"/>
        </w:rPr>
        <w:t xml:space="preserve">and relevant aspects </w:t>
      </w:r>
      <w:r w:rsidR="00B968CF" w:rsidRPr="009035F4">
        <w:rPr>
          <w:rFonts w:cs="Times New Roman"/>
          <w:color w:val="010302"/>
          <w:sz w:val="24"/>
          <w:szCs w:val="24"/>
        </w:rPr>
        <w:t xml:space="preserve">of the </w:t>
      </w:r>
      <w:r w:rsidR="005C41F1">
        <w:rPr>
          <w:rFonts w:cs="Times New Roman"/>
          <w:color w:val="010302"/>
          <w:sz w:val="24"/>
          <w:szCs w:val="24"/>
        </w:rPr>
        <w:t>Claim</w:t>
      </w:r>
      <w:r w:rsidR="00B968CF" w:rsidRPr="009035F4">
        <w:rPr>
          <w:rFonts w:cs="Times New Roman"/>
          <w:color w:val="010302"/>
          <w:sz w:val="24"/>
          <w:szCs w:val="24"/>
        </w:rPr>
        <w:t xml:space="preserve">ant’s case. Even if there were doubts about </w:t>
      </w:r>
      <w:proofErr w:type="gramStart"/>
      <w:r w:rsidR="00B968CF" w:rsidRPr="009035F4">
        <w:rPr>
          <w:rFonts w:cs="Times New Roman"/>
          <w:color w:val="010302"/>
          <w:sz w:val="24"/>
          <w:szCs w:val="24"/>
        </w:rPr>
        <w:t>whether or not</w:t>
      </w:r>
      <w:proofErr w:type="gramEnd"/>
      <w:r w:rsidR="00B968CF" w:rsidRPr="009035F4">
        <w:rPr>
          <w:rFonts w:cs="Times New Roman"/>
          <w:color w:val="010302"/>
          <w:sz w:val="24"/>
          <w:szCs w:val="24"/>
        </w:rPr>
        <w:t xml:space="preserve"> the way in which the </w:t>
      </w:r>
      <w:r w:rsidR="005C41F1">
        <w:rPr>
          <w:rFonts w:cs="Times New Roman"/>
          <w:color w:val="010302"/>
          <w:sz w:val="24"/>
          <w:szCs w:val="24"/>
        </w:rPr>
        <w:t>Claim</w:t>
      </w:r>
      <w:r w:rsidR="00B968CF" w:rsidRPr="009035F4">
        <w:rPr>
          <w:rFonts w:cs="Times New Roman"/>
          <w:color w:val="010302"/>
          <w:sz w:val="24"/>
          <w:szCs w:val="24"/>
        </w:rPr>
        <w:t xml:space="preserve">ant’s case was put would succeed at final hearing, that did not </w:t>
      </w:r>
      <w:r>
        <w:rPr>
          <w:rFonts w:cs="Times New Roman"/>
          <w:color w:val="010302"/>
          <w:sz w:val="24"/>
          <w:szCs w:val="24"/>
        </w:rPr>
        <w:t>legitimise</w:t>
      </w:r>
      <w:r w:rsidR="00106C60">
        <w:rPr>
          <w:rFonts w:cs="Times New Roman"/>
          <w:color w:val="010302"/>
          <w:sz w:val="24"/>
          <w:szCs w:val="24"/>
        </w:rPr>
        <w:t xml:space="preserve"> a failure to identify the way in which the case was put.</w:t>
      </w:r>
    </w:p>
    <w:p w14:paraId="29FE9EBE" w14:textId="484887A6" w:rsidR="00B968CF" w:rsidRPr="009035F4" w:rsidRDefault="00106C60" w:rsidP="0091566F">
      <w:pPr>
        <w:pStyle w:val="ListParagraph"/>
        <w:tabs>
          <w:tab w:val="left" w:pos="0"/>
        </w:tabs>
        <w:spacing w:before="240" w:line="480" w:lineRule="auto"/>
        <w:jc w:val="both"/>
        <w:rPr>
          <w:rFonts w:cs="Times New Roman"/>
          <w:color w:val="010302"/>
          <w:sz w:val="24"/>
          <w:szCs w:val="24"/>
        </w:rPr>
      </w:pPr>
      <w:r>
        <w:rPr>
          <w:rFonts w:cs="Times New Roman"/>
          <w:color w:val="010302"/>
          <w:sz w:val="24"/>
          <w:szCs w:val="24"/>
        </w:rPr>
        <w:t xml:space="preserve">39. </w:t>
      </w:r>
      <w:r w:rsidR="00B968CF" w:rsidRPr="009035F4">
        <w:rPr>
          <w:rFonts w:cs="Times New Roman"/>
          <w:color w:val="010302"/>
          <w:sz w:val="24"/>
          <w:szCs w:val="24"/>
        </w:rPr>
        <w:t>Thirdly, on the application to strike out th</w:t>
      </w:r>
      <w:r w:rsidR="00F77248">
        <w:rPr>
          <w:rFonts w:cs="Times New Roman"/>
          <w:color w:val="010302"/>
          <w:sz w:val="24"/>
          <w:szCs w:val="24"/>
        </w:rPr>
        <w:t>ere is no apparent analysis of whether the Judge c</w:t>
      </w:r>
      <w:r w:rsidR="00B968CF" w:rsidRPr="009035F4">
        <w:rPr>
          <w:rFonts w:cs="Times New Roman"/>
          <w:color w:val="010302"/>
          <w:sz w:val="24"/>
          <w:szCs w:val="24"/>
        </w:rPr>
        <w:t xml:space="preserve">onsidered the alternative </w:t>
      </w:r>
      <w:r w:rsidR="00F77248">
        <w:rPr>
          <w:rFonts w:cs="Times New Roman"/>
          <w:color w:val="010302"/>
          <w:sz w:val="24"/>
          <w:szCs w:val="24"/>
        </w:rPr>
        <w:t>possibility of making a deposit order</w:t>
      </w:r>
      <w:r w:rsidR="00957BD9">
        <w:rPr>
          <w:rFonts w:cs="Times New Roman"/>
          <w:color w:val="010302"/>
          <w:sz w:val="24"/>
          <w:szCs w:val="24"/>
        </w:rPr>
        <w:t xml:space="preserve"> or, if he did, why that was inappropriate and strike out required</w:t>
      </w:r>
      <w:r w:rsidR="00E21E00">
        <w:rPr>
          <w:rFonts w:cs="Times New Roman"/>
          <w:color w:val="010302"/>
          <w:sz w:val="24"/>
          <w:szCs w:val="24"/>
        </w:rPr>
        <w:t xml:space="preserve">. </w:t>
      </w:r>
      <w:r w:rsidR="00B968CF" w:rsidRPr="009035F4">
        <w:rPr>
          <w:rFonts w:cs="Times New Roman"/>
          <w:color w:val="010302"/>
          <w:sz w:val="24"/>
          <w:szCs w:val="24"/>
        </w:rPr>
        <w:t xml:space="preserve">The </w:t>
      </w:r>
      <w:r w:rsidR="00E21E00">
        <w:rPr>
          <w:rFonts w:cs="Times New Roman"/>
          <w:color w:val="010302"/>
          <w:sz w:val="24"/>
          <w:szCs w:val="24"/>
        </w:rPr>
        <w:t>J</w:t>
      </w:r>
      <w:r w:rsidR="00B968CF" w:rsidRPr="009035F4">
        <w:rPr>
          <w:rFonts w:cs="Times New Roman"/>
          <w:color w:val="010302"/>
          <w:sz w:val="24"/>
          <w:szCs w:val="24"/>
        </w:rPr>
        <w:t xml:space="preserve">udge did not appear to distinguish between whether there was </w:t>
      </w:r>
      <w:r w:rsidR="00B968CF" w:rsidRPr="00E21E00">
        <w:rPr>
          <w:rFonts w:cs="Times New Roman"/>
          <w:color w:val="010302"/>
          <w:sz w:val="24"/>
          <w:szCs w:val="24"/>
          <w:u w:val="single"/>
        </w:rPr>
        <w:t>no</w:t>
      </w:r>
      <w:r w:rsidR="00B968CF" w:rsidRPr="009035F4">
        <w:rPr>
          <w:rFonts w:cs="Times New Roman"/>
          <w:color w:val="010302"/>
          <w:sz w:val="24"/>
          <w:szCs w:val="24"/>
        </w:rPr>
        <w:t xml:space="preserve"> reasonable prospect of success in establishing that there was an act which extended over a period,</w:t>
      </w:r>
      <w:r w:rsidR="009D7BDB">
        <w:rPr>
          <w:rFonts w:cs="Times New Roman"/>
          <w:color w:val="010302"/>
          <w:sz w:val="24"/>
          <w:szCs w:val="24"/>
        </w:rPr>
        <w:t xml:space="preserve"> or </w:t>
      </w:r>
      <w:r w:rsidR="009D7BDB">
        <w:rPr>
          <w:rFonts w:cs="Times New Roman"/>
          <w:color w:val="010302"/>
          <w:sz w:val="24"/>
          <w:szCs w:val="24"/>
          <w:u w:val="single"/>
        </w:rPr>
        <w:t>little</w:t>
      </w:r>
      <w:r w:rsidR="009D7BDB">
        <w:rPr>
          <w:rFonts w:cs="Times New Roman"/>
          <w:color w:val="010302"/>
          <w:sz w:val="24"/>
          <w:szCs w:val="24"/>
        </w:rPr>
        <w:t xml:space="preserve"> </w:t>
      </w:r>
      <w:r w:rsidR="00B968CF" w:rsidRPr="009035F4">
        <w:rPr>
          <w:rFonts w:cs="Times New Roman"/>
          <w:color w:val="010302"/>
          <w:sz w:val="24"/>
          <w:szCs w:val="24"/>
        </w:rPr>
        <w:t>reasonable prospect of success</w:t>
      </w:r>
      <w:r w:rsidR="009D7BDB">
        <w:rPr>
          <w:rFonts w:cs="Times New Roman"/>
          <w:color w:val="010302"/>
          <w:sz w:val="24"/>
          <w:szCs w:val="24"/>
        </w:rPr>
        <w:t>fully doing so</w:t>
      </w:r>
      <w:r w:rsidR="00B968CF" w:rsidRPr="009035F4">
        <w:rPr>
          <w:rFonts w:cs="Times New Roman"/>
          <w:color w:val="010302"/>
          <w:sz w:val="24"/>
          <w:szCs w:val="24"/>
        </w:rPr>
        <w:t xml:space="preserve">. In determining that there was not an act which extended over the period the </w:t>
      </w:r>
      <w:r w:rsidR="009D7BDB">
        <w:rPr>
          <w:rFonts w:cs="Times New Roman"/>
          <w:color w:val="010302"/>
          <w:sz w:val="24"/>
          <w:szCs w:val="24"/>
        </w:rPr>
        <w:t>J</w:t>
      </w:r>
      <w:r w:rsidR="00B968CF" w:rsidRPr="009035F4">
        <w:rPr>
          <w:rFonts w:cs="Times New Roman"/>
          <w:color w:val="010302"/>
          <w:sz w:val="24"/>
          <w:szCs w:val="24"/>
        </w:rPr>
        <w:t xml:space="preserve">udge referred to the number of individuals who were said to be involved in the alleged sex discrimination. </w:t>
      </w:r>
      <w:r w:rsidR="009D7BDB">
        <w:rPr>
          <w:rFonts w:cs="Times New Roman"/>
          <w:color w:val="010302"/>
          <w:sz w:val="24"/>
          <w:szCs w:val="24"/>
        </w:rPr>
        <w:t xml:space="preserve">Whilst the Judge </w:t>
      </w:r>
      <w:r w:rsidR="00B968CF" w:rsidRPr="009035F4">
        <w:rPr>
          <w:rFonts w:cs="Times New Roman"/>
          <w:color w:val="010302"/>
          <w:sz w:val="24"/>
          <w:szCs w:val="24"/>
        </w:rPr>
        <w:t>directed himself that the number of individuals involved was a relevant</w:t>
      </w:r>
      <w:r w:rsidR="009D7BDB">
        <w:rPr>
          <w:rFonts w:cs="Times New Roman"/>
          <w:color w:val="010302"/>
          <w:sz w:val="24"/>
          <w:szCs w:val="24"/>
        </w:rPr>
        <w:t>,</w:t>
      </w:r>
      <w:r w:rsidR="00B968CF" w:rsidRPr="009035F4">
        <w:rPr>
          <w:rFonts w:cs="Times New Roman"/>
          <w:color w:val="010302"/>
          <w:sz w:val="24"/>
          <w:szCs w:val="24"/>
        </w:rPr>
        <w:t xml:space="preserve"> but not conclusive</w:t>
      </w:r>
      <w:r w:rsidR="009D7BDB">
        <w:rPr>
          <w:rFonts w:cs="Times New Roman"/>
          <w:color w:val="010302"/>
          <w:sz w:val="24"/>
          <w:szCs w:val="24"/>
        </w:rPr>
        <w:t>,</w:t>
      </w:r>
      <w:r w:rsidR="00B968CF" w:rsidRPr="009035F4">
        <w:rPr>
          <w:rFonts w:cs="Times New Roman"/>
          <w:color w:val="010302"/>
          <w:sz w:val="24"/>
          <w:szCs w:val="24"/>
        </w:rPr>
        <w:t xml:space="preserve"> factor</w:t>
      </w:r>
      <w:r w:rsidR="009D7BDB">
        <w:rPr>
          <w:rFonts w:cs="Times New Roman"/>
          <w:color w:val="010302"/>
          <w:sz w:val="24"/>
          <w:szCs w:val="24"/>
        </w:rPr>
        <w:t xml:space="preserve"> he, nonet</w:t>
      </w:r>
      <w:r w:rsidR="00B968CF" w:rsidRPr="009035F4">
        <w:rPr>
          <w:rFonts w:cs="Times New Roman"/>
          <w:color w:val="010302"/>
          <w:sz w:val="24"/>
          <w:szCs w:val="24"/>
        </w:rPr>
        <w:t xml:space="preserve">heless, appeared to have treated this as a conclusive factor. I have already alluded to the fact that I am concerned that, although the </w:t>
      </w:r>
      <w:r w:rsidR="009D7BDB">
        <w:rPr>
          <w:rFonts w:cs="Times New Roman"/>
          <w:color w:val="010302"/>
          <w:sz w:val="24"/>
          <w:szCs w:val="24"/>
        </w:rPr>
        <w:t>J</w:t>
      </w:r>
      <w:r w:rsidR="00B968CF" w:rsidRPr="009035F4">
        <w:rPr>
          <w:rFonts w:cs="Times New Roman"/>
          <w:color w:val="010302"/>
          <w:sz w:val="24"/>
          <w:szCs w:val="24"/>
        </w:rPr>
        <w:t xml:space="preserve">udge warned himself that he should  take the </w:t>
      </w:r>
      <w:r w:rsidR="005C41F1">
        <w:rPr>
          <w:rFonts w:cs="Times New Roman"/>
          <w:color w:val="010302"/>
          <w:sz w:val="24"/>
          <w:szCs w:val="24"/>
        </w:rPr>
        <w:t>Claim</w:t>
      </w:r>
      <w:r w:rsidR="00B968CF" w:rsidRPr="009035F4">
        <w:rPr>
          <w:rFonts w:cs="Times New Roman"/>
          <w:color w:val="010302"/>
          <w:sz w:val="24"/>
          <w:szCs w:val="24"/>
        </w:rPr>
        <w:t xml:space="preserve">ant’s case at its highest, he did not </w:t>
      </w:r>
      <w:r w:rsidR="00BF5DE7">
        <w:rPr>
          <w:rFonts w:cs="Times New Roman"/>
          <w:color w:val="010302"/>
          <w:sz w:val="24"/>
          <w:szCs w:val="24"/>
        </w:rPr>
        <w:t xml:space="preserve">do so </w:t>
      </w:r>
      <w:r w:rsidR="00B968CF" w:rsidRPr="009035F4">
        <w:rPr>
          <w:rFonts w:cs="Times New Roman"/>
          <w:color w:val="010302"/>
          <w:sz w:val="24"/>
          <w:szCs w:val="24"/>
        </w:rPr>
        <w:t xml:space="preserve">because he did not consider the way in which the </w:t>
      </w:r>
      <w:r w:rsidR="005C41F1">
        <w:rPr>
          <w:rFonts w:cs="Times New Roman"/>
          <w:color w:val="010302"/>
          <w:sz w:val="24"/>
          <w:szCs w:val="24"/>
        </w:rPr>
        <w:t>Claim</w:t>
      </w:r>
      <w:r w:rsidR="00B968CF" w:rsidRPr="009035F4">
        <w:rPr>
          <w:rFonts w:cs="Times New Roman"/>
          <w:color w:val="010302"/>
          <w:sz w:val="24"/>
          <w:szCs w:val="24"/>
        </w:rPr>
        <w:t xml:space="preserve">ant put his case and nor did he consider the link the </w:t>
      </w:r>
      <w:r w:rsidR="005C41F1">
        <w:rPr>
          <w:rFonts w:cs="Times New Roman"/>
          <w:color w:val="010302"/>
          <w:sz w:val="24"/>
          <w:szCs w:val="24"/>
        </w:rPr>
        <w:t>Claim</w:t>
      </w:r>
      <w:r w:rsidR="00B968CF" w:rsidRPr="009035F4">
        <w:rPr>
          <w:rFonts w:cs="Times New Roman"/>
          <w:color w:val="010302"/>
          <w:sz w:val="24"/>
          <w:szCs w:val="24"/>
        </w:rPr>
        <w:t>ant sought to make between the refusal to grant him a sabbatical and the subsequent disciplinary proceedings.</w:t>
      </w:r>
    </w:p>
    <w:p w14:paraId="281CB831" w14:textId="4746937D" w:rsidR="00B968CF" w:rsidRPr="009035F4"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37.</w:t>
      </w:r>
      <w:r w:rsidRPr="009035F4">
        <w:rPr>
          <w:rFonts w:cs="Times New Roman"/>
          <w:color w:val="010302"/>
          <w:sz w:val="24"/>
          <w:szCs w:val="24"/>
        </w:rPr>
        <w:tab/>
      </w:r>
      <w:r w:rsidR="00BF5DE7">
        <w:rPr>
          <w:rFonts w:cs="Times New Roman"/>
          <w:color w:val="010302"/>
          <w:sz w:val="24"/>
          <w:szCs w:val="24"/>
        </w:rPr>
        <w:t>In addition, t</w:t>
      </w:r>
      <w:r w:rsidRPr="009035F4">
        <w:rPr>
          <w:rFonts w:cs="Times New Roman"/>
          <w:color w:val="010302"/>
          <w:sz w:val="24"/>
          <w:szCs w:val="24"/>
        </w:rPr>
        <w:t xml:space="preserve">here was no proper notice </w:t>
      </w:r>
      <w:r w:rsidR="00BF5DE7">
        <w:rPr>
          <w:rFonts w:cs="Times New Roman"/>
          <w:color w:val="010302"/>
          <w:sz w:val="24"/>
          <w:szCs w:val="24"/>
        </w:rPr>
        <w:t>of the preliminary hearing as required by r.54 of the ET Rules of Procedure 2013</w:t>
      </w:r>
      <w:r w:rsidR="00EB0D4A">
        <w:rPr>
          <w:rFonts w:cs="Times New Roman"/>
          <w:color w:val="010302"/>
          <w:sz w:val="24"/>
          <w:szCs w:val="24"/>
        </w:rPr>
        <w:t xml:space="preserve">. The notice given did not </w:t>
      </w:r>
      <w:r w:rsidR="001A328D">
        <w:rPr>
          <w:rFonts w:cs="Times New Roman"/>
          <w:color w:val="010302"/>
          <w:sz w:val="24"/>
          <w:szCs w:val="24"/>
        </w:rPr>
        <w:t>‘specify’</w:t>
      </w:r>
      <w:r w:rsidR="00EB0D4A">
        <w:rPr>
          <w:rFonts w:cs="Times New Roman"/>
          <w:color w:val="010302"/>
          <w:sz w:val="24"/>
          <w:szCs w:val="24"/>
        </w:rPr>
        <w:t xml:space="preserve"> </w:t>
      </w:r>
      <w:r w:rsidRPr="009035F4">
        <w:rPr>
          <w:rFonts w:cs="Times New Roman"/>
          <w:color w:val="010302"/>
          <w:sz w:val="24"/>
          <w:szCs w:val="24"/>
        </w:rPr>
        <w:t>as required by the rules</w:t>
      </w:r>
      <w:r w:rsidR="001A328D">
        <w:rPr>
          <w:rFonts w:cs="Times New Roman"/>
          <w:color w:val="010302"/>
          <w:sz w:val="24"/>
          <w:szCs w:val="24"/>
        </w:rPr>
        <w:t xml:space="preserve"> (r.54 read in conjunction with r.53) the </w:t>
      </w:r>
      <w:r w:rsidR="00AA6994">
        <w:rPr>
          <w:rFonts w:cs="Times New Roman"/>
          <w:color w:val="010302"/>
          <w:sz w:val="24"/>
          <w:szCs w:val="24"/>
        </w:rPr>
        <w:t xml:space="preserve">preliminary issue (as defined in r.53(3) which was, potentially, </w:t>
      </w:r>
      <w:r w:rsidR="00AA6994">
        <w:rPr>
          <w:rFonts w:cs="Times New Roman"/>
          <w:color w:val="010302"/>
          <w:sz w:val="24"/>
          <w:szCs w:val="24"/>
        </w:rPr>
        <w:lastRenderedPageBreak/>
        <w:t xml:space="preserve">determinative) which was, or might be, </w:t>
      </w:r>
      <w:r w:rsidRPr="009035F4">
        <w:rPr>
          <w:rFonts w:cs="Times New Roman"/>
          <w:color w:val="010302"/>
          <w:sz w:val="24"/>
          <w:szCs w:val="24"/>
        </w:rPr>
        <w:t>considered at the hearing. Th</w:t>
      </w:r>
      <w:r w:rsidR="00AA6994">
        <w:rPr>
          <w:rFonts w:cs="Times New Roman"/>
          <w:color w:val="010302"/>
          <w:sz w:val="24"/>
          <w:szCs w:val="24"/>
        </w:rPr>
        <w:t>e lack of adequate notice w</w:t>
      </w:r>
      <w:r w:rsidR="009D5D3B">
        <w:rPr>
          <w:rFonts w:cs="Times New Roman"/>
          <w:color w:val="010302"/>
          <w:sz w:val="24"/>
          <w:szCs w:val="24"/>
        </w:rPr>
        <w:t>as</w:t>
      </w:r>
      <w:r w:rsidR="00AA6994">
        <w:rPr>
          <w:rFonts w:cs="Times New Roman"/>
          <w:color w:val="010302"/>
          <w:sz w:val="24"/>
          <w:szCs w:val="24"/>
        </w:rPr>
        <w:t xml:space="preserve"> then </w:t>
      </w:r>
      <w:r w:rsidRPr="009035F4">
        <w:rPr>
          <w:rFonts w:cs="Times New Roman"/>
          <w:color w:val="010302"/>
          <w:sz w:val="24"/>
          <w:szCs w:val="24"/>
        </w:rPr>
        <w:t>compounded by the late provision of documents and the fact that the basis for the preliminary hearing appeared to change at the hearing. I also consider</w:t>
      </w:r>
      <w:r w:rsidR="002446D5">
        <w:rPr>
          <w:rFonts w:cs="Times New Roman"/>
          <w:color w:val="010302"/>
          <w:sz w:val="24"/>
          <w:szCs w:val="24"/>
        </w:rPr>
        <w:t xml:space="preserve"> </w:t>
      </w:r>
      <w:r w:rsidRPr="009035F4">
        <w:rPr>
          <w:rFonts w:cs="Times New Roman"/>
          <w:color w:val="010302"/>
          <w:sz w:val="24"/>
          <w:szCs w:val="24"/>
        </w:rPr>
        <w:t>that th</w:t>
      </w:r>
      <w:r w:rsidR="002446D5">
        <w:rPr>
          <w:rFonts w:cs="Times New Roman"/>
          <w:color w:val="010302"/>
          <w:sz w:val="24"/>
          <w:szCs w:val="24"/>
        </w:rPr>
        <w:t>er</w:t>
      </w:r>
      <w:r w:rsidRPr="009035F4">
        <w:rPr>
          <w:rFonts w:cs="Times New Roman"/>
          <w:color w:val="010302"/>
          <w:sz w:val="24"/>
          <w:szCs w:val="24"/>
        </w:rPr>
        <w:t xml:space="preserve">e </w:t>
      </w:r>
      <w:r w:rsidR="00CA31C1">
        <w:rPr>
          <w:rFonts w:cs="Times New Roman"/>
          <w:color w:val="010302"/>
          <w:sz w:val="24"/>
          <w:szCs w:val="24"/>
        </w:rPr>
        <w:t xml:space="preserve">was an </w:t>
      </w:r>
      <w:r w:rsidRPr="009035F4">
        <w:rPr>
          <w:rFonts w:cs="Times New Roman"/>
          <w:color w:val="010302"/>
          <w:sz w:val="24"/>
          <w:szCs w:val="24"/>
        </w:rPr>
        <w:t>apparent conflation of a preliminary issue and a strike-out application</w:t>
      </w:r>
      <w:r w:rsidR="00CA31C1">
        <w:rPr>
          <w:rFonts w:cs="Times New Roman"/>
          <w:color w:val="010302"/>
          <w:sz w:val="24"/>
          <w:szCs w:val="24"/>
        </w:rPr>
        <w:t>. T</w:t>
      </w:r>
      <w:r w:rsidR="0069645C">
        <w:rPr>
          <w:rFonts w:cs="Times New Roman"/>
          <w:color w:val="010302"/>
          <w:sz w:val="24"/>
          <w:szCs w:val="24"/>
        </w:rPr>
        <w:t xml:space="preserve">o some extent, this </w:t>
      </w:r>
      <w:r w:rsidRPr="009035F4">
        <w:rPr>
          <w:rFonts w:cs="Times New Roman"/>
          <w:color w:val="010302"/>
          <w:sz w:val="24"/>
          <w:szCs w:val="24"/>
        </w:rPr>
        <w:t xml:space="preserve">is evident from the </w:t>
      </w:r>
      <w:r w:rsidR="00CA31C1">
        <w:rPr>
          <w:rFonts w:cs="Times New Roman"/>
          <w:color w:val="010302"/>
          <w:sz w:val="24"/>
          <w:szCs w:val="24"/>
        </w:rPr>
        <w:t>J</w:t>
      </w:r>
      <w:r w:rsidRPr="009035F4">
        <w:rPr>
          <w:rFonts w:cs="Times New Roman"/>
          <w:color w:val="010302"/>
          <w:sz w:val="24"/>
          <w:szCs w:val="24"/>
        </w:rPr>
        <w:t xml:space="preserve">udge’s Judgment, </w:t>
      </w:r>
      <w:r w:rsidR="00CA31C1">
        <w:rPr>
          <w:rFonts w:cs="Times New Roman"/>
          <w:color w:val="010302"/>
          <w:sz w:val="24"/>
          <w:szCs w:val="24"/>
        </w:rPr>
        <w:t xml:space="preserve">where the Judge </w:t>
      </w:r>
      <w:r w:rsidRPr="009035F4">
        <w:rPr>
          <w:rFonts w:cs="Times New Roman"/>
          <w:color w:val="010302"/>
          <w:sz w:val="24"/>
          <w:szCs w:val="24"/>
        </w:rPr>
        <w:t xml:space="preserve">held that the </w:t>
      </w:r>
      <w:r w:rsidR="005C41F1">
        <w:rPr>
          <w:rFonts w:cs="Times New Roman"/>
          <w:color w:val="010302"/>
          <w:sz w:val="24"/>
          <w:szCs w:val="24"/>
        </w:rPr>
        <w:t>Claim</w:t>
      </w:r>
      <w:r w:rsidRPr="009035F4">
        <w:rPr>
          <w:rFonts w:cs="Times New Roman"/>
          <w:color w:val="010302"/>
          <w:sz w:val="24"/>
          <w:szCs w:val="24"/>
        </w:rPr>
        <w:t>s were out of time</w:t>
      </w:r>
      <w:r w:rsidR="0069645C">
        <w:rPr>
          <w:rFonts w:cs="Times New Roman"/>
          <w:color w:val="010302"/>
          <w:sz w:val="24"/>
          <w:szCs w:val="24"/>
        </w:rPr>
        <w:t xml:space="preserve"> and </w:t>
      </w:r>
      <w:r w:rsidRPr="009035F4">
        <w:rPr>
          <w:rFonts w:cs="Times New Roman"/>
          <w:color w:val="010302"/>
          <w:sz w:val="24"/>
          <w:szCs w:val="24"/>
        </w:rPr>
        <w:t>then struck them out.</w:t>
      </w:r>
      <w:r w:rsidR="0069645C">
        <w:rPr>
          <w:rFonts w:cs="Times New Roman"/>
          <w:color w:val="010302"/>
          <w:sz w:val="24"/>
          <w:szCs w:val="24"/>
        </w:rPr>
        <w:t xml:space="preserve"> Stric</w:t>
      </w:r>
      <w:r w:rsidR="00252760">
        <w:rPr>
          <w:rFonts w:cs="Times New Roman"/>
          <w:color w:val="010302"/>
          <w:sz w:val="24"/>
          <w:szCs w:val="24"/>
        </w:rPr>
        <w:t>t</w:t>
      </w:r>
      <w:r w:rsidR="0069645C">
        <w:rPr>
          <w:rFonts w:cs="Times New Roman"/>
          <w:color w:val="010302"/>
          <w:sz w:val="24"/>
          <w:szCs w:val="24"/>
        </w:rPr>
        <w:t xml:space="preserve">ly speaking, if the claims were out of time, the </w:t>
      </w:r>
      <w:r w:rsidR="00252760">
        <w:rPr>
          <w:rFonts w:cs="Times New Roman"/>
          <w:color w:val="010302"/>
          <w:sz w:val="24"/>
          <w:szCs w:val="24"/>
        </w:rPr>
        <w:t xml:space="preserve">Judgment should have reflected that fact and then recorded that consequently, the Tribunal had no jurisdiction to </w:t>
      </w:r>
      <w:r w:rsidR="00685BFA">
        <w:rPr>
          <w:rFonts w:cs="Times New Roman"/>
          <w:color w:val="010302"/>
          <w:sz w:val="24"/>
          <w:szCs w:val="24"/>
        </w:rPr>
        <w:t>hear them.</w:t>
      </w:r>
      <w:r w:rsidR="001A6208">
        <w:rPr>
          <w:rFonts w:cs="Times New Roman"/>
          <w:color w:val="010302"/>
          <w:sz w:val="24"/>
          <w:szCs w:val="24"/>
        </w:rPr>
        <w:t xml:space="preserve"> The use of the phrase ‘strike out’ </w:t>
      </w:r>
      <w:r w:rsidR="00967F70">
        <w:rPr>
          <w:rFonts w:cs="Times New Roman"/>
          <w:color w:val="010302"/>
          <w:sz w:val="24"/>
          <w:szCs w:val="24"/>
        </w:rPr>
        <w:t xml:space="preserve">is </w:t>
      </w:r>
      <w:r w:rsidR="00D504BD">
        <w:rPr>
          <w:rFonts w:cs="Times New Roman"/>
          <w:color w:val="010302"/>
          <w:sz w:val="24"/>
          <w:szCs w:val="24"/>
        </w:rPr>
        <w:t>suggestive</w:t>
      </w:r>
      <w:r w:rsidR="00967F70">
        <w:rPr>
          <w:rFonts w:cs="Times New Roman"/>
          <w:color w:val="010302"/>
          <w:sz w:val="24"/>
          <w:szCs w:val="24"/>
        </w:rPr>
        <w:t xml:space="preserve"> of r</w:t>
      </w:r>
      <w:r w:rsidR="00517BA3">
        <w:rPr>
          <w:rFonts w:cs="Times New Roman"/>
          <w:color w:val="010302"/>
          <w:sz w:val="24"/>
          <w:szCs w:val="24"/>
        </w:rPr>
        <w:t>.</w:t>
      </w:r>
      <w:r w:rsidR="00967F70">
        <w:rPr>
          <w:rFonts w:cs="Times New Roman"/>
          <w:color w:val="010302"/>
          <w:sz w:val="24"/>
          <w:szCs w:val="24"/>
        </w:rPr>
        <w:t xml:space="preserve"> 37 of the ET Rules of Procedure 2013</w:t>
      </w:r>
      <w:r w:rsidR="00517BA3">
        <w:rPr>
          <w:rFonts w:cs="Times New Roman"/>
          <w:color w:val="010302"/>
          <w:sz w:val="24"/>
          <w:szCs w:val="24"/>
        </w:rPr>
        <w:t xml:space="preserve"> and strike out</w:t>
      </w:r>
      <w:r w:rsidR="003B0FCE">
        <w:rPr>
          <w:rFonts w:cs="Times New Roman"/>
          <w:color w:val="010302"/>
          <w:sz w:val="24"/>
          <w:szCs w:val="24"/>
        </w:rPr>
        <w:t xml:space="preserve"> on one of the grounds set out in r.37(1)(a) to (e).</w:t>
      </w:r>
    </w:p>
    <w:p w14:paraId="2CDE096E" w14:textId="77777777" w:rsidR="007A57DC"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38.</w:t>
      </w:r>
      <w:r w:rsidRPr="009035F4">
        <w:rPr>
          <w:rFonts w:cs="Times New Roman"/>
          <w:color w:val="010302"/>
          <w:sz w:val="24"/>
          <w:szCs w:val="24"/>
        </w:rPr>
        <w:tab/>
        <w:t xml:space="preserve">In those circumstances, I consider that both </w:t>
      </w:r>
      <w:r w:rsidR="007A57DC">
        <w:rPr>
          <w:rFonts w:cs="Times New Roman"/>
          <w:color w:val="010302"/>
          <w:sz w:val="24"/>
          <w:szCs w:val="24"/>
        </w:rPr>
        <w:t>g</w:t>
      </w:r>
      <w:r w:rsidRPr="009035F4">
        <w:rPr>
          <w:rFonts w:cs="Times New Roman"/>
          <w:color w:val="010302"/>
          <w:sz w:val="24"/>
          <w:szCs w:val="24"/>
        </w:rPr>
        <w:t xml:space="preserve">rounds of </w:t>
      </w:r>
      <w:r w:rsidR="007A57DC">
        <w:rPr>
          <w:rFonts w:cs="Times New Roman"/>
          <w:color w:val="010302"/>
          <w:sz w:val="24"/>
          <w:szCs w:val="24"/>
        </w:rPr>
        <w:t>a</w:t>
      </w:r>
      <w:r w:rsidRPr="009035F4">
        <w:rPr>
          <w:rFonts w:cs="Times New Roman"/>
          <w:color w:val="010302"/>
          <w:sz w:val="24"/>
          <w:szCs w:val="24"/>
        </w:rPr>
        <w:t>ppeal should be allowed</w:t>
      </w:r>
      <w:r w:rsidR="007A57DC">
        <w:rPr>
          <w:rFonts w:cs="Times New Roman"/>
          <w:color w:val="010302"/>
          <w:sz w:val="24"/>
          <w:szCs w:val="24"/>
        </w:rPr>
        <w:t>.</w:t>
      </w:r>
    </w:p>
    <w:p w14:paraId="495399FC" w14:textId="40B9A001" w:rsidR="003E52B2" w:rsidRDefault="007A57DC" w:rsidP="0091566F">
      <w:pPr>
        <w:pStyle w:val="ListParagraph"/>
        <w:tabs>
          <w:tab w:val="left" w:pos="0"/>
        </w:tabs>
        <w:spacing w:before="240" w:line="480" w:lineRule="auto"/>
        <w:jc w:val="both"/>
        <w:rPr>
          <w:rFonts w:cs="Times New Roman"/>
          <w:color w:val="010302"/>
          <w:sz w:val="24"/>
          <w:szCs w:val="24"/>
        </w:rPr>
      </w:pPr>
      <w:r>
        <w:rPr>
          <w:rFonts w:cs="Times New Roman"/>
          <w:color w:val="010302"/>
          <w:sz w:val="24"/>
          <w:szCs w:val="24"/>
        </w:rPr>
        <w:t xml:space="preserve">39. </w:t>
      </w:r>
      <w:r>
        <w:rPr>
          <w:rFonts w:cs="Times New Roman"/>
          <w:color w:val="010302"/>
          <w:sz w:val="24"/>
          <w:szCs w:val="24"/>
        </w:rPr>
        <w:tab/>
        <w:t>As to disposal</w:t>
      </w:r>
      <w:r w:rsidR="001572AB">
        <w:rPr>
          <w:rFonts w:cs="Times New Roman"/>
          <w:color w:val="010302"/>
          <w:sz w:val="24"/>
          <w:szCs w:val="24"/>
        </w:rPr>
        <w:t xml:space="preserve">, I consider that there are many </w:t>
      </w:r>
      <w:r w:rsidR="00B968CF" w:rsidRPr="009035F4">
        <w:rPr>
          <w:rFonts w:cs="Times New Roman"/>
          <w:color w:val="010302"/>
          <w:sz w:val="24"/>
          <w:szCs w:val="24"/>
        </w:rPr>
        <w:t xml:space="preserve">disputed issues of fact in this case. This is not a case where the EAT can substitute any view. What is required is that the case is returned to the Tribunal to consider, presumably, the strike-out application and/or the issues of time in respect of jurisdiction. I suggest, although ultimately it is a matter for the Tribunal, that initially a directions hearing takes place, that there is proper and identification of the </w:t>
      </w:r>
      <w:r w:rsidR="005C41F1">
        <w:rPr>
          <w:rFonts w:cs="Times New Roman"/>
          <w:color w:val="010302"/>
          <w:sz w:val="24"/>
          <w:szCs w:val="24"/>
        </w:rPr>
        <w:t>Claim</w:t>
      </w:r>
      <w:r w:rsidR="00B968CF" w:rsidRPr="009035F4">
        <w:rPr>
          <w:rFonts w:cs="Times New Roman"/>
          <w:color w:val="010302"/>
          <w:sz w:val="24"/>
          <w:szCs w:val="24"/>
        </w:rPr>
        <w:t xml:space="preserve">ant’s </w:t>
      </w:r>
      <w:r w:rsidR="001572AB">
        <w:rPr>
          <w:rFonts w:cs="Times New Roman"/>
          <w:color w:val="010302"/>
          <w:sz w:val="24"/>
          <w:szCs w:val="24"/>
        </w:rPr>
        <w:t>cl</w:t>
      </w:r>
      <w:r w:rsidR="00004561">
        <w:rPr>
          <w:rFonts w:cs="Times New Roman"/>
          <w:color w:val="010302"/>
          <w:sz w:val="24"/>
          <w:szCs w:val="24"/>
        </w:rPr>
        <w:t xml:space="preserve">aims, </w:t>
      </w:r>
      <w:r w:rsidR="00B968CF" w:rsidRPr="009035F4">
        <w:rPr>
          <w:rFonts w:cs="Times New Roman"/>
          <w:color w:val="010302"/>
          <w:sz w:val="24"/>
          <w:szCs w:val="24"/>
        </w:rPr>
        <w:t xml:space="preserve">that the </w:t>
      </w:r>
      <w:r w:rsidR="005C41F1">
        <w:rPr>
          <w:rFonts w:cs="Times New Roman"/>
          <w:color w:val="010302"/>
          <w:sz w:val="24"/>
          <w:szCs w:val="24"/>
        </w:rPr>
        <w:t>Claim</w:t>
      </w:r>
      <w:r w:rsidR="00B968CF" w:rsidRPr="009035F4">
        <w:rPr>
          <w:rFonts w:cs="Times New Roman"/>
          <w:color w:val="010302"/>
          <w:sz w:val="24"/>
          <w:szCs w:val="24"/>
        </w:rPr>
        <w:t xml:space="preserve">ant sets out the basis upon which he will assert that the Dean had oversight and involvement in the decisions about which he had complained, </w:t>
      </w:r>
      <w:r w:rsidR="00004561">
        <w:rPr>
          <w:rFonts w:cs="Times New Roman"/>
          <w:color w:val="010302"/>
          <w:sz w:val="24"/>
          <w:szCs w:val="24"/>
        </w:rPr>
        <w:t xml:space="preserve">including </w:t>
      </w:r>
      <w:r w:rsidR="00B968CF" w:rsidRPr="009035F4">
        <w:rPr>
          <w:rFonts w:cs="Times New Roman"/>
          <w:color w:val="010302"/>
          <w:sz w:val="24"/>
          <w:szCs w:val="24"/>
        </w:rPr>
        <w:t xml:space="preserve">significantly, the decision in respect of the sabbatical </w:t>
      </w:r>
      <w:r w:rsidR="00004561">
        <w:rPr>
          <w:rFonts w:cs="Times New Roman"/>
          <w:color w:val="010302"/>
          <w:sz w:val="24"/>
          <w:szCs w:val="24"/>
        </w:rPr>
        <w:t xml:space="preserve">and other </w:t>
      </w:r>
      <w:r w:rsidR="00B968CF" w:rsidRPr="009035F4">
        <w:rPr>
          <w:rFonts w:cs="Times New Roman"/>
          <w:color w:val="010302"/>
          <w:sz w:val="24"/>
          <w:szCs w:val="24"/>
        </w:rPr>
        <w:t>earlier decisions.</w:t>
      </w:r>
      <w:r w:rsidR="00004561">
        <w:rPr>
          <w:rFonts w:cs="Times New Roman"/>
          <w:color w:val="010302"/>
          <w:sz w:val="24"/>
          <w:szCs w:val="24"/>
        </w:rPr>
        <w:t xml:space="preserve"> </w:t>
      </w:r>
      <w:r w:rsidR="00B968CF" w:rsidRPr="009035F4">
        <w:rPr>
          <w:rFonts w:cs="Times New Roman"/>
          <w:color w:val="010302"/>
          <w:sz w:val="24"/>
          <w:szCs w:val="24"/>
        </w:rPr>
        <w:t>Having carried out that exercise</w:t>
      </w:r>
      <w:r w:rsidR="009D5D3B">
        <w:rPr>
          <w:rFonts w:cs="Times New Roman"/>
          <w:color w:val="010302"/>
          <w:sz w:val="24"/>
          <w:szCs w:val="24"/>
        </w:rPr>
        <w:t>,</w:t>
      </w:r>
      <w:r w:rsidR="00B968CF" w:rsidRPr="009035F4">
        <w:rPr>
          <w:rFonts w:cs="Times New Roman"/>
          <w:color w:val="010302"/>
          <w:sz w:val="24"/>
          <w:szCs w:val="24"/>
        </w:rPr>
        <w:t xml:space="preserve"> it may be the case that the </w:t>
      </w:r>
      <w:r w:rsidR="005C41F1">
        <w:rPr>
          <w:rFonts w:cs="Times New Roman"/>
          <w:color w:val="010302"/>
          <w:sz w:val="24"/>
          <w:szCs w:val="24"/>
        </w:rPr>
        <w:t>Claim</w:t>
      </w:r>
      <w:r w:rsidR="00B968CF" w:rsidRPr="009035F4">
        <w:rPr>
          <w:rFonts w:cs="Times New Roman"/>
          <w:color w:val="010302"/>
          <w:sz w:val="24"/>
          <w:szCs w:val="24"/>
        </w:rPr>
        <w:t xml:space="preserve">ant determines not to proceed with </w:t>
      </w:r>
      <w:proofErr w:type="gramStart"/>
      <w:r w:rsidR="00B968CF" w:rsidRPr="009035F4">
        <w:rPr>
          <w:rFonts w:cs="Times New Roman"/>
          <w:color w:val="010302"/>
          <w:sz w:val="24"/>
          <w:szCs w:val="24"/>
        </w:rPr>
        <w:t>all of</w:t>
      </w:r>
      <w:proofErr w:type="gramEnd"/>
      <w:r w:rsidR="00B968CF" w:rsidRPr="009035F4">
        <w:rPr>
          <w:rFonts w:cs="Times New Roman"/>
          <w:color w:val="010302"/>
          <w:sz w:val="24"/>
          <w:szCs w:val="24"/>
        </w:rPr>
        <w:t xml:space="preserve"> the individual allegations of discrimination. He is of course entitled to rely on</w:t>
      </w:r>
      <w:r w:rsidR="00004561">
        <w:rPr>
          <w:rFonts w:cs="Times New Roman"/>
          <w:color w:val="010302"/>
          <w:sz w:val="24"/>
          <w:szCs w:val="24"/>
        </w:rPr>
        <w:t xml:space="preserve"> those</w:t>
      </w:r>
      <w:r w:rsidR="00B968CF" w:rsidRPr="009035F4">
        <w:rPr>
          <w:rFonts w:cs="Times New Roman"/>
          <w:color w:val="010302"/>
          <w:sz w:val="24"/>
          <w:szCs w:val="24"/>
        </w:rPr>
        <w:t xml:space="preserve"> facts</w:t>
      </w:r>
      <w:r w:rsidR="00004561">
        <w:rPr>
          <w:rFonts w:cs="Times New Roman"/>
          <w:color w:val="010302"/>
          <w:sz w:val="24"/>
          <w:szCs w:val="24"/>
        </w:rPr>
        <w:t>,</w:t>
      </w:r>
      <w:r w:rsidR="003E52B2">
        <w:rPr>
          <w:rFonts w:cs="Times New Roman"/>
          <w:color w:val="010302"/>
          <w:sz w:val="24"/>
          <w:szCs w:val="24"/>
        </w:rPr>
        <w:t xml:space="preserve"> </w:t>
      </w:r>
      <w:r w:rsidR="00B968CF" w:rsidRPr="009035F4">
        <w:rPr>
          <w:rFonts w:cs="Times New Roman"/>
          <w:color w:val="010302"/>
          <w:sz w:val="24"/>
          <w:szCs w:val="24"/>
        </w:rPr>
        <w:t xml:space="preserve">not as a </w:t>
      </w:r>
      <w:r w:rsidR="003E52B2">
        <w:rPr>
          <w:rFonts w:cs="Times New Roman"/>
          <w:color w:val="010302"/>
          <w:sz w:val="24"/>
          <w:szCs w:val="24"/>
        </w:rPr>
        <w:t>claim, but</w:t>
      </w:r>
      <w:r w:rsidR="00B968CF" w:rsidRPr="009035F4">
        <w:rPr>
          <w:rFonts w:cs="Times New Roman"/>
          <w:color w:val="010302"/>
          <w:sz w:val="24"/>
          <w:szCs w:val="24"/>
        </w:rPr>
        <w:t xml:space="preserve"> to support his complaint that discrimination took place </w:t>
      </w:r>
      <w:proofErr w:type="gramStart"/>
      <w:r w:rsidR="00B968CF" w:rsidRPr="009035F4">
        <w:rPr>
          <w:rFonts w:cs="Times New Roman"/>
          <w:color w:val="010302"/>
          <w:sz w:val="24"/>
          <w:szCs w:val="24"/>
        </w:rPr>
        <w:t>at a later date</w:t>
      </w:r>
      <w:proofErr w:type="gramEnd"/>
      <w:r w:rsidR="00B968CF" w:rsidRPr="009035F4">
        <w:rPr>
          <w:rFonts w:cs="Times New Roman"/>
          <w:color w:val="010302"/>
          <w:sz w:val="24"/>
          <w:szCs w:val="24"/>
        </w:rPr>
        <w:t xml:space="preserve">. </w:t>
      </w:r>
    </w:p>
    <w:p w14:paraId="66462260" w14:textId="2C3C29B8" w:rsidR="00B968CF" w:rsidRPr="009035F4" w:rsidRDefault="003E52B2" w:rsidP="0091566F">
      <w:pPr>
        <w:pStyle w:val="ListParagraph"/>
        <w:tabs>
          <w:tab w:val="left" w:pos="0"/>
        </w:tabs>
        <w:spacing w:before="240" w:line="480" w:lineRule="auto"/>
        <w:jc w:val="both"/>
        <w:rPr>
          <w:rFonts w:cs="Times New Roman"/>
          <w:color w:val="010302"/>
          <w:sz w:val="24"/>
          <w:szCs w:val="24"/>
        </w:rPr>
      </w:pPr>
      <w:r>
        <w:rPr>
          <w:rFonts w:cs="Times New Roman"/>
          <w:color w:val="010302"/>
          <w:sz w:val="24"/>
          <w:szCs w:val="24"/>
        </w:rPr>
        <w:t>40.</w:t>
      </w:r>
      <w:r>
        <w:rPr>
          <w:rFonts w:cs="Times New Roman"/>
          <w:color w:val="010302"/>
          <w:sz w:val="24"/>
          <w:szCs w:val="24"/>
        </w:rPr>
        <w:tab/>
      </w:r>
      <w:r w:rsidR="00B968CF" w:rsidRPr="009035F4">
        <w:rPr>
          <w:rFonts w:cs="Times New Roman"/>
          <w:color w:val="010302"/>
          <w:sz w:val="24"/>
          <w:szCs w:val="24"/>
        </w:rPr>
        <w:t xml:space="preserve">I consider that the </w:t>
      </w:r>
      <w:r>
        <w:rPr>
          <w:rFonts w:cs="Times New Roman"/>
          <w:color w:val="010302"/>
          <w:sz w:val="24"/>
          <w:szCs w:val="24"/>
        </w:rPr>
        <w:t xml:space="preserve">claim </w:t>
      </w:r>
      <w:r w:rsidR="00B968CF" w:rsidRPr="009035F4">
        <w:rPr>
          <w:rFonts w:cs="Times New Roman"/>
          <w:color w:val="010302"/>
          <w:sz w:val="24"/>
          <w:szCs w:val="24"/>
        </w:rPr>
        <w:t xml:space="preserve">should be remitted to a differently constituted Tribunal. The Respondent did not suggest that it should be returned to the same </w:t>
      </w:r>
      <w:r>
        <w:rPr>
          <w:rFonts w:cs="Times New Roman"/>
          <w:color w:val="010302"/>
          <w:sz w:val="24"/>
          <w:szCs w:val="24"/>
        </w:rPr>
        <w:t>J</w:t>
      </w:r>
      <w:r w:rsidR="00B968CF" w:rsidRPr="009035F4">
        <w:rPr>
          <w:rFonts w:cs="Times New Roman"/>
          <w:color w:val="010302"/>
          <w:sz w:val="24"/>
          <w:szCs w:val="24"/>
        </w:rPr>
        <w:t>udge; doing so, in my judgment, would not be in accordance with relevant guidance</w:t>
      </w:r>
      <w:r>
        <w:rPr>
          <w:rFonts w:cs="Times New Roman"/>
          <w:color w:val="010302"/>
          <w:sz w:val="24"/>
          <w:szCs w:val="24"/>
        </w:rPr>
        <w:t xml:space="preserve"> set out in </w:t>
      </w:r>
      <w:r w:rsidR="00D2757F">
        <w:rPr>
          <w:rFonts w:cs="Times New Roman"/>
          <w:b/>
          <w:bCs/>
          <w:color w:val="010302"/>
          <w:sz w:val="24"/>
          <w:szCs w:val="24"/>
          <w:u w:val="single"/>
        </w:rPr>
        <w:t xml:space="preserve">Sinclair Roche &amp; Temperley v Heard </w:t>
      </w:r>
      <w:r w:rsidR="00A0020F" w:rsidRPr="00216FF0">
        <w:rPr>
          <w:rFonts w:cs="Times New Roman"/>
          <w:color w:val="010302"/>
          <w:sz w:val="24"/>
          <w:szCs w:val="24"/>
        </w:rPr>
        <w:lastRenderedPageBreak/>
        <w:t>[2004] IRLR EAT</w:t>
      </w:r>
      <w:r w:rsidR="00A0020F">
        <w:rPr>
          <w:rFonts w:cs="Times New Roman"/>
          <w:b/>
          <w:bCs/>
          <w:color w:val="010302"/>
          <w:sz w:val="24"/>
          <w:szCs w:val="24"/>
        </w:rPr>
        <w:t xml:space="preserve">; </w:t>
      </w:r>
      <w:proofErr w:type="spellStart"/>
      <w:r w:rsidR="00A0020F" w:rsidRPr="00216FF0">
        <w:rPr>
          <w:rFonts w:cs="Times New Roman"/>
          <w:b/>
          <w:bCs/>
          <w:color w:val="010302"/>
          <w:sz w:val="24"/>
          <w:szCs w:val="24"/>
        </w:rPr>
        <w:t>Barke</w:t>
      </w:r>
      <w:proofErr w:type="spellEnd"/>
      <w:r w:rsidR="00A0020F" w:rsidRPr="00216FF0">
        <w:rPr>
          <w:rFonts w:cs="Times New Roman"/>
          <w:b/>
          <w:bCs/>
          <w:color w:val="010302"/>
          <w:sz w:val="24"/>
          <w:szCs w:val="24"/>
        </w:rPr>
        <w:t xml:space="preserve"> v SEETEC Business Technology Centre Ltd</w:t>
      </w:r>
      <w:r w:rsidR="00A0020F">
        <w:rPr>
          <w:rFonts w:cs="Times New Roman"/>
          <w:b/>
          <w:bCs/>
          <w:i/>
          <w:iCs/>
          <w:color w:val="010302"/>
          <w:sz w:val="24"/>
          <w:szCs w:val="24"/>
        </w:rPr>
        <w:t xml:space="preserve"> </w:t>
      </w:r>
      <w:r w:rsidR="00A0020F" w:rsidRPr="00216FF0">
        <w:rPr>
          <w:rFonts w:cs="Times New Roman"/>
          <w:color w:val="010302"/>
          <w:sz w:val="24"/>
          <w:szCs w:val="24"/>
        </w:rPr>
        <w:t xml:space="preserve">[2005] </w:t>
      </w:r>
      <w:r w:rsidR="00216FF0" w:rsidRPr="00216FF0">
        <w:rPr>
          <w:rFonts w:cs="Times New Roman"/>
          <w:color w:val="010302"/>
          <w:sz w:val="24"/>
          <w:szCs w:val="24"/>
        </w:rPr>
        <w:t>IRLR 663 (CA)</w:t>
      </w:r>
      <w:r w:rsidR="00B968CF" w:rsidRPr="009035F4">
        <w:rPr>
          <w:rFonts w:cs="Times New Roman"/>
          <w:color w:val="010302"/>
          <w:sz w:val="24"/>
          <w:szCs w:val="24"/>
        </w:rPr>
        <w:t xml:space="preserve">.  First, there is no reason to suggest that the </w:t>
      </w:r>
      <w:r w:rsidR="00216FF0">
        <w:rPr>
          <w:rFonts w:cs="Times New Roman"/>
          <w:color w:val="010302"/>
          <w:sz w:val="24"/>
          <w:szCs w:val="24"/>
        </w:rPr>
        <w:t>J</w:t>
      </w:r>
      <w:r w:rsidR="00B968CF" w:rsidRPr="009035F4">
        <w:rPr>
          <w:rFonts w:cs="Times New Roman"/>
          <w:color w:val="010302"/>
          <w:sz w:val="24"/>
          <w:szCs w:val="24"/>
        </w:rPr>
        <w:t>udge would have a particularly strong memory of the case</w:t>
      </w:r>
      <w:r w:rsidR="008A3FB7">
        <w:rPr>
          <w:rFonts w:cs="Times New Roman"/>
          <w:color w:val="010302"/>
          <w:sz w:val="24"/>
          <w:szCs w:val="24"/>
        </w:rPr>
        <w:t xml:space="preserve"> and the prospect that he has forgotten the case and detail in it is a very real risk</w:t>
      </w:r>
      <w:r w:rsidR="00B968CF" w:rsidRPr="009035F4">
        <w:rPr>
          <w:rFonts w:cs="Times New Roman"/>
          <w:color w:val="010302"/>
          <w:sz w:val="24"/>
          <w:szCs w:val="24"/>
        </w:rPr>
        <w:t xml:space="preserve">. Secondly, given that I consider that the case to be that Judgment is wholly flawed, I consider it would not in any event be appropriate to return it to that </w:t>
      </w:r>
      <w:r w:rsidR="008A3FB7">
        <w:rPr>
          <w:rFonts w:cs="Times New Roman"/>
          <w:color w:val="010302"/>
          <w:sz w:val="24"/>
          <w:szCs w:val="24"/>
        </w:rPr>
        <w:t>J</w:t>
      </w:r>
      <w:r w:rsidR="00B968CF" w:rsidRPr="009035F4">
        <w:rPr>
          <w:rFonts w:cs="Times New Roman"/>
          <w:color w:val="010302"/>
          <w:sz w:val="24"/>
          <w:szCs w:val="24"/>
        </w:rPr>
        <w:t>udge and, thirdly, in practical terms</w:t>
      </w:r>
      <w:r w:rsidR="009D5D3B">
        <w:rPr>
          <w:rFonts w:cs="Times New Roman"/>
          <w:color w:val="010302"/>
          <w:sz w:val="24"/>
          <w:szCs w:val="24"/>
        </w:rPr>
        <w:t>,</w:t>
      </w:r>
      <w:r w:rsidR="00B968CF" w:rsidRPr="009035F4">
        <w:rPr>
          <w:rFonts w:cs="Times New Roman"/>
          <w:color w:val="010302"/>
          <w:sz w:val="24"/>
          <w:szCs w:val="24"/>
        </w:rPr>
        <w:t xml:space="preserve"> re-submitting the case to the same </w:t>
      </w:r>
      <w:r w:rsidR="008A3FB7">
        <w:rPr>
          <w:rFonts w:cs="Times New Roman"/>
          <w:color w:val="010302"/>
          <w:sz w:val="24"/>
          <w:szCs w:val="24"/>
        </w:rPr>
        <w:t>J</w:t>
      </w:r>
      <w:r w:rsidR="00B968CF" w:rsidRPr="009035F4">
        <w:rPr>
          <w:rFonts w:cs="Times New Roman"/>
          <w:color w:val="010302"/>
          <w:sz w:val="24"/>
          <w:szCs w:val="24"/>
        </w:rPr>
        <w:t xml:space="preserve">udge is likely to make it more difficult to list promptly.  I would encourage the ET to list the case promptly. I would also encourage both parties to have regard to the overriding objective and seek to work together </w:t>
      </w:r>
      <w:r w:rsidR="008A3FB7">
        <w:rPr>
          <w:rFonts w:cs="Times New Roman"/>
          <w:color w:val="010302"/>
          <w:sz w:val="24"/>
          <w:szCs w:val="24"/>
        </w:rPr>
        <w:t xml:space="preserve">progress </w:t>
      </w:r>
      <w:r w:rsidR="00B968CF" w:rsidRPr="009035F4">
        <w:rPr>
          <w:rFonts w:cs="Times New Roman"/>
          <w:color w:val="010302"/>
          <w:sz w:val="24"/>
          <w:szCs w:val="24"/>
        </w:rPr>
        <w:t xml:space="preserve">the case to trial in as efficient a way as possible by focusing only on those issues which need to be resolved in order </w:t>
      </w:r>
      <w:r w:rsidR="008A3FB7">
        <w:rPr>
          <w:rFonts w:cs="Times New Roman"/>
          <w:color w:val="010302"/>
          <w:sz w:val="24"/>
          <w:szCs w:val="24"/>
        </w:rPr>
        <w:t>to determine the claims.</w:t>
      </w:r>
    </w:p>
    <w:p w14:paraId="2BA1AE18" w14:textId="432F6575" w:rsidR="00B968CF" w:rsidRPr="009035F4" w:rsidRDefault="00B968CF" w:rsidP="0091566F">
      <w:pPr>
        <w:pStyle w:val="ListParagraph"/>
        <w:tabs>
          <w:tab w:val="left" w:pos="0"/>
        </w:tabs>
        <w:spacing w:before="240" w:line="480" w:lineRule="auto"/>
        <w:jc w:val="both"/>
        <w:rPr>
          <w:rFonts w:cs="Times New Roman"/>
          <w:color w:val="010302"/>
          <w:sz w:val="24"/>
          <w:szCs w:val="24"/>
        </w:rPr>
      </w:pPr>
      <w:r w:rsidRPr="009035F4">
        <w:rPr>
          <w:rFonts w:cs="Times New Roman"/>
          <w:color w:val="010302"/>
          <w:sz w:val="24"/>
          <w:szCs w:val="24"/>
        </w:rPr>
        <w:t>40.</w:t>
      </w:r>
      <w:r w:rsidRPr="009035F4">
        <w:rPr>
          <w:rFonts w:cs="Times New Roman"/>
          <w:color w:val="010302"/>
          <w:sz w:val="24"/>
          <w:szCs w:val="24"/>
        </w:rPr>
        <w:tab/>
        <w:t xml:space="preserve">Finally, I note that this case is now of some age. It is of course a matter entirely for the </w:t>
      </w:r>
      <w:r w:rsidR="009035F4" w:rsidRPr="009035F4">
        <w:rPr>
          <w:rFonts w:cs="Times New Roman"/>
          <w:color w:val="010302"/>
          <w:sz w:val="24"/>
          <w:szCs w:val="24"/>
        </w:rPr>
        <w:t>parties,</w:t>
      </w:r>
      <w:r w:rsidRPr="009035F4">
        <w:rPr>
          <w:rFonts w:cs="Times New Roman"/>
          <w:color w:val="010302"/>
          <w:sz w:val="24"/>
          <w:szCs w:val="24"/>
        </w:rPr>
        <w:t xml:space="preserve"> but they may be invited to take part in</w:t>
      </w:r>
      <w:r w:rsidR="008A3FB7">
        <w:rPr>
          <w:rFonts w:cs="Times New Roman"/>
          <w:color w:val="010302"/>
          <w:sz w:val="24"/>
          <w:szCs w:val="24"/>
        </w:rPr>
        <w:t xml:space="preserve"> judicial</w:t>
      </w:r>
      <w:r w:rsidRPr="009035F4">
        <w:rPr>
          <w:rFonts w:cs="Times New Roman"/>
          <w:color w:val="010302"/>
          <w:sz w:val="24"/>
          <w:szCs w:val="24"/>
        </w:rPr>
        <w:t xml:space="preserve"> mediation</w:t>
      </w:r>
      <w:r w:rsidR="008A3FB7">
        <w:rPr>
          <w:rFonts w:cs="Times New Roman"/>
          <w:color w:val="010302"/>
          <w:sz w:val="24"/>
          <w:szCs w:val="24"/>
        </w:rPr>
        <w:t xml:space="preserve">, </w:t>
      </w:r>
      <w:r w:rsidRPr="009035F4">
        <w:rPr>
          <w:rFonts w:cs="Times New Roman"/>
          <w:color w:val="010302"/>
          <w:sz w:val="24"/>
          <w:szCs w:val="24"/>
        </w:rPr>
        <w:t>depending on the length of time of the hearing</w:t>
      </w:r>
      <w:r w:rsidR="008A3FB7">
        <w:rPr>
          <w:rFonts w:cs="Times New Roman"/>
          <w:color w:val="010302"/>
          <w:sz w:val="24"/>
          <w:szCs w:val="24"/>
        </w:rPr>
        <w:t xml:space="preserve">. </w:t>
      </w:r>
      <w:r w:rsidRPr="009035F4">
        <w:rPr>
          <w:rFonts w:cs="Times New Roman"/>
          <w:color w:val="010302"/>
          <w:sz w:val="24"/>
          <w:szCs w:val="24"/>
        </w:rPr>
        <w:t>That of course, however, is a matter for the parties</w:t>
      </w:r>
      <w:r w:rsidR="008A3FB7">
        <w:rPr>
          <w:rFonts w:cs="Times New Roman"/>
          <w:color w:val="010302"/>
          <w:sz w:val="24"/>
          <w:szCs w:val="24"/>
        </w:rPr>
        <w:t xml:space="preserve"> and the Tribunal. </w:t>
      </w:r>
    </w:p>
    <w:sectPr w:rsidR="00B968CF" w:rsidRPr="009035F4" w:rsidSect="00443F54">
      <w:headerReference w:type="default" r:id="rId7"/>
      <w:footerReference w:type="default" r:id="rId8"/>
      <w:type w:val="continuous"/>
      <w:pgSz w:w="11918" w:h="16843"/>
      <w:pgMar w:top="500" w:right="1145" w:bottom="40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8F082" w14:textId="77777777" w:rsidR="00B968CF" w:rsidRDefault="00B968CF" w:rsidP="00804446">
      <w:r>
        <w:separator/>
      </w:r>
    </w:p>
  </w:endnote>
  <w:endnote w:type="continuationSeparator" w:id="0">
    <w:p w14:paraId="3E180916" w14:textId="77777777" w:rsidR="00B968CF" w:rsidRDefault="00B968CF" w:rsidP="00804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TimesNewRomanPSM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41A2A" w14:textId="70717EC5" w:rsidR="00B968CF" w:rsidRDefault="00D55AC1" w:rsidP="00D55AC1">
    <w:pPr>
      <w:pStyle w:val="Footer"/>
      <w:tabs>
        <w:tab w:val="clear" w:pos="4513"/>
        <w:tab w:val="clear" w:pos="9026"/>
        <w:tab w:val="left" w:pos="8130"/>
      </w:tabs>
      <w:rPr>
        <w:sz w:val="16"/>
        <w:szCs w:val="16"/>
      </w:rPr>
    </w:pPr>
    <w:r>
      <w:rPr>
        <w:sz w:val="16"/>
        <w:szCs w:val="16"/>
      </w:rPr>
      <w:tab/>
    </w:r>
  </w:p>
  <w:p w14:paraId="05FC6965" w14:textId="19979ED4" w:rsidR="00B968CF" w:rsidRPr="00443F54" w:rsidRDefault="0049611D" w:rsidP="0049611D">
    <w:pPr>
      <w:pStyle w:val="Footer"/>
      <w:tabs>
        <w:tab w:val="left" w:pos="8222"/>
      </w:tabs>
      <w:rPr>
        <w:sz w:val="16"/>
        <w:szCs w:val="16"/>
      </w:rPr>
    </w:pPr>
    <w:r w:rsidRPr="00443F54">
      <w:rPr>
        <w:sz w:val="16"/>
        <w:szCs w:val="16"/>
      </w:rPr>
      <w:t>© EAT 202</w:t>
    </w:r>
    <w:r>
      <w:rPr>
        <w:sz w:val="16"/>
        <w:szCs w:val="16"/>
      </w:rPr>
      <w:t>4</w:t>
    </w:r>
    <w:r w:rsidR="00B968CF" w:rsidRPr="00443F54">
      <w:rPr>
        <w:sz w:val="16"/>
        <w:szCs w:val="16"/>
      </w:rPr>
      <w:tab/>
      <w:t xml:space="preserve">Page </w:t>
    </w:r>
    <w:r w:rsidR="00B968CF" w:rsidRPr="00443F54">
      <w:rPr>
        <w:sz w:val="16"/>
        <w:szCs w:val="16"/>
      </w:rPr>
      <w:fldChar w:fldCharType="begin"/>
    </w:r>
    <w:r w:rsidR="00B968CF" w:rsidRPr="00443F54">
      <w:rPr>
        <w:sz w:val="16"/>
        <w:szCs w:val="16"/>
      </w:rPr>
      <w:instrText xml:space="preserve"> PAGE   \* MERGEFORMAT </w:instrText>
    </w:r>
    <w:r w:rsidR="00B968CF" w:rsidRPr="00443F54">
      <w:rPr>
        <w:sz w:val="16"/>
        <w:szCs w:val="16"/>
      </w:rPr>
      <w:fldChar w:fldCharType="separate"/>
    </w:r>
    <w:r w:rsidR="00B968CF">
      <w:rPr>
        <w:noProof/>
        <w:sz w:val="16"/>
        <w:szCs w:val="16"/>
      </w:rPr>
      <w:t>1</w:t>
    </w:r>
    <w:r w:rsidR="00B968CF" w:rsidRPr="00443F54">
      <w:rPr>
        <w:sz w:val="16"/>
        <w:szCs w:val="16"/>
      </w:rPr>
      <w:fldChar w:fldCharType="end"/>
    </w:r>
    <w:r w:rsidR="00B968CF" w:rsidRPr="00443F54">
      <w:rPr>
        <w:sz w:val="16"/>
        <w:szCs w:val="16"/>
      </w:rPr>
      <w:tab/>
    </w:r>
    <w:r>
      <w:rPr>
        <w:sz w:val="16"/>
        <w:szCs w:val="16"/>
      </w:rPr>
      <w:tab/>
    </w:r>
    <w:r w:rsidR="009134CB">
      <w:rPr>
        <w:sz w:val="16"/>
        <w:szCs w:val="16"/>
      </w:rPr>
      <w:t>[202</w:t>
    </w:r>
    <w:r w:rsidR="00A93361">
      <w:rPr>
        <w:sz w:val="16"/>
        <w:szCs w:val="16"/>
      </w:rPr>
      <w:t>3</w:t>
    </w:r>
    <w:r w:rsidR="009134CB">
      <w:rPr>
        <w:sz w:val="16"/>
        <w:szCs w:val="16"/>
      </w:rPr>
      <w:t>] EAT 173</w:t>
    </w:r>
  </w:p>
  <w:p w14:paraId="36EC47FE" w14:textId="77777777" w:rsidR="0048319F" w:rsidRDefault="004831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30B72" w14:textId="77777777" w:rsidR="00B968CF" w:rsidRDefault="00B968CF" w:rsidP="00804446">
      <w:r>
        <w:separator/>
      </w:r>
    </w:p>
  </w:footnote>
  <w:footnote w:type="continuationSeparator" w:id="0">
    <w:p w14:paraId="314D5619" w14:textId="77777777" w:rsidR="00B968CF" w:rsidRDefault="00B968CF" w:rsidP="00804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441C" w14:textId="1E48921A" w:rsidR="00B968CF" w:rsidRDefault="0042752A" w:rsidP="009134CB">
    <w:pPr>
      <w:tabs>
        <w:tab w:val="left" w:pos="8080"/>
      </w:tabs>
      <w:spacing w:line="379" w:lineRule="exact"/>
      <w:rPr>
        <w:rFonts w:cs="Times New Roman"/>
        <w:color w:val="010302"/>
      </w:rPr>
    </w:pPr>
    <w:r>
      <w:rPr>
        <w:rFonts w:cs="Times New Roman"/>
        <w:b/>
        <w:bCs/>
        <w:color w:val="000000"/>
        <w:sz w:val="16"/>
        <w:szCs w:val="16"/>
        <w:u w:val="single"/>
      </w:rPr>
      <w:t>Judgment approved by the court</w:t>
    </w:r>
    <w:r w:rsidR="00B968CF">
      <w:rPr>
        <w:rFonts w:cs="Times New Roman"/>
        <w:color w:val="000000"/>
        <w:sz w:val="24"/>
        <w:szCs w:val="24"/>
      </w:rPr>
      <w:t xml:space="preserve"> </w:t>
    </w:r>
    <w:r w:rsidR="00B968CF">
      <w:rPr>
        <w:rFonts w:cs="Times New Roman"/>
        <w:color w:val="000000"/>
        <w:sz w:val="24"/>
        <w:szCs w:val="24"/>
      </w:rPr>
      <w:tab/>
    </w:r>
    <w:r w:rsidR="00B968CF">
      <w:rPr>
        <w:rFonts w:cs="Times New Roman"/>
        <w:position w:val="1"/>
        <w:sz w:val="12"/>
        <w:szCs w:val="12"/>
      </w:rPr>
      <w:t>Kolev v Middlesex University</w:t>
    </w:r>
  </w:p>
  <w:p w14:paraId="299D92D5" w14:textId="77777777" w:rsidR="00B968CF" w:rsidRDefault="00B96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B5F"/>
    <w:multiLevelType w:val="hybridMultilevel"/>
    <w:tmpl w:val="B9DA6CE6"/>
    <w:lvl w:ilvl="0" w:tplc="33CC9EC0">
      <w:start w:val="6"/>
      <w:numFmt w:val="upperLetter"/>
      <w:lvlText w:val="%1"/>
      <w:lvlJc w:val="left"/>
      <w:pPr>
        <w:ind w:left="6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526A1F4">
      <w:start w:val="33"/>
      <w:numFmt w:val="decimal"/>
      <w:lvlText w:val="%2."/>
      <w:lvlJc w:val="left"/>
      <w:pPr>
        <w:ind w:left="1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67C538E">
      <w:start w:val="1"/>
      <w:numFmt w:val="lowerRoman"/>
      <w:lvlText w:val="%3"/>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37264DA">
      <w:start w:val="1"/>
      <w:numFmt w:val="decimal"/>
      <w:lvlText w:val="%4"/>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CE760C">
      <w:start w:val="1"/>
      <w:numFmt w:val="lowerLetter"/>
      <w:lvlText w:val="%5"/>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6EA790C">
      <w:start w:val="1"/>
      <w:numFmt w:val="lowerRoman"/>
      <w:lvlText w:val="%6"/>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17C5988">
      <w:start w:val="1"/>
      <w:numFmt w:val="decimal"/>
      <w:lvlText w:val="%7"/>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9E95F8">
      <w:start w:val="1"/>
      <w:numFmt w:val="lowerLetter"/>
      <w:lvlText w:val="%8"/>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318BAAC">
      <w:start w:val="1"/>
      <w:numFmt w:val="lowerRoman"/>
      <w:lvlText w:val="%9"/>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0095A8D"/>
    <w:multiLevelType w:val="hybridMultilevel"/>
    <w:tmpl w:val="3F724A68"/>
    <w:lvl w:ilvl="0" w:tplc="0809000F">
      <w:start w:val="23"/>
      <w:numFmt w:val="decimal"/>
      <w:lvlText w:val="%1."/>
      <w:lvlJc w:val="left"/>
      <w:pPr>
        <w:tabs>
          <w:tab w:val="num" w:pos="720"/>
        </w:tabs>
        <w:ind w:left="720" w:hanging="360"/>
      </w:pPr>
      <w:rPr>
        <w:rFonts w:cs="Times New Roman" w:hint="default"/>
      </w:rPr>
    </w:lvl>
    <w:lvl w:ilvl="1" w:tplc="D722E69E">
      <w:start w:val="1"/>
      <w:numFmt w:val="lowerLetter"/>
      <w:lvlText w:val="(%2)"/>
      <w:lvlJc w:val="left"/>
      <w:pPr>
        <w:tabs>
          <w:tab w:val="num" w:pos="1440"/>
        </w:tabs>
        <w:ind w:left="1440" w:hanging="36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A543612"/>
    <w:multiLevelType w:val="hybridMultilevel"/>
    <w:tmpl w:val="03728BAC"/>
    <w:lvl w:ilvl="0" w:tplc="D76833BC">
      <w:start w:val="23"/>
      <w:numFmt w:val="decimal"/>
      <w:lvlText w:val="%1."/>
      <w:lvlJc w:val="left"/>
      <w:pPr>
        <w:tabs>
          <w:tab w:val="num" w:pos="1440"/>
        </w:tabs>
        <w:ind w:left="1440" w:hanging="72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EE8735A"/>
    <w:multiLevelType w:val="hybridMultilevel"/>
    <w:tmpl w:val="0AC43B0A"/>
    <w:lvl w:ilvl="0" w:tplc="6E56439C">
      <w:start w:val="1"/>
      <w:numFmt w:val="decimal"/>
      <w:lvlText w:val="(%1)"/>
      <w:lvlJc w:val="left"/>
      <w:pPr>
        <w:ind w:left="1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9CCE5E">
      <w:start w:val="1"/>
      <w:numFmt w:val="lowerLetter"/>
      <w:lvlText w:val="%2"/>
      <w:lvlJc w:val="left"/>
      <w:pPr>
        <w:ind w:left="2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06435BC">
      <w:start w:val="1"/>
      <w:numFmt w:val="lowerRoman"/>
      <w:lvlText w:val="%3"/>
      <w:lvlJc w:val="left"/>
      <w:pPr>
        <w:ind w:left="30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9D64E42">
      <w:start w:val="1"/>
      <w:numFmt w:val="decimal"/>
      <w:lvlText w:val="%4"/>
      <w:lvlJc w:val="left"/>
      <w:pPr>
        <w:ind w:left="37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A9CF86E">
      <w:start w:val="1"/>
      <w:numFmt w:val="lowerLetter"/>
      <w:lvlText w:val="%5"/>
      <w:lvlJc w:val="left"/>
      <w:pPr>
        <w:ind w:left="44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9460470">
      <w:start w:val="1"/>
      <w:numFmt w:val="lowerRoman"/>
      <w:lvlText w:val="%6"/>
      <w:lvlJc w:val="left"/>
      <w:pPr>
        <w:ind w:left="51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16451EA">
      <w:start w:val="1"/>
      <w:numFmt w:val="decimal"/>
      <w:lvlText w:val="%7"/>
      <w:lvlJc w:val="left"/>
      <w:pPr>
        <w:ind w:left="58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5C46652">
      <w:start w:val="1"/>
      <w:numFmt w:val="lowerLetter"/>
      <w:lvlText w:val="%8"/>
      <w:lvlJc w:val="left"/>
      <w:pPr>
        <w:ind w:left="6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AFEF97C">
      <w:start w:val="1"/>
      <w:numFmt w:val="lowerRoman"/>
      <w:lvlText w:val="%9"/>
      <w:lvlJc w:val="left"/>
      <w:pPr>
        <w:ind w:left="7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BAA0C62"/>
    <w:multiLevelType w:val="hybridMultilevel"/>
    <w:tmpl w:val="66BCD61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5D40345B"/>
    <w:multiLevelType w:val="hybridMultilevel"/>
    <w:tmpl w:val="6C4E8CC4"/>
    <w:lvl w:ilvl="0" w:tplc="E570B284">
      <w:start w:val="6"/>
      <w:numFmt w:val="upperLetter"/>
      <w:lvlText w:val="%1"/>
      <w:lvlJc w:val="left"/>
      <w:pPr>
        <w:ind w:left="17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B4EA6EA">
      <w:start w:val="1"/>
      <w:numFmt w:val="lowerLetter"/>
      <w:lvlText w:val="%2"/>
      <w:lvlJc w:val="left"/>
      <w:pPr>
        <w:ind w:left="10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2A81572">
      <w:start w:val="1"/>
      <w:numFmt w:val="lowerRoman"/>
      <w:lvlText w:val="%3"/>
      <w:lvlJc w:val="left"/>
      <w:pPr>
        <w:ind w:left="18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94C0CD0">
      <w:start w:val="1"/>
      <w:numFmt w:val="decimal"/>
      <w:lvlText w:val="%4"/>
      <w:lvlJc w:val="left"/>
      <w:pPr>
        <w:ind w:left="25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188CCCE">
      <w:start w:val="1"/>
      <w:numFmt w:val="lowerLetter"/>
      <w:lvlText w:val="%5"/>
      <w:lvlJc w:val="left"/>
      <w:pPr>
        <w:ind w:left="32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98470CA">
      <w:start w:val="1"/>
      <w:numFmt w:val="lowerRoman"/>
      <w:lvlText w:val="%6"/>
      <w:lvlJc w:val="left"/>
      <w:pPr>
        <w:ind w:left="39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1B46B1A">
      <w:start w:val="1"/>
      <w:numFmt w:val="decimal"/>
      <w:lvlText w:val="%7"/>
      <w:lvlJc w:val="left"/>
      <w:pPr>
        <w:ind w:left="46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9C96FE">
      <w:start w:val="1"/>
      <w:numFmt w:val="lowerLetter"/>
      <w:lvlText w:val="%8"/>
      <w:lvlJc w:val="left"/>
      <w:pPr>
        <w:ind w:left="54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04E96AC">
      <w:start w:val="1"/>
      <w:numFmt w:val="lowerRoman"/>
      <w:lvlText w:val="%9"/>
      <w:lvlJc w:val="left"/>
      <w:pPr>
        <w:ind w:left="61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00F5CB6"/>
    <w:multiLevelType w:val="hybridMultilevel"/>
    <w:tmpl w:val="4DF6677A"/>
    <w:lvl w:ilvl="0" w:tplc="BE206774">
      <w:start w:val="1"/>
      <w:numFmt w:val="decimal"/>
      <w:lvlText w:val="(%1)"/>
      <w:lvlJc w:val="left"/>
      <w:pPr>
        <w:ind w:left="1494" w:hanging="360"/>
      </w:pPr>
      <w:rPr>
        <w:rFonts w:cs="Arial" w:hint="default"/>
        <w:color w:val="010302"/>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768104DB"/>
    <w:multiLevelType w:val="hybridMultilevel"/>
    <w:tmpl w:val="7226B110"/>
    <w:lvl w:ilvl="0" w:tplc="0EF42DDE">
      <w:start w:val="1"/>
      <w:numFmt w:val="decimal"/>
      <w:lvlText w:val="%1."/>
      <w:lvlJc w:val="left"/>
      <w:pPr>
        <w:ind w:left="1004" w:hanging="720"/>
      </w:pPr>
      <w:rPr>
        <w:rFonts w:cs="Times New Roman" w:hint="default"/>
        <w:color w:val="000000"/>
        <w:sz w:val="24"/>
      </w:rPr>
    </w:lvl>
    <w:lvl w:ilvl="1" w:tplc="21B0DCE4">
      <w:start w:val="1"/>
      <w:numFmt w:val="lowerLetter"/>
      <w:lvlText w:val="%2)"/>
      <w:lvlJc w:val="left"/>
      <w:pPr>
        <w:tabs>
          <w:tab w:val="num" w:pos="1815"/>
        </w:tabs>
        <w:ind w:left="1815" w:hanging="735"/>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15:restartNumberingAfterBreak="0">
    <w:nsid w:val="798B2450"/>
    <w:multiLevelType w:val="hybridMultilevel"/>
    <w:tmpl w:val="F6141A60"/>
    <w:lvl w:ilvl="0" w:tplc="416EA32A">
      <w:start w:val="15"/>
      <w:numFmt w:val="decimal"/>
      <w:lvlText w:val="%1."/>
      <w:lvlJc w:val="left"/>
      <w:pPr>
        <w:tabs>
          <w:tab w:val="num" w:pos="1440"/>
        </w:tabs>
        <w:ind w:left="1440" w:hanging="720"/>
      </w:pPr>
      <w:rPr>
        <w:rFonts w:cs="Times New Roman" w:hint="default"/>
      </w:rPr>
    </w:lvl>
    <w:lvl w:ilvl="1" w:tplc="08090019" w:tentative="1">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9" w15:restartNumberingAfterBreak="0">
    <w:nsid w:val="7BCA3D87"/>
    <w:multiLevelType w:val="hybridMultilevel"/>
    <w:tmpl w:val="2670037C"/>
    <w:lvl w:ilvl="0" w:tplc="F98287B0">
      <w:start w:val="3"/>
      <w:numFmt w:val="upperLetter"/>
      <w:lvlText w:val="%1"/>
      <w:lvlJc w:val="left"/>
      <w:pPr>
        <w:ind w:left="1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67AC460">
      <w:start w:val="1"/>
      <w:numFmt w:val="lowerLetter"/>
      <w:lvlText w:val="%2"/>
      <w:lvlJc w:val="left"/>
      <w:pPr>
        <w:ind w:left="10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96CC6DE">
      <w:start w:val="1"/>
      <w:numFmt w:val="lowerRoman"/>
      <w:lvlText w:val="%3"/>
      <w:lvlJc w:val="left"/>
      <w:pPr>
        <w:ind w:left="18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888E70">
      <w:start w:val="1"/>
      <w:numFmt w:val="decimal"/>
      <w:lvlText w:val="%4"/>
      <w:lvlJc w:val="left"/>
      <w:pPr>
        <w:ind w:left="25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BEAD46">
      <w:start w:val="1"/>
      <w:numFmt w:val="lowerLetter"/>
      <w:lvlText w:val="%5"/>
      <w:lvlJc w:val="left"/>
      <w:pPr>
        <w:ind w:left="32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50A91F6">
      <w:start w:val="1"/>
      <w:numFmt w:val="lowerRoman"/>
      <w:lvlText w:val="%6"/>
      <w:lvlJc w:val="left"/>
      <w:pPr>
        <w:ind w:left="39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75A2322">
      <w:start w:val="1"/>
      <w:numFmt w:val="decimal"/>
      <w:lvlText w:val="%7"/>
      <w:lvlJc w:val="left"/>
      <w:pPr>
        <w:ind w:left="46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65AA1BE">
      <w:start w:val="1"/>
      <w:numFmt w:val="lowerLetter"/>
      <w:lvlText w:val="%8"/>
      <w:lvlJc w:val="left"/>
      <w:pPr>
        <w:ind w:left="54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5C591C">
      <w:start w:val="1"/>
      <w:numFmt w:val="lowerRoman"/>
      <w:lvlText w:val="%9"/>
      <w:lvlJc w:val="left"/>
      <w:pPr>
        <w:ind w:left="61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088963314">
    <w:abstractNumId w:val="4"/>
  </w:num>
  <w:num w:numId="2" w16cid:durableId="556629409">
    <w:abstractNumId w:val="7"/>
  </w:num>
  <w:num w:numId="3" w16cid:durableId="1020816679">
    <w:abstractNumId w:val="8"/>
  </w:num>
  <w:num w:numId="4" w16cid:durableId="374164193">
    <w:abstractNumId w:val="2"/>
  </w:num>
  <w:num w:numId="5" w16cid:durableId="2144036273">
    <w:abstractNumId w:val="1"/>
  </w:num>
  <w:num w:numId="6" w16cid:durableId="1330865542">
    <w:abstractNumId w:val="6"/>
  </w:num>
  <w:num w:numId="7" w16cid:durableId="36703588">
    <w:abstractNumId w:val="3"/>
  </w:num>
  <w:num w:numId="8" w16cid:durableId="1106659664">
    <w:abstractNumId w:val="9"/>
  </w:num>
  <w:num w:numId="9" w16cid:durableId="1150058346">
    <w:abstractNumId w:val="5"/>
  </w:num>
  <w:num w:numId="10" w16cid:durableId="78488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89"/>
    <w:rsid w:val="0000362C"/>
    <w:rsid w:val="00004561"/>
    <w:rsid w:val="00011811"/>
    <w:rsid w:val="000149E1"/>
    <w:rsid w:val="000208EF"/>
    <w:rsid w:val="0002284A"/>
    <w:rsid w:val="00041096"/>
    <w:rsid w:val="000619E1"/>
    <w:rsid w:val="00062D6D"/>
    <w:rsid w:val="0006368E"/>
    <w:rsid w:val="0006552B"/>
    <w:rsid w:val="00074C99"/>
    <w:rsid w:val="000B41EA"/>
    <w:rsid w:val="000C2F03"/>
    <w:rsid w:val="000F1A9E"/>
    <w:rsid w:val="000F2123"/>
    <w:rsid w:val="000F67FA"/>
    <w:rsid w:val="001050F1"/>
    <w:rsid w:val="0010649B"/>
    <w:rsid w:val="00106C60"/>
    <w:rsid w:val="001245E8"/>
    <w:rsid w:val="00136124"/>
    <w:rsid w:val="00145160"/>
    <w:rsid w:val="00155804"/>
    <w:rsid w:val="001572AB"/>
    <w:rsid w:val="001633C5"/>
    <w:rsid w:val="001817D9"/>
    <w:rsid w:val="00190EB6"/>
    <w:rsid w:val="0019534D"/>
    <w:rsid w:val="001A328D"/>
    <w:rsid w:val="001A6208"/>
    <w:rsid w:val="001B3F40"/>
    <w:rsid w:val="001B51BB"/>
    <w:rsid w:val="001C705F"/>
    <w:rsid w:val="001E73C3"/>
    <w:rsid w:val="002058BB"/>
    <w:rsid w:val="00216FF0"/>
    <w:rsid w:val="0022433E"/>
    <w:rsid w:val="00224A9E"/>
    <w:rsid w:val="00242660"/>
    <w:rsid w:val="002446D5"/>
    <w:rsid w:val="00252760"/>
    <w:rsid w:val="00266614"/>
    <w:rsid w:val="00282DEF"/>
    <w:rsid w:val="00283C73"/>
    <w:rsid w:val="002849EA"/>
    <w:rsid w:val="00294CF8"/>
    <w:rsid w:val="002A1E7A"/>
    <w:rsid w:val="002C7A1B"/>
    <w:rsid w:val="002D4DE3"/>
    <w:rsid w:val="002E5369"/>
    <w:rsid w:val="0030417B"/>
    <w:rsid w:val="00311C8E"/>
    <w:rsid w:val="003125F7"/>
    <w:rsid w:val="00317726"/>
    <w:rsid w:val="00341AC0"/>
    <w:rsid w:val="003626E8"/>
    <w:rsid w:val="003667F0"/>
    <w:rsid w:val="003700C9"/>
    <w:rsid w:val="0037204E"/>
    <w:rsid w:val="003A2D10"/>
    <w:rsid w:val="003A621D"/>
    <w:rsid w:val="003B0FCE"/>
    <w:rsid w:val="003C0347"/>
    <w:rsid w:val="003D40DE"/>
    <w:rsid w:val="003D7458"/>
    <w:rsid w:val="003E0B38"/>
    <w:rsid w:val="003E0C06"/>
    <w:rsid w:val="003E2150"/>
    <w:rsid w:val="003E52B2"/>
    <w:rsid w:val="003E649C"/>
    <w:rsid w:val="00402461"/>
    <w:rsid w:val="00407379"/>
    <w:rsid w:val="00423AB0"/>
    <w:rsid w:val="00423F3A"/>
    <w:rsid w:val="0042752A"/>
    <w:rsid w:val="00431D39"/>
    <w:rsid w:val="004410FB"/>
    <w:rsid w:val="00443F54"/>
    <w:rsid w:val="0048319F"/>
    <w:rsid w:val="00494E0E"/>
    <w:rsid w:val="00495BD3"/>
    <w:rsid w:val="0049611D"/>
    <w:rsid w:val="004A095B"/>
    <w:rsid w:val="004A5CEE"/>
    <w:rsid w:val="004A7D59"/>
    <w:rsid w:val="004D0FFD"/>
    <w:rsid w:val="004D3330"/>
    <w:rsid w:val="00511405"/>
    <w:rsid w:val="00512F45"/>
    <w:rsid w:val="00517BA3"/>
    <w:rsid w:val="00523BC3"/>
    <w:rsid w:val="00572123"/>
    <w:rsid w:val="005818EC"/>
    <w:rsid w:val="00596AD7"/>
    <w:rsid w:val="005B6FCC"/>
    <w:rsid w:val="005B7727"/>
    <w:rsid w:val="005C41F1"/>
    <w:rsid w:val="005C450E"/>
    <w:rsid w:val="005D65DA"/>
    <w:rsid w:val="005E76CD"/>
    <w:rsid w:val="005F3877"/>
    <w:rsid w:val="005F7383"/>
    <w:rsid w:val="00622A14"/>
    <w:rsid w:val="006261E7"/>
    <w:rsid w:val="006322BE"/>
    <w:rsid w:val="00666208"/>
    <w:rsid w:val="00685BFA"/>
    <w:rsid w:val="0069645C"/>
    <w:rsid w:val="006B3E0B"/>
    <w:rsid w:val="006B4302"/>
    <w:rsid w:val="006C5797"/>
    <w:rsid w:val="006E6472"/>
    <w:rsid w:val="006E6FC9"/>
    <w:rsid w:val="006E744C"/>
    <w:rsid w:val="006F7D5A"/>
    <w:rsid w:val="00703B5D"/>
    <w:rsid w:val="00704367"/>
    <w:rsid w:val="00710AE0"/>
    <w:rsid w:val="00717B8E"/>
    <w:rsid w:val="007266C6"/>
    <w:rsid w:val="00735648"/>
    <w:rsid w:val="00745DEF"/>
    <w:rsid w:val="00746C2B"/>
    <w:rsid w:val="00746F7C"/>
    <w:rsid w:val="00771234"/>
    <w:rsid w:val="00772259"/>
    <w:rsid w:val="007A0E9D"/>
    <w:rsid w:val="007A23FF"/>
    <w:rsid w:val="007A57DC"/>
    <w:rsid w:val="007B4CAB"/>
    <w:rsid w:val="007B4EBC"/>
    <w:rsid w:val="007B68D6"/>
    <w:rsid w:val="007C3530"/>
    <w:rsid w:val="007C4932"/>
    <w:rsid w:val="007C5056"/>
    <w:rsid w:val="007D0FE3"/>
    <w:rsid w:val="007D2CF8"/>
    <w:rsid w:val="007D76D0"/>
    <w:rsid w:val="00802EB6"/>
    <w:rsid w:val="00804446"/>
    <w:rsid w:val="00810C4D"/>
    <w:rsid w:val="00816583"/>
    <w:rsid w:val="0082184F"/>
    <w:rsid w:val="00826E66"/>
    <w:rsid w:val="00827C33"/>
    <w:rsid w:val="008432F1"/>
    <w:rsid w:val="008515AD"/>
    <w:rsid w:val="00852AAF"/>
    <w:rsid w:val="008A0654"/>
    <w:rsid w:val="008A3FB7"/>
    <w:rsid w:val="008A478B"/>
    <w:rsid w:val="008B6888"/>
    <w:rsid w:val="008B6DE6"/>
    <w:rsid w:val="008D2B70"/>
    <w:rsid w:val="008F68C5"/>
    <w:rsid w:val="008F6B39"/>
    <w:rsid w:val="00903280"/>
    <w:rsid w:val="009035F4"/>
    <w:rsid w:val="009134CB"/>
    <w:rsid w:val="0091566F"/>
    <w:rsid w:val="009274B1"/>
    <w:rsid w:val="00957BD9"/>
    <w:rsid w:val="00967F70"/>
    <w:rsid w:val="00976154"/>
    <w:rsid w:val="009872CD"/>
    <w:rsid w:val="009A2F03"/>
    <w:rsid w:val="009A3442"/>
    <w:rsid w:val="009C1652"/>
    <w:rsid w:val="009C6B7D"/>
    <w:rsid w:val="009D5D3B"/>
    <w:rsid w:val="009D7BDB"/>
    <w:rsid w:val="009F429C"/>
    <w:rsid w:val="009F6836"/>
    <w:rsid w:val="00A0020F"/>
    <w:rsid w:val="00A26114"/>
    <w:rsid w:val="00A4262A"/>
    <w:rsid w:val="00A43DCD"/>
    <w:rsid w:val="00A519C7"/>
    <w:rsid w:val="00A52A22"/>
    <w:rsid w:val="00A63912"/>
    <w:rsid w:val="00A71E5B"/>
    <w:rsid w:val="00A755DD"/>
    <w:rsid w:val="00A85424"/>
    <w:rsid w:val="00A87E6E"/>
    <w:rsid w:val="00A92298"/>
    <w:rsid w:val="00A93361"/>
    <w:rsid w:val="00AA4F7B"/>
    <w:rsid w:val="00AA6994"/>
    <w:rsid w:val="00AB25F4"/>
    <w:rsid w:val="00AB76E3"/>
    <w:rsid w:val="00AD64EE"/>
    <w:rsid w:val="00AF513D"/>
    <w:rsid w:val="00B00AE9"/>
    <w:rsid w:val="00B174A8"/>
    <w:rsid w:val="00B32E08"/>
    <w:rsid w:val="00B3600C"/>
    <w:rsid w:val="00B43642"/>
    <w:rsid w:val="00B44660"/>
    <w:rsid w:val="00B46DAE"/>
    <w:rsid w:val="00B515FC"/>
    <w:rsid w:val="00B663CF"/>
    <w:rsid w:val="00B968CF"/>
    <w:rsid w:val="00BB42DC"/>
    <w:rsid w:val="00BD23ED"/>
    <w:rsid w:val="00BD5E28"/>
    <w:rsid w:val="00BD7CFF"/>
    <w:rsid w:val="00BF5DE7"/>
    <w:rsid w:val="00C00362"/>
    <w:rsid w:val="00C2688E"/>
    <w:rsid w:val="00C32274"/>
    <w:rsid w:val="00C3357A"/>
    <w:rsid w:val="00C33BE9"/>
    <w:rsid w:val="00C4077D"/>
    <w:rsid w:val="00C52754"/>
    <w:rsid w:val="00C52CEA"/>
    <w:rsid w:val="00C73149"/>
    <w:rsid w:val="00C9019D"/>
    <w:rsid w:val="00CA31C1"/>
    <w:rsid w:val="00CA5000"/>
    <w:rsid w:val="00CA627E"/>
    <w:rsid w:val="00CC0F7A"/>
    <w:rsid w:val="00CF3E6B"/>
    <w:rsid w:val="00CF54BE"/>
    <w:rsid w:val="00D05504"/>
    <w:rsid w:val="00D15D89"/>
    <w:rsid w:val="00D24A96"/>
    <w:rsid w:val="00D24EA5"/>
    <w:rsid w:val="00D2757F"/>
    <w:rsid w:val="00D46FDB"/>
    <w:rsid w:val="00D504BD"/>
    <w:rsid w:val="00D5362A"/>
    <w:rsid w:val="00D55AC1"/>
    <w:rsid w:val="00D64A9B"/>
    <w:rsid w:val="00D92886"/>
    <w:rsid w:val="00D97789"/>
    <w:rsid w:val="00DA4D5F"/>
    <w:rsid w:val="00DC3B42"/>
    <w:rsid w:val="00DC6A3E"/>
    <w:rsid w:val="00DE6D00"/>
    <w:rsid w:val="00DF601E"/>
    <w:rsid w:val="00E14E89"/>
    <w:rsid w:val="00E21E00"/>
    <w:rsid w:val="00E30B9E"/>
    <w:rsid w:val="00E32751"/>
    <w:rsid w:val="00E55882"/>
    <w:rsid w:val="00E61DD5"/>
    <w:rsid w:val="00E72A8F"/>
    <w:rsid w:val="00E75FD3"/>
    <w:rsid w:val="00E954DD"/>
    <w:rsid w:val="00EB0D4A"/>
    <w:rsid w:val="00EB1CC3"/>
    <w:rsid w:val="00EB3958"/>
    <w:rsid w:val="00EB7A8E"/>
    <w:rsid w:val="00ED6849"/>
    <w:rsid w:val="00EE4D98"/>
    <w:rsid w:val="00EF004C"/>
    <w:rsid w:val="00F12ABF"/>
    <w:rsid w:val="00F142EA"/>
    <w:rsid w:val="00F240A3"/>
    <w:rsid w:val="00F2497A"/>
    <w:rsid w:val="00F371D5"/>
    <w:rsid w:val="00F51347"/>
    <w:rsid w:val="00F7352E"/>
    <w:rsid w:val="00F77248"/>
    <w:rsid w:val="00FA3EFC"/>
    <w:rsid w:val="00FB1023"/>
    <w:rsid w:val="00FB2C1A"/>
    <w:rsid w:val="00FB59FB"/>
    <w:rsid w:val="00FD12FE"/>
    <w:rsid w:val="00FE379A"/>
    <w:rsid w:val="00FE4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8433"/>
    <o:shapelayout v:ext="edit">
      <o:idmap v:ext="edit" data="1"/>
    </o:shapelayout>
  </w:shapeDefaults>
  <w:decimalSymbol w:val="."/>
  <w:listSeparator w:val=","/>
  <w14:docId w14:val="6F8285F6"/>
  <w15:docId w15:val="{6F963932-BD08-4F9E-9DE5-75DB8941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rial"/>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F8"/>
    <w:pPr>
      <w:widowControl w:val="0"/>
    </w:pPr>
    <w:rPr>
      <w:lang w:eastAsia="en-US"/>
    </w:rPr>
  </w:style>
  <w:style w:type="paragraph" w:styleId="Heading1">
    <w:name w:val="heading 1"/>
    <w:basedOn w:val="Normal"/>
    <w:next w:val="Normal"/>
    <w:link w:val="Heading1Char"/>
    <w:qFormat/>
    <w:locked/>
    <w:rsid w:val="00190EB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7D2CF8"/>
    <w:pPr>
      <w:spacing w:before="159"/>
      <w:ind w:left="511"/>
    </w:pPr>
    <w:rPr>
      <w:rFonts w:ascii="Algerian" w:hAnsi="Algerian"/>
      <w:sz w:val="24"/>
      <w:szCs w:val="24"/>
    </w:rPr>
  </w:style>
  <w:style w:type="character" w:customStyle="1" w:styleId="BodyTextChar">
    <w:name w:val="Body Text Char"/>
    <w:basedOn w:val="DefaultParagraphFont"/>
    <w:link w:val="BodyText"/>
    <w:uiPriority w:val="99"/>
    <w:semiHidden/>
    <w:locked/>
    <w:rsid w:val="00F7352E"/>
    <w:rPr>
      <w:rFonts w:cs="Times New Roman"/>
      <w:lang w:eastAsia="en-US"/>
    </w:rPr>
  </w:style>
  <w:style w:type="paragraph" w:styleId="ListParagraph">
    <w:name w:val="List Paragraph"/>
    <w:basedOn w:val="Normal"/>
    <w:uiPriority w:val="99"/>
    <w:qFormat/>
    <w:rsid w:val="007D2CF8"/>
  </w:style>
  <w:style w:type="paragraph" w:customStyle="1" w:styleId="TableParagraph">
    <w:name w:val="Table Paragraph"/>
    <w:basedOn w:val="Normal"/>
    <w:uiPriority w:val="99"/>
    <w:rsid w:val="007D2CF8"/>
  </w:style>
  <w:style w:type="table" w:styleId="TableGrid">
    <w:name w:val="Table Grid"/>
    <w:basedOn w:val="TableNormal"/>
    <w:uiPriority w:val="99"/>
    <w:rsid w:val="0090328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rsid w:val="00CF54BE"/>
    <w:rPr>
      <w:rFonts w:cs="Times New Roman"/>
      <w:color w:val="0000FF"/>
      <w:u w:val="single"/>
    </w:rPr>
  </w:style>
  <w:style w:type="character" w:customStyle="1" w:styleId="UnresolvedMention1">
    <w:name w:val="Unresolved Mention1"/>
    <w:basedOn w:val="DefaultParagraphFont"/>
    <w:uiPriority w:val="99"/>
    <w:semiHidden/>
    <w:rsid w:val="00CF54BE"/>
    <w:rPr>
      <w:rFonts w:cs="Times New Roman"/>
      <w:color w:val="605E5C"/>
      <w:shd w:val="clear" w:color="auto" w:fill="E1DFDD"/>
    </w:rPr>
  </w:style>
  <w:style w:type="paragraph" w:styleId="Header">
    <w:name w:val="header"/>
    <w:basedOn w:val="Normal"/>
    <w:link w:val="HeaderChar"/>
    <w:uiPriority w:val="99"/>
    <w:rsid w:val="00804446"/>
    <w:pPr>
      <w:tabs>
        <w:tab w:val="center" w:pos="4513"/>
        <w:tab w:val="right" w:pos="9026"/>
      </w:tabs>
    </w:pPr>
  </w:style>
  <w:style w:type="character" w:customStyle="1" w:styleId="HeaderChar">
    <w:name w:val="Header Char"/>
    <w:basedOn w:val="DefaultParagraphFont"/>
    <w:link w:val="Header"/>
    <w:uiPriority w:val="99"/>
    <w:locked/>
    <w:rsid w:val="00804446"/>
    <w:rPr>
      <w:rFonts w:cs="Times New Roman"/>
    </w:rPr>
  </w:style>
  <w:style w:type="paragraph" w:styleId="Footer">
    <w:name w:val="footer"/>
    <w:basedOn w:val="Normal"/>
    <w:link w:val="FooterChar"/>
    <w:uiPriority w:val="99"/>
    <w:rsid w:val="00804446"/>
    <w:pPr>
      <w:tabs>
        <w:tab w:val="center" w:pos="4513"/>
        <w:tab w:val="right" w:pos="9026"/>
      </w:tabs>
    </w:pPr>
  </w:style>
  <w:style w:type="character" w:customStyle="1" w:styleId="FooterChar">
    <w:name w:val="Footer Char"/>
    <w:basedOn w:val="DefaultParagraphFont"/>
    <w:link w:val="Footer"/>
    <w:uiPriority w:val="99"/>
    <w:locked/>
    <w:rsid w:val="00804446"/>
    <w:rPr>
      <w:rFonts w:cs="Times New Roman"/>
    </w:rPr>
  </w:style>
  <w:style w:type="character" w:customStyle="1" w:styleId="Heading1Char">
    <w:name w:val="Heading 1 Char"/>
    <w:basedOn w:val="DefaultParagraphFont"/>
    <w:link w:val="Heading1"/>
    <w:rsid w:val="00190EB6"/>
    <w:rPr>
      <w:rFonts w:asciiTheme="majorHAnsi" w:eastAsiaTheme="majorEastAsia" w:hAnsiTheme="majorHAnsi" w:cstheme="majorBidi"/>
      <w:color w:val="365F91" w:themeColor="accent1" w:themeShade="BF"/>
      <w:sz w:val="32"/>
      <w:szCs w:val="32"/>
      <w:lang w:eastAsia="en-US"/>
    </w:rPr>
  </w:style>
  <w:style w:type="character" w:styleId="CommentReference">
    <w:name w:val="annotation reference"/>
    <w:basedOn w:val="DefaultParagraphFont"/>
    <w:uiPriority w:val="99"/>
    <w:semiHidden/>
    <w:unhideWhenUsed/>
    <w:rsid w:val="00572123"/>
    <w:rPr>
      <w:sz w:val="16"/>
      <w:szCs w:val="16"/>
    </w:rPr>
  </w:style>
  <w:style w:type="paragraph" w:styleId="CommentText">
    <w:name w:val="annotation text"/>
    <w:basedOn w:val="Normal"/>
    <w:link w:val="CommentTextChar"/>
    <w:uiPriority w:val="99"/>
    <w:unhideWhenUsed/>
    <w:rsid w:val="00572123"/>
    <w:rPr>
      <w:sz w:val="20"/>
      <w:szCs w:val="20"/>
    </w:rPr>
  </w:style>
  <w:style w:type="character" w:customStyle="1" w:styleId="CommentTextChar">
    <w:name w:val="Comment Text Char"/>
    <w:basedOn w:val="DefaultParagraphFont"/>
    <w:link w:val="CommentText"/>
    <w:uiPriority w:val="99"/>
    <w:rsid w:val="00572123"/>
    <w:rPr>
      <w:sz w:val="20"/>
      <w:szCs w:val="20"/>
      <w:lang w:eastAsia="en-US"/>
    </w:rPr>
  </w:style>
  <w:style w:type="paragraph" w:styleId="CommentSubject">
    <w:name w:val="annotation subject"/>
    <w:basedOn w:val="CommentText"/>
    <w:next w:val="CommentText"/>
    <w:link w:val="CommentSubjectChar"/>
    <w:uiPriority w:val="99"/>
    <w:semiHidden/>
    <w:unhideWhenUsed/>
    <w:rsid w:val="00572123"/>
    <w:rPr>
      <w:b/>
      <w:bCs/>
    </w:rPr>
  </w:style>
  <w:style w:type="character" w:customStyle="1" w:styleId="CommentSubjectChar">
    <w:name w:val="Comment Subject Char"/>
    <w:basedOn w:val="CommentTextChar"/>
    <w:link w:val="CommentSubject"/>
    <w:uiPriority w:val="99"/>
    <w:semiHidden/>
    <w:rsid w:val="00572123"/>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9832</Words>
  <Characters>48188</Characters>
  <Application>Microsoft Office Word</Application>
  <DocSecurity>0</DocSecurity>
  <Lines>401</Lines>
  <Paragraphs>115</Paragraphs>
  <ScaleCrop>false</ScaleCrop>
  <HeadingPairs>
    <vt:vector size="2" baseType="variant">
      <vt:variant>
        <vt:lpstr>Title</vt:lpstr>
      </vt:variant>
      <vt:variant>
        <vt:i4>1</vt:i4>
      </vt:variant>
    </vt:vector>
  </HeadingPairs>
  <TitlesOfParts>
    <vt:vector size="1" baseType="lpstr">
      <vt:lpstr>Neutral Citation Number: [2023] EAT…</vt:lpstr>
    </vt:vector>
  </TitlesOfParts>
  <Company/>
  <LinksUpToDate>false</LinksUpToDate>
  <CharactersWithSpaces>57905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 Citation Number: [2023] EAT…</dc:title>
  <dc:subject/>
  <dc:creator>Thomas, Abbey</dc:creator>
  <cp:keywords/>
  <dc:description/>
  <cp:lastModifiedBy>Gonzales, Denelyne | She/Hers</cp:lastModifiedBy>
  <cp:revision>5</cp:revision>
  <cp:lastPrinted>2023-12-06T08:55:00Z</cp:lastPrinted>
  <dcterms:created xsi:type="dcterms:W3CDTF">2024-03-18T09:11:00Z</dcterms:created>
  <dcterms:modified xsi:type="dcterms:W3CDTF">2024-06-20T10:38:00Z</dcterms:modified>
</cp:coreProperties>
</file>