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0614" w14:textId="77777777" w:rsidR="00010A96" w:rsidRDefault="0076386F">
      <w:pPr>
        <w:pStyle w:val="clausetitle"/>
      </w:pPr>
      <w:r>
        <w:t xml:space="preserve">“Appropriate consent” to adult transplant activities </w:t>
      </w:r>
    </w:p>
    <w:p w14:paraId="36761AD0" w14:textId="77777777" w:rsidR="00010A96" w:rsidRDefault="0076386F">
      <w:pPr>
        <w:pStyle w:val="subsection"/>
      </w:pPr>
      <w:r>
        <w:rPr>
          <w:rStyle w:val="boldclause"/>
        </w:rPr>
        <w:fldChar w:fldCharType="begin"/>
      </w:r>
      <w:r>
        <w:rPr>
          <w:rStyle w:val="boldclause"/>
        </w:rPr>
        <w:instrText xml:space="preserve"> SEQ clausenumber \* ARABIC </w:instrText>
      </w:r>
      <w:r>
        <w:rPr>
          <w:rStyle w:val="boldclause"/>
        </w:rPr>
        <w:fldChar w:fldCharType="separate"/>
      </w:r>
      <w:r>
        <w:rPr>
          <w:rStyle w:val="boldclause"/>
        </w:rPr>
        <w:t>1</w:t>
      </w:r>
      <w:r>
        <w:rPr>
          <w:rStyle w:val="boldclause"/>
        </w:rPr>
        <w:fldChar w:fldCharType="end"/>
      </w:r>
      <w:r>
        <w:rPr>
          <w:rStyle w:val="boldclause"/>
        </w:rPr>
        <w:t>.</w:t>
      </w:r>
      <w:r>
        <w:t>—(</w:t>
      </w:r>
      <w:r>
        <w:fldChar w:fldCharType="begin"/>
      </w:r>
      <w:r>
        <w:instrText xml:space="preserve"> SEQ subsectionnumber \* ARABIC </w:instrText>
      </w:r>
      <w:r>
        <w:fldChar w:fldCharType="separate"/>
      </w:r>
      <w:r>
        <w:t>1</w:t>
      </w:r>
      <w:r>
        <w:fldChar w:fldCharType="end"/>
      </w:r>
      <w:r>
        <w:t>) Section 3 of the Human Tissue Act 2004 (“appropriate consent”: adults) is amended in accordanc</w:t>
      </w:r>
      <w:r>
        <w:t xml:space="preserve">e with subsections </w:t>
      </w:r>
      <w:r>
        <w:fldChar w:fldCharType="begin"/>
      </w:r>
      <w:r>
        <w:instrText xml:space="preserve"> REF Ref_subsectionnumber_1_part_09%2F03%2F20 \h </w:instrText>
      </w:r>
      <w:r>
        <w:fldChar w:fldCharType="separate"/>
      </w:r>
      <w:r>
        <w:t>(2)</w:t>
      </w:r>
      <w:r>
        <w:fldChar w:fldCharType="end"/>
      </w:r>
      <w:r>
        <w:t xml:space="preserve"> to </w:t>
      </w:r>
      <w:r>
        <w:fldChar w:fldCharType="begin"/>
      </w:r>
      <w:r>
        <w:instrText xml:space="preserve"> REF Ref_subsectionnumber_1_part_09%2F03%2F21 \h </w:instrText>
      </w:r>
      <w:r>
        <w:fldChar w:fldCharType="separate"/>
      </w:r>
      <w:r>
        <w:t>(5)</w:t>
      </w:r>
      <w:r>
        <w:fldChar w:fldCharType="end"/>
      </w:r>
      <w:r>
        <w:t>.</w:t>
      </w:r>
    </w:p>
    <w:p w14:paraId="5BA93AC9" w14:textId="472673A7" w:rsidR="00010A96" w:rsidRDefault="0076386F">
      <w:pPr>
        <w:pStyle w:val="subsection"/>
      </w:pPr>
      <w:r>
        <w:t>(</w:t>
      </w:r>
      <w:r>
        <w:fldChar w:fldCharType="begin"/>
      </w:r>
      <w:r>
        <w:instrText xml:space="preserve"> SEQ subsectionnumber \* ARABIC </w:instrText>
      </w:r>
      <w:r>
        <w:fldChar w:fldCharType="separate"/>
      </w:r>
      <w:r>
        <w:t>3</w:t>
      </w:r>
      <w:r>
        <w:fldChar w:fldCharType="end"/>
      </w:r>
      <w:r>
        <w:t>) After subsection (6A), insert</w:t>
      </w:r>
      <w:r w:rsidR="000068DA">
        <w:t xml:space="preserve"> regular para1s</w:t>
      </w:r>
      <w:r>
        <w:t>⁠—</w:t>
      </w:r>
    </w:p>
    <w:p w14:paraId="0A781282" w14:textId="4980C748" w:rsidR="00010A96" w:rsidRDefault="0076386F" w:rsidP="000068DA">
      <w:pPr>
        <w:pStyle w:val="insertsubsection"/>
        <w:ind w:firstLine="0"/>
      </w:pPr>
      <w:r>
        <w:t>“</w:t>
      </w:r>
      <w:r>
        <w:t>(a)</w:t>
      </w:r>
      <w:r>
        <w:tab/>
        <w:t>the storage of the body of a deceased person for use for the purpose of transplantation;</w:t>
      </w:r>
    </w:p>
    <w:p w14:paraId="562FE5E4" w14:textId="4A33BF83" w:rsidR="00010A96" w:rsidRDefault="0076386F">
      <w:pPr>
        <w:pStyle w:val="insertparagraph"/>
      </w:pPr>
      <w:r>
        <w:t>(d)</w:t>
      </w:r>
      <w:r>
        <w:tab/>
        <w:t>the use for the purpose of transplantation of any permitted material which has come from a human body.”.</w:t>
      </w:r>
    </w:p>
    <w:p w14:paraId="06934688" w14:textId="2B683278" w:rsidR="00010A96" w:rsidRDefault="0076386F">
      <w:pPr>
        <w:pStyle w:val="subsection"/>
      </w:pPr>
      <w:r>
        <w:t>(</w:t>
      </w:r>
      <w:r>
        <w:fldChar w:fldCharType="begin"/>
      </w:r>
      <w:r>
        <w:instrText xml:space="preserve"> SEQ subsectionnumber \* ARABIC </w:instrText>
      </w:r>
      <w:r>
        <w:fldChar w:fldCharType="separate"/>
      </w:r>
      <w:r>
        <w:t>4</w:t>
      </w:r>
      <w:r>
        <w:fldChar w:fldCharType="end"/>
      </w:r>
      <w:r>
        <w:t xml:space="preserve">) </w:t>
      </w:r>
      <w:proofErr w:type="spellStart"/>
      <w:r w:rsidR="000068DA">
        <w:t>Subparas</w:t>
      </w:r>
      <w:proofErr w:type="spellEnd"/>
      <w:r>
        <w:t>—</w:t>
      </w:r>
    </w:p>
    <w:p w14:paraId="3391ECE2" w14:textId="27833CA8" w:rsidR="000068DA" w:rsidRDefault="000068DA" w:rsidP="000068DA">
      <w:pPr>
        <w:pStyle w:val="insertsubsection"/>
        <w:ind w:firstLine="0"/>
      </w:pPr>
      <w:r>
        <w:t>“(</w:t>
      </w:r>
      <w:proofErr w:type="spellStart"/>
      <w:r>
        <w:t>i</w:t>
      </w:r>
      <w:proofErr w:type="spellEnd"/>
      <w:r>
        <w:t>)</w:t>
      </w:r>
      <w:r>
        <w:tab/>
        <w:t>the storage of the body of a deceased person for use for the purpose of transplantation;</w:t>
      </w:r>
    </w:p>
    <w:p w14:paraId="00395992" w14:textId="5B6B5937" w:rsidR="000068DA" w:rsidRDefault="000068DA" w:rsidP="000068DA">
      <w:pPr>
        <w:pStyle w:val="insertparagraph"/>
      </w:pPr>
      <w:r>
        <w:t>(</w:t>
      </w:r>
      <w:r>
        <w:t>ii</w:t>
      </w:r>
      <w:r>
        <w:t>)</w:t>
      </w:r>
      <w:r>
        <w:tab/>
        <w:t>the use for the purpose of transplantation of any permitted material which has come from a human body.”.</w:t>
      </w:r>
    </w:p>
    <w:p w14:paraId="196FB097" w14:textId="3DFF4D6A" w:rsidR="000068DA" w:rsidRDefault="000068DA" w:rsidP="000068DA">
      <w:pPr>
        <w:pStyle w:val="subsection"/>
      </w:pPr>
      <w:r>
        <w:t>(</w:t>
      </w:r>
      <w:r>
        <w:t>5</w:t>
      </w:r>
      <w:r>
        <w:t xml:space="preserve">) </w:t>
      </w:r>
      <w:r>
        <w:t>Lone para with (</w:t>
      </w:r>
      <w:proofErr w:type="spellStart"/>
      <w:r>
        <w:t>i</w:t>
      </w:r>
      <w:proofErr w:type="spellEnd"/>
      <w:r>
        <w:t>) is para1</w:t>
      </w:r>
      <w:r>
        <w:t>—</w:t>
      </w:r>
    </w:p>
    <w:p w14:paraId="53F3BEA1" w14:textId="74962531" w:rsidR="00010A96" w:rsidRDefault="000068DA" w:rsidP="000068DA">
      <w:pPr>
        <w:pStyle w:val="insertsubsection"/>
        <w:ind w:firstLine="0"/>
      </w:pPr>
      <w:r>
        <w:t>“(</w:t>
      </w:r>
      <w:proofErr w:type="spellStart"/>
      <w:r>
        <w:t>i</w:t>
      </w:r>
      <w:proofErr w:type="spellEnd"/>
      <w:r>
        <w:t>)</w:t>
      </w:r>
      <w:r>
        <w:tab/>
        <w:t>the storage of the body of a deceased person for use for the purpose of transplantation;</w:t>
      </w:r>
      <w:r>
        <w:t>”</w:t>
      </w:r>
    </w:p>
    <w:p w14:paraId="66B53A6D" w14:textId="42F6E4AC" w:rsidR="000068DA" w:rsidRDefault="000068DA" w:rsidP="000068DA">
      <w:pPr>
        <w:pStyle w:val="subsection"/>
      </w:pPr>
      <w:r>
        <w:t>(</w:t>
      </w:r>
      <w:r>
        <w:t>6</w:t>
      </w:r>
      <w:r>
        <w:t xml:space="preserve">) </w:t>
      </w:r>
      <w:r>
        <w:t>L</w:t>
      </w:r>
      <w:r>
        <w:t>one para with (i</w:t>
      </w:r>
      <w:r>
        <w:t>i</w:t>
      </w:r>
      <w:r>
        <w:t>) is para</w:t>
      </w:r>
      <w:r>
        <w:t>2</w:t>
      </w:r>
      <w:r>
        <w:t>—</w:t>
      </w:r>
    </w:p>
    <w:p w14:paraId="518F48A1" w14:textId="2FED474C" w:rsidR="000068DA" w:rsidRDefault="000068DA" w:rsidP="000068DA">
      <w:pPr>
        <w:pStyle w:val="insertsubsection"/>
        <w:ind w:firstLine="0"/>
      </w:pPr>
      <w:r>
        <w:t>“(i</w:t>
      </w:r>
      <w:r>
        <w:t>i</w:t>
      </w:r>
      <w:r>
        <w:t>)</w:t>
      </w:r>
      <w:r>
        <w:tab/>
        <w:t>the storage of the body of a deceased person for use for the purpose of transplantation;”</w:t>
      </w:r>
    </w:p>
    <w:p w14:paraId="21766013" w14:textId="21527B0A" w:rsidR="000068DA" w:rsidRDefault="000068DA" w:rsidP="000068DA">
      <w:pPr>
        <w:pStyle w:val="subsection"/>
      </w:pPr>
      <w:r>
        <w:t>(</w:t>
      </w:r>
      <w:r>
        <w:t>7</w:t>
      </w:r>
      <w:r>
        <w:t xml:space="preserve">) </w:t>
      </w:r>
      <w:proofErr w:type="spellStart"/>
      <w:r>
        <w:t>S</w:t>
      </w:r>
      <w:r>
        <w:t>ubparas</w:t>
      </w:r>
      <w:proofErr w:type="spellEnd"/>
      <w:r>
        <w:t xml:space="preserve"> non-consecutive</w:t>
      </w:r>
      <w:r>
        <w:t>—</w:t>
      </w:r>
    </w:p>
    <w:p w14:paraId="55508C72" w14:textId="4F226AD0" w:rsidR="000068DA" w:rsidRDefault="000068DA" w:rsidP="000068DA">
      <w:pPr>
        <w:pStyle w:val="insertsubsection"/>
        <w:ind w:firstLine="0"/>
      </w:pPr>
      <w:r>
        <w:t>“(</w:t>
      </w:r>
      <w:r>
        <w:t>xiv</w:t>
      </w:r>
      <w:r>
        <w:t>)</w:t>
      </w:r>
      <w:r>
        <w:tab/>
        <w:t>the storage of the body of a deceased person for use for the purpose of transplantation;</w:t>
      </w:r>
    </w:p>
    <w:p w14:paraId="5645E285" w14:textId="15AE9DD9" w:rsidR="000068DA" w:rsidRDefault="000068DA" w:rsidP="000068DA">
      <w:pPr>
        <w:pStyle w:val="insertparagraph"/>
      </w:pPr>
      <w:r>
        <w:t>(</w:t>
      </w:r>
      <w:proofErr w:type="spellStart"/>
      <w:r>
        <w:t>iix</w:t>
      </w:r>
      <w:proofErr w:type="spellEnd"/>
      <w:r>
        <w:t>)</w:t>
      </w:r>
      <w:r>
        <w:tab/>
        <w:t>the use for the purpose of transplantation of any permitted material which has come from a human body.”.</w:t>
      </w:r>
    </w:p>
    <w:p w14:paraId="3D4AC3FB" w14:textId="49E25BF9" w:rsidR="000068DA" w:rsidRDefault="000068DA" w:rsidP="000068DA">
      <w:pPr>
        <w:pStyle w:val="subsection"/>
      </w:pPr>
      <w:r>
        <w:t>(</w:t>
      </w:r>
      <w:r>
        <w:t>8</w:t>
      </w:r>
      <w:r>
        <w:t xml:space="preserve">) </w:t>
      </w:r>
      <w:r>
        <w:t>paras starting with roman numeral-like</w:t>
      </w:r>
      <w:r>
        <w:t>—</w:t>
      </w:r>
    </w:p>
    <w:p w14:paraId="784D5344" w14:textId="29A481C4" w:rsidR="000068DA" w:rsidRDefault="000068DA" w:rsidP="000068DA">
      <w:pPr>
        <w:pStyle w:val="insertsubsection"/>
        <w:ind w:firstLine="0"/>
      </w:pPr>
      <w:r>
        <w:t>“(</w:t>
      </w:r>
      <w:proofErr w:type="spellStart"/>
      <w:r>
        <w:t>i</w:t>
      </w:r>
      <w:proofErr w:type="spellEnd"/>
      <w:r>
        <w:t>)</w:t>
      </w:r>
      <w:r>
        <w:tab/>
        <w:t>the storage of the body of a deceased person for use for the purpose of transplantation;</w:t>
      </w:r>
    </w:p>
    <w:p w14:paraId="498044CC" w14:textId="7197CC24" w:rsidR="000068DA" w:rsidRDefault="000068DA" w:rsidP="000068DA">
      <w:pPr>
        <w:pStyle w:val="insertparagraph"/>
      </w:pPr>
      <w:r>
        <w:t>(</w:t>
      </w:r>
      <w:r>
        <w:t>j</w:t>
      </w:r>
      <w:r>
        <w:t>)</w:t>
      </w:r>
      <w:r>
        <w:tab/>
        <w:t>the use for the purpose of transplantation of any permitted material which has come from a human body.”.</w:t>
      </w:r>
    </w:p>
    <w:p w14:paraId="66DC46E1" w14:textId="3F70E01D" w:rsidR="00950A74" w:rsidRDefault="000068DA" w:rsidP="00950A74">
      <w:pPr>
        <w:pStyle w:val="subsection"/>
      </w:pPr>
      <w:r>
        <w:t>(8) paras starting with roman numeral-like</w:t>
      </w:r>
      <w:r>
        <w:t xml:space="preserve"> with children</w:t>
      </w:r>
      <w:r>
        <w:t>—</w:t>
      </w:r>
    </w:p>
    <w:p w14:paraId="369E7502" w14:textId="028947BF" w:rsidR="00950A74" w:rsidRDefault="00950A74" w:rsidP="00950A74">
      <w:pPr>
        <w:pStyle w:val="insertsubsection"/>
        <w:ind w:firstLine="0"/>
      </w:pPr>
      <w:r>
        <w:t>“(</w:t>
      </w:r>
      <w:proofErr w:type="spellStart"/>
      <w:r>
        <w:t>i</w:t>
      </w:r>
      <w:proofErr w:type="spellEnd"/>
      <w:r>
        <w:t>)</w:t>
      </w:r>
      <w:r>
        <w:tab/>
        <w:t>the storage of the body of a deceased person for use for the purpose of transplantation;</w:t>
      </w:r>
    </w:p>
    <w:p w14:paraId="6792164B" w14:textId="004AA7BE" w:rsidR="00950A74" w:rsidRDefault="00950A74" w:rsidP="00950A74">
      <w:pPr>
        <w:pStyle w:val="insertsubparagraph"/>
      </w:pPr>
      <w:r>
        <w:t>(</w:t>
      </w:r>
      <w:proofErr w:type="spellStart"/>
      <w:r>
        <w:t>i</w:t>
      </w:r>
      <w:proofErr w:type="spellEnd"/>
      <w:r>
        <w:t>)</w:t>
      </w:r>
      <w:r>
        <w:tab/>
        <w:t>record their own decisions about transplantation after their death of parts of their body, or body.</w:t>
      </w:r>
    </w:p>
    <w:p w14:paraId="670E36BF" w14:textId="7916D693" w:rsidR="000068DA" w:rsidRDefault="00950A74" w:rsidP="00950A74">
      <w:pPr>
        <w:pStyle w:val="insertparagraph"/>
      </w:pPr>
      <w:r>
        <w:t>(j)</w:t>
      </w:r>
      <w:r>
        <w:tab/>
        <w:t>the use for the purpose of transplantation of any permitted material which has come from a human body.”.</w:t>
      </w:r>
    </w:p>
    <w:sectPr w:rsidR="000068D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700" w:right="2126" w:bottom="1795" w:left="2126" w:header="1134" w:footer="1134" w:gutter="0"/>
      <w:lnNumType w:countBy="5" w:distance="283"/>
      <w:pgNumType w:start="1"/>
      <w:cols w:space="720"/>
      <w:formProt w:val="0"/>
      <w:docGrid w:linePitch="600" w:charSpace="348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7CA4" w14:textId="77777777" w:rsidR="0076386F" w:rsidRDefault="0076386F">
      <w:pPr>
        <w:spacing w:before="0"/>
      </w:pPr>
      <w:r>
        <w:separator/>
      </w:r>
    </w:p>
  </w:endnote>
  <w:endnote w:type="continuationSeparator" w:id="0">
    <w:p w14:paraId="4209A0D1" w14:textId="77777777" w:rsidR="0076386F" w:rsidRDefault="0076386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A270" w14:textId="77777777" w:rsidR="00010A96" w:rsidRDefault="0076386F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3278" w14:textId="77777777" w:rsidR="00010A96" w:rsidRDefault="0076386F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C70C" w14:textId="77777777" w:rsidR="0076386F" w:rsidRDefault="0076386F">
      <w:pPr>
        <w:spacing w:before="0"/>
      </w:pPr>
      <w:r>
        <w:separator/>
      </w:r>
    </w:p>
  </w:footnote>
  <w:footnote w:type="continuationSeparator" w:id="0">
    <w:p w14:paraId="16522143" w14:textId="77777777" w:rsidR="0076386F" w:rsidRDefault="0076386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07F6" w14:textId="77777777" w:rsidR="00010A96" w:rsidRDefault="0076386F">
    <w:pPr>
      <w:pStyle w:val="header1"/>
      <w:jc w:val="left"/>
    </w:pPr>
    <w:r>
      <w:rPr>
        <w:i w:val="0"/>
      </w:rPr>
      <w:fldChar w:fldCharType="begin"/>
    </w:r>
    <w:r>
      <w:rPr>
        <w:i w:val="0"/>
      </w:rPr>
      <w:instrText xml:space="preserve"> DOCVARIABLE chapter_no_act </w:instrText>
    </w:r>
    <w:r>
      <w:rPr>
        <w:i w:val="0"/>
      </w:rPr>
      <w:fldChar w:fldCharType="separate"/>
    </w:r>
    <w:r>
      <w:rPr>
        <w:i w:val="0"/>
      </w:rPr>
      <w:fldChar w:fldCharType="end"/>
    </w:r>
    <w:r>
      <w:tab/>
    </w:r>
    <w:r>
      <w:fldChar w:fldCharType="begin"/>
    </w:r>
    <w:r>
      <w:instrText xml:space="preserve"> DOCVARIABLE short_title_header </w:instrText>
    </w:r>
    <w:r>
      <w:fldChar w:fldCharType="separate"/>
    </w:r>
    <w:r>
      <w:t>Organ and Tissue Donation (Deemed Consent)</w:t>
    </w:r>
    <w:r>
      <w:fldChar w:fldCharType="end"/>
    </w:r>
    <w:r>
      <w:tab/>
    </w:r>
    <w:r>
      <w:rPr>
        <w:i w:val="0"/>
      </w:rPr>
      <w:fldChar w:fldCharType="begin"/>
    </w:r>
    <w:r>
      <w:rPr>
        <w:i w:val="0"/>
      </w:rPr>
      <w:instrText xml:space="preserve"> REF "current_part"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current_part ""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"current_chapter"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current_chapter ""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"current_schedule"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current_schedule "" </w:instrText>
    </w:r>
    <w:r>
      <w:rPr>
        <w:i w:val="0"/>
      </w:rPr>
      <w:fldChar w:fldCharType="separate"/>
    </w:r>
    <w:r>
      <w:rPr>
        <w:i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191F" w14:textId="77777777" w:rsidR="00010A96" w:rsidRDefault="0076386F">
    <w:pPr>
      <w:pStyle w:val="header1"/>
      <w:jc w:val="left"/>
    </w:pPr>
    <w:r>
      <w:rPr>
        <w:i w:val="0"/>
      </w:rPr>
      <w:fldChar w:fldCharType="begin"/>
    </w:r>
    <w:r>
      <w:rPr>
        <w:i w:val="0"/>
      </w:rPr>
      <w:instrText xml:space="preserve"> DOCVARIABLE chapter_no_act </w:instrText>
    </w:r>
    <w:r>
      <w:rPr>
        <w:i w:val="0"/>
      </w:rPr>
      <w:fldChar w:fldCharType="separate"/>
    </w:r>
    <w:r>
      <w:rPr>
        <w:i w:val="0"/>
      </w:rPr>
      <w:fldChar w:fldCharType="end"/>
    </w:r>
    <w:r>
      <w:tab/>
    </w:r>
    <w:r>
      <w:fldChar w:fldCharType="begin"/>
    </w:r>
    <w:r>
      <w:instrText xml:space="preserve"> DOCVARIABLE short_title_header </w:instrText>
    </w:r>
    <w:r>
      <w:fldChar w:fldCharType="separate"/>
    </w:r>
    <w:r>
      <w:t>Organ and Tissue Donation (Deemed Consent)</w:t>
    </w:r>
    <w:r>
      <w:fldChar w:fldCharType="end"/>
    </w:r>
    <w:r>
      <w:tab/>
    </w:r>
    <w:r>
      <w:rPr>
        <w:i w:val="0"/>
      </w:rPr>
      <w:fldChar w:fldCharType="begin"/>
    </w:r>
    <w:r>
      <w:rPr>
        <w:i w:val="0"/>
      </w:rPr>
      <w:instrText xml:space="preserve"> REF "current_part"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current_part "" </w:instrText>
    </w:r>
    <w:r>
      <w:rPr>
        <w:i w:val="0"/>
      </w:rPr>
      <w:fldChar w:fldCharType="separate"/>
    </w:r>
    <w:bookmarkStart w:id="0" w:name="current_part"/>
    <w:bookmarkEnd w:id="0"/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"current_chapter"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current_cha</w:instrText>
    </w:r>
    <w:r>
      <w:rPr>
        <w:i w:val="0"/>
      </w:rPr>
      <w:instrText xml:space="preserve">pter "" </w:instrText>
    </w:r>
    <w:r>
      <w:rPr>
        <w:i w:val="0"/>
      </w:rPr>
      <w:fldChar w:fldCharType="separate"/>
    </w:r>
    <w:bookmarkStart w:id="1" w:name="current_chapter"/>
    <w:bookmarkEnd w:id="1"/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"current_schedule" </w:instrText>
    </w:r>
    <w:r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current_schedule "" </w:instrText>
    </w:r>
    <w:r>
      <w:rPr>
        <w:i w:val="0"/>
      </w:rPr>
      <w:fldChar w:fldCharType="separate"/>
    </w:r>
    <w:bookmarkStart w:id="2" w:name="current_schedule"/>
    <w:bookmarkEnd w:id="2"/>
    <w:r>
      <w:rPr>
        <w:i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ong_title" w:val="Amend the Human Tissue Act 2004 concerning consent to activities done for the_x000a_purpose of transplantation and make consequential amendments about the_x000a_provision of information about such consent."/>
    <w:docVar w:name="short_title" w:val="Organ and Tissue Donation (Deemed Consent) Bill"/>
    <w:docVar w:name="short_title_en" w:val="short_title_en"/>
    <w:docVar w:name="short_title_header" w:val="Organ and Tissue Donation (Deemed Consent)"/>
    <w:docVar w:name="time_stamp" w:val="AS INTRODUCED"/>
  </w:docVars>
  <w:rsids>
    <w:rsidRoot w:val="00010A96"/>
    <w:rsid w:val="000068DA"/>
    <w:rsid w:val="00010A96"/>
    <w:rsid w:val="0076386F"/>
    <w:rsid w:val="009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C0A9"/>
  <w15:docId w15:val="{2BA592FE-46E8-4624-9E6F-ED30E0DD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widowControl w:val="0"/>
      <w:spacing w:before="102"/>
      <w:jc w:val="both"/>
    </w:pPr>
    <w:rPr>
      <w:sz w:val="23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LineNumber">
    <w:name w:val="line number"/>
  </w:style>
  <w:style w:type="character" w:customStyle="1" w:styleId="linenumbering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ngtitle">
    <w:name w:val="longtitle"/>
    <w:basedOn w:val="Normal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Normal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Normal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Normal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1">
    <w:name w:val="header1"/>
    <w:qFormat/>
    <w:pPr>
      <w:widowControl w:val="0"/>
      <w:tabs>
        <w:tab w:val="left" w:pos="0"/>
        <w:tab w:val="center" w:pos="3827"/>
        <w:tab w:val="right" w:pos="7654"/>
      </w:tabs>
      <w:jc w:val="center"/>
    </w:pPr>
    <w:rPr>
      <w:i/>
    </w:rPr>
  </w:style>
  <w:style w:type="paragraph" w:customStyle="1" w:styleId="footer1">
    <w:name w:val="footer1"/>
    <w:qFormat/>
    <w:pPr>
      <w:widowControl w:val="0"/>
      <w:tabs>
        <w:tab w:val="center" w:pos="4819"/>
        <w:tab w:val="right" w:pos="9638"/>
      </w:tabs>
      <w:jc w:val="center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Normal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Normal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Normal"/>
    <w:qFormat/>
    <w:pPr>
      <w:spacing w:before="91"/>
      <w:ind w:left="907"/>
    </w:pPr>
  </w:style>
  <w:style w:type="paragraph" w:customStyle="1" w:styleId="subsection">
    <w:name w:val="subsection"/>
    <w:basedOn w:val="Normal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ind w:left="992"/>
    </w:pPr>
  </w:style>
  <w:style w:type="paragraph" w:customStyle="1" w:styleId="partheading">
    <w:name w:val="partheading"/>
    <w:basedOn w:val="Normal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Normal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spacing w:before="102"/>
      <w:ind w:left="0" w:firstLine="232"/>
    </w:pPr>
  </w:style>
  <w:style w:type="paragraph" w:customStyle="1" w:styleId="tableheader">
    <w:name w:val="tableheader"/>
    <w:basedOn w:val="Normal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Normal"/>
    <w:qFormat/>
    <w:pPr>
      <w:spacing w:before="0"/>
      <w:ind w:left="57" w:right="57"/>
    </w:pPr>
  </w:style>
  <w:style w:type="paragraph" w:customStyle="1" w:styleId="tableright">
    <w:name w:val="tableright"/>
    <w:basedOn w:val="Normal"/>
    <w:qFormat/>
    <w:pPr>
      <w:spacing w:before="0"/>
      <w:ind w:left="57" w:right="57"/>
    </w:pPr>
  </w:style>
  <w:style w:type="paragraph" w:customStyle="1" w:styleId="tocheader">
    <w:name w:val="tocheader"/>
    <w:basedOn w:val="Normal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Normal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spacing w:before="91"/>
      <w:ind w:left="1587" w:firstLine="0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OC9">
    <w:name w:val="toc 9"/>
    <w:basedOn w:val="Index"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Normal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styleId="EnvelopeReturn">
    <w:name w:val="envelope return"/>
    <w:basedOn w:val="Normal"/>
    <w:pPr>
      <w:suppressLineNumbers/>
      <w:spacing w:before="0" w:after="60"/>
    </w:pPr>
  </w:style>
  <w:style w:type="paragraph" w:customStyle="1" w:styleId="bill">
    <w:name w:val="bill"/>
    <w:basedOn w:val="Normal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Normal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Normal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ind w:left="720"/>
    </w:pPr>
  </w:style>
  <w:style w:type="paragraph" w:customStyle="1" w:styleId="insertparagraph">
    <w:name w:val="insert_paragraph"/>
    <w:basedOn w:val="paragraph"/>
    <w:qFormat/>
    <w:pPr>
      <w:ind w:left="1440"/>
    </w:pPr>
  </w:style>
  <w:style w:type="paragraph" w:customStyle="1" w:styleId="insertsubparagraph">
    <w:name w:val="insert_subparagraph"/>
    <w:basedOn w:val="subparagraph"/>
    <w:qFormat/>
    <w:pPr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Normal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ind w:left="1440" w:hanging="992"/>
    </w:pPr>
  </w:style>
  <w:style w:type="paragraph" w:customStyle="1" w:styleId="insertschedulesubhead">
    <w:name w:val="insert_schedulesubhead"/>
    <w:basedOn w:val="subparagraph"/>
    <w:qFormat/>
    <w:pPr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Normal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spacing w:before="0"/>
      <w:ind w:left="1559"/>
    </w:pPr>
  </w:style>
  <w:style w:type="paragraph" w:customStyle="1" w:styleId="inserthead">
    <w:name w:val="insert_head"/>
    <w:basedOn w:val="head"/>
    <w:qFormat/>
    <w:pPr>
      <w:ind w:left="2279"/>
    </w:pPr>
  </w:style>
  <w:style w:type="paragraph" w:customStyle="1" w:styleId="schedulesubhead">
    <w:name w:val="schedulesubhead"/>
    <w:basedOn w:val="schedulehead"/>
    <w:qFormat/>
    <w:pPr>
      <w:spacing w:before="0"/>
      <w:ind w:left="992"/>
    </w:pPr>
  </w:style>
  <w:style w:type="paragraph" w:customStyle="1" w:styleId="FrameContents">
    <w:name w:val="Frame Contents"/>
    <w:basedOn w:val="BodyText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227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1"/>
    <w:qFormat/>
    <w:pPr>
      <w:tabs>
        <w:tab w:val="clear" w:pos="3827"/>
        <w:tab w:val="clear" w:pos="7654"/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Normal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Normal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pBdr>
        <w:bottom w:val="single" w:sz="4" w:space="0" w:color="000000"/>
      </w:pBdr>
      <w:spacing w:before="283" w:after="113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Chataway, Francis [AU-AU]</cp:lastModifiedBy>
  <cp:revision>2</cp:revision>
  <dcterms:created xsi:type="dcterms:W3CDTF">2025-09-25T02:40:00Z</dcterms:created>
  <dcterms:modified xsi:type="dcterms:W3CDTF">2025-09-25T02:51:00Z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2011-02-10T12:38:15Z</dcterms:created>
  <dc:creator/>
  <dc:description/>
  <dc:language>en-US</dc:language>
  <cp:lastModifiedBy/>
  <dcterms:modified xsi:type="dcterms:W3CDTF">2021-07-05T16:08:41Z</dcterms:modified>
  <cp:revision>188</cp:revision>
  <dc:subject/>
  <dc:title>Draft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