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FE9A" w14:textId="77777777" w:rsidR="0063433E" w:rsidRPr="00AC49DC" w:rsidRDefault="0063433E" w:rsidP="0063433E">
      <w:pPr>
        <w:pStyle w:val="Banner"/>
      </w:pPr>
      <w:r w:rsidRPr="00AC49DC">
        <w:t>STATUTORY INSTRUMENTS</w:t>
      </w:r>
    </w:p>
    <w:p w14:paraId="0EED08B4" w14:textId="77777777" w:rsidR="00086C7E" w:rsidRPr="00AC49DC" w:rsidRDefault="00665489" w:rsidP="00086C7E">
      <w:pPr>
        <w:pStyle w:val="Number"/>
      </w:pPr>
      <w:r>
        <w:t>2024 No. 1000 (C. 65)</w:t>
      </w:r>
    </w:p>
    <w:p w14:paraId="3673A20E" w14:textId="77777777" w:rsidR="0063433E" w:rsidRPr="00AC49DC" w:rsidRDefault="0063433E" w:rsidP="0063433E">
      <w:pPr>
        <w:pStyle w:val="subject"/>
      </w:pPr>
      <w:r w:rsidRPr="00AC49DC">
        <w:t>Children and young persons, England</w:t>
      </w:r>
    </w:p>
    <w:p w14:paraId="0D1CC390" w14:textId="77777777" w:rsidR="00086C7E" w:rsidRPr="00AC49DC" w:rsidRDefault="00086C7E" w:rsidP="00086C7E">
      <w:pPr>
        <w:pStyle w:val="Title"/>
      </w:pPr>
      <w:r w:rsidRPr="00AC49DC">
        <w:t>The</w:t>
      </w:r>
      <w:r w:rsidR="00F716B4" w:rsidRPr="00AC49DC">
        <w:t xml:space="preserve"> </w:t>
      </w:r>
      <w:r w:rsidRPr="00AC49DC">
        <w:t>Levelling-up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Regeneration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2023</w:t>
      </w:r>
      <w:r w:rsidR="00F716B4" w:rsidRPr="00AC49DC">
        <w:t xml:space="preserve"> </w:t>
      </w:r>
      <w:r w:rsidRPr="00AC49DC">
        <w:t>(Commencement</w:t>
      </w:r>
      <w:r w:rsidR="00F716B4" w:rsidRPr="00AC49DC">
        <w:t xml:space="preserve"> </w:t>
      </w:r>
      <w:r w:rsidRPr="00AC49DC">
        <w:t>No.</w:t>
      </w:r>
      <w:r w:rsidR="00F716B4" w:rsidRPr="00AC49DC">
        <w:t xml:space="preserve"> </w:t>
      </w:r>
      <w:r w:rsidRPr="00AC49DC">
        <w:t>5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Transitional</w:t>
      </w:r>
      <w:r w:rsidR="00F716B4" w:rsidRPr="00AC49DC">
        <w:t xml:space="preserve"> </w:t>
      </w:r>
      <w:r w:rsidRPr="00AC49DC">
        <w:t>Provision)</w:t>
      </w:r>
      <w:r w:rsidR="00F716B4" w:rsidRPr="00AC49DC">
        <w:t xml:space="preserve"> </w:t>
      </w:r>
      <w:r w:rsidRPr="00AC49DC">
        <w:t>Regulations</w:t>
      </w:r>
      <w:r w:rsidR="00F716B4" w:rsidRPr="00AC49DC">
        <w:t xml:space="preserve"> </w:t>
      </w:r>
      <w:r w:rsidRPr="00AC49DC">
        <w:t>2024</w:t>
      </w:r>
    </w:p>
    <w:p w14:paraId="238721F0" w14:textId="77777777" w:rsidR="00086C7E" w:rsidRDefault="00086C7E" w:rsidP="00D15484">
      <w:pPr>
        <w:pStyle w:val="Made"/>
      </w:pPr>
      <w:r w:rsidRPr="00D15484">
        <w:t>Made</w:t>
      </w:r>
      <w:r w:rsidR="00F716B4" w:rsidRPr="00D15484">
        <w:tab/>
      </w:r>
      <w:r w:rsidRPr="00D15484">
        <w:t>-</w:t>
      </w:r>
      <w:r w:rsidR="00F716B4" w:rsidRPr="00D15484">
        <w:tab/>
      </w:r>
      <w:r w:rsidRPr="00D15484">
        <w:t>-</w:t>
      </w:r>
      <w:r w:rsidR="00F716B4" w:rsidRPr="00D15484">
        <w:tab/>
      </w:r>
      <w:r w:rsidRPr="00D15484">
        <w:t>-</w:t>
      </w:r>
      <w:r w:rsidR="00F716B4" w:rsidRPr="00D15484">
        <w:tab/>
      </w:r>
      <w:r w:rsidRPr="00D15484">
        <w:t>-</w:t>
      </w:r>
      <w:r w:rsidR="00F716B4" w:rsidRPr="00D15484">
        <w:tab/>
      </w:r>
      <w:r w:rsidR="00ED50C3">
        <w:t>9th October 2024</w:t>
      </w:r>
    </w:p>
    <w:p w14:paraId="122DB7A0" w14:textId="77777777" w:rsidR="00BE0616" w:rsidRPr="00BE0616" w:rsidRDefault="00BE0616" w:rsidP="00BE0616">
      <w:pPr>
        <w:pStyle w:val="Coming"/>
      </w:pPr>
      <w:r>
        <w:t>Coming into force</w:t>
      </w:r>
      <w:r>
        <w:tab/>
        <w:t>-</w:t>
      </w:r>
      <w:r>
        <w:tab/>
        <w:t>-</w:t>
      </w:r>
      <w:r>
        <w:tab/>
        <w:t>1st November 2024</w:t>
      </w:r>
    </w:p>
    <w:p w14:paraId="7EEA3AE1" w14:textId="77777777" w:rsidR="00F64F0D" w:rsidRPr="00AC49DC" w:rsidRDefault="00086C7E" w:rsidP="00086C7E">
      <w:pPr>
        <w:pStyle w:val="Pre"/>
      </w:pPr>
      <w:r w:rsidRPr="00AC49DC">
        <w:t>The</w:t>
      </w:r>
      <w:r w:rsidR="00F716B4" w:rsidRPr="00AC49DC">
        <w:t xml:space="preserve"> </w:t>
      </w:r>
      <w:r w:rsidR="00F64F0D" w:rsidRPr="00AC49DC">
        <w:t>Secretary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State</w:t>
      </w:r>
      <w:r w:rsidR="00F716B4" w:rsidRPr="00AC49DC">
        <w:t xml:space="preserve"> </w:t>
      </w:r>
      <w:r w:rsidR="00F64F0D" w:rsidRPr="00AC49DC">
        <w:t>makes</w:t>
      </w:r>
      <w:r w:rsidR="00F716B4" w:rsidRPr="00AC49DC">
        <w:t xml:space="preserve"> </w:t>
      </w:r>
      <w:r w:rsidR="00F64F0D" w:rsidRPr="00AC49DC">
        <w:t>these</w:t>
      </w:r>
      <w:r w:rsidR="00F716B4" w:rsidRPr="00AC49DC">
        <w:t xml:space="preserve"> </w:t>
      </w:r>
      <w:r w:rsidR="00F64F0D" w:rsidRPr="00AC49DC">
        <w:t>Regulations</w:t>
      </w:r>
      <w:r w:rsidR="00F716B4" w:rsidRPr="00AC49DC">
        <w:t xml:space="preserve"> </w:t>
      </w:r>
      <w:r w:rsidR="00F64F0D" w:rsidRPr="00AC49DC">
        <w:t>in</w:t>
      </w:r>
      <w:r w:rsidR="00F716B4" w:rsidRPr="00AC49DC">
        <w:t xml:space="preserve"> </w:t>
      </w:r>
      <w:r w:rsidR="00F64F0D" w:rsidRPr="00AC49DC">
        <w:t>exercise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powers</w:t>
      </w:r>
      <w:r w:rsidR="00F716B4" w:rsidRPr="00AC49DC">
        <w:t xml:space="preserve"> </w:t>
      </w:r>
      <w:r w:rsidR="00F64F0D" w:rsidRPr="00AC49DC">
        <w:t>conferred</w:t>
      </w:r>
      <w:r w:rsidR="00F716B4" w:rsidRPr="00AC49DC">
        <w:t xml:space="preserve"> </w:t>
      </w:r>
      <w:r w:rsidR="00F64F0D" w:rsidRPr="00AC49DC">
        <w:t>by</w:t>
      </w:r>
      <w:r w:rsidR="00F716B4" w:rsidRPr="00AC49DC">
        <w:t xml:space="preserve"> </w:t>
      </w:r>
      <w:r w:rsidR="00F64F0D" w:rsidRPr="00AC49DC">
        <w:t>section</w:t>
      </w:r>
      <w:r w:rsidR="00F716B4" w:rsidRPr="00AC49DC">
        <w:t xml:space="preserve"> </w:t>
      </w:r>
      <w:r w:rsidR="00F64F0D" w:rsidRPr="00AC49DC">
        <w:t>255(9)(a)</w:t>
      </w:r>
      <w:r w:rsidR="00F716B4" w:rsidRPr="00AC49DC">
        <w:t xml:space="preserve"> </w:t>
      </w:r>
      <w:r w:rsidR="00F64F0D" w:rsidRPr="00AC49DC">
        <w:t>and</w:t>
      </w:r>
      <w:r w:rsidR="00F716B4" w:rsidRPr="00AC49DC">
        <w:t xml:space="preserve"> </w:t>
      </w:r>
      <w:r w:rsidR="00F64F0D" w:rsidRPr="00AC49DC">
        <w:t>(12)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Levelling-up</w:t>
      </w:r>
      <w:r w:rsidR="00F716B4" w:rsidRPr="00AC49DC">
        <w:t xml:space="preserve"> </w:t>
      </w:r>
      <w:r w:rsidR="00F64F0D" w:rsidRPr="00AC49DC">
        <w:t>and</w:t>
      </w:r>
      <w:r w:rsidR="00F716B4" w:rsidRPr="00AC49DC">
        <w:t xml:space="preserve"> </w:t>
      </w:r>
      <w:r w:rsidR="00F64F0D" w:rsidRPr="00AC49DC">
        <w:t>Regeneration</w:t>
      </w:r>
      <w:r w:rsidR="00F716B4" w:rsidRPr="00AC49DC">
        <w:t xml:space="preserve"> </w:t>
      </w:r>
      <w:r w:rsidR="00F64F0D" w:rsidRPr="00AC49DC">
        <w:t>Act</w:t>
      </w:r>
      <w:r w:rsidR="00F716B4" w:rsidRPr="00AC49DC">
        <w:t xml:space="preserve"> </w:t>
      </w:r>
      <w:r w:rsidR="00F64F0D" w:rsidRPr="00AC49DC">
        <w:t>2023(</w:t>
      </w:r>
      <w:r w:rsidR="00F64F0D" w:rsidRPr="00AC49DC">
        <w:rPr>
          <w:b/>
        </w:rPr>
        <w:footnoteReference w:id="2"/>
      </w:r>
      <w:r w:rsidR="00F64F0D" w:rsidRPr="00AC49DC">
        <w:t>).</w:t>
      </w:r>
    </w:p>
    <w:p w14:paraId="7AE1CE0F" w14:textId="77777777" w:rsidR="00F64F0D" w:rsidRPr="00AC49DC" w:rsidRDefault="00F64F0D" w:rsidP="00132CB6">
      <w:pPr>
        <w:pStyle w:val="H1"/>
      </w:pPr>
      <w:r w:rsidRPr="00AC49DC">
        <w:t>Citation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interpretation</w:t>
      </w:r>
    </w:p>
    <w:p w14:paraId="43AB0D42" w14:textId="77777777" w:rsidR="00F64F0D" w:rsidRPr="00AC49DC" w:rsidRDefault="00BA4E9B" w:rsidP="00BA4E9B">
      <w:pPr>
        <w:pStyle w:val="N1"/>
      </w:pPr>
      <w:r w:rsidRPr="00AC49DC">
        <w:t>—</w:t>
      </w:r>
      <w:r w:rsidRPr="00AC49DC">
        <w:fldChar w:fldCharType="begin"/>
      </w:r>
      <w:r w:rsidRPr="00AC49DC">
        <w:instrText xml:space="preserve"> LISTNUM "SEQ1" \l 2 </w:instrText>
      </w:r>
      <w:r w:rsidRPr="00AC49DC">
        <w:fldChar w:fldCharType="end">
          <w:numberingChange w:id="0" w:author="James Chapman-Curry" w:date="2024-10-08T12:23:00Z" w:original="(1)"/>
        </w:fldChar>
      </w:r>
      <w:r w:rsidR="00F716B4" w:rsidRPr="00AC49DC">
        <w:t> </w:t>
      </w:r>
      <w:r w:rsidR="00F64F0D" w:rsidRPr="00AC49DC">
        <w:t>These</w:t>
      </w:r>
      <w:r w:rsidR="00F716B4" w:rsidRPr="00AC49DC">
        <w:t xml:space="preserve"> </w:t>
      </w:r>
      <w:r w:rsidR="00F64F0D" w:rsidRPr="00AC49DC">
        <w:t>Regulations</w:t>
      </w:r>
      <w:r w:rsidR="00F716B4" w:rsidRPr="00AC49DC">
        <w:t xml:space="preserve"> </w:t>
      </w:r>
      <w:r w:rsidR="00F64F0D" w:rsidRPr="00AC49DC">
        <w:t>may</w:t>
      </w:r>
      <w:r w:rsidR="00F716B4" w:rsidRPr="00AC49DC">
        <w:t xml:space="preserve"> </w:t>
      </w:r>
      <w:r w:rsidR="00F64F0D" w:rsidRPr="00AC49DC">
        <w:t>be</w:t>
      </w:r>
      <w:r w:rsidR="00F716B4" w:rsidRPr="00AC49DC">
        <w:t xml:space="preserve"> </w:t>
      </w:r>
      <w:r w:rsidR="00F64F0D" w:rsidRPr="00AC49DC">
        <w:t>cited</w:t>
      </w:r>
      <w:r w:rsidR="00F716B4" w:rsidRPr="00AC49DC">
        <w:t xml:space="preserve"> </w:t>
      </w:r>
      <w:r w:rsidR="00F64F0D" w:rsidRPr="00AC49DC">
        <w:t>as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Levelling-up</w:t>
      </w:r>
      <w:r w:rsidR="00F716B4" w:rsidRPr="00AC49DC">
        <w:t xml:space="preserve"> </w:t>
      </w:r>
      <w:r w:rsidR="00F64F0D" w:rsidRPr="00AC49DC">
        <w:t>and</w:t>
      </w:r>
      <w:r w:rsidR="00F716B4" w:rsidRPr="00AC49DC">
        <w:t xml:space="preserve"> </w:t>
      </w:r>
      <w:r w:rsidR="00F64F0D" w:rsidRPr="00AC49DC">
        <w:t>Regeneration</w:t>
      </w:r>
      <w:r w:rsidR="00F716B4" w:rsidRPr="00AC49DC">
        <w:t xml:space="preserve"> </w:t>
      </w:r>
      <w:r w:rsidR="00F64F0D" w:rsidRPr="00AC49DC">
        <w:t>Act</w:t>
      </w:r>
      <w:r w:rsidR="00F716B4" w:rsidRPr="00AC49DC">
        <w:t xml:space="preserve"> </w:t>
      </w:r>
      <w:r w:rsidR="00F64F0D" w:rsidRPr="00AC49DC">
        <w:t>2023</w:t>
      </w:r>
      <w:r w:rsidR="00F716B4" w:rsidRPr="00AC49DC">
        <w:t xml:space="preserve"> </w:t>
      </w:r>
      <w:r w:rsidR="00F64F0D" w:rsidRPr="00AC49DC">
        <w:t>(Commencement</w:t>
      </w:r>
      <w:r w:rsidR="00F716B4" w:rsidRPr="00AC49DC">
        <w:t xml:space="preserve"> </w:t>
      </w:r>
      <w:r w:rsidR="00F64F0D" w:rsidRPr="00AC49DC">
        <w:t>No.</w:t>
      </w:r>
      <w:r w:rsidR="00F716B4" w:rsidRPr="00AC49DC">
        <w:t xml:space="preserve"> </w:t>
      </w:r>
      <w:r w:rsidR="00F64F0D" w:rsidRPr="00AC49DC">
        <w:t>5</w:t>
      </w:r>
      <w:r w:rsidR="00F716B4" w:rsidRPr="00AC49DC">
        <w:t xml:space="preserve"> </w:t>
      </w:r>
      <w:r w:rsidR="00F64F0D" w:rsidRPr="00AC49DC">
        <w:t>and</w:t>
      </w:r>
      <w:r w:rsidR="00F716B4" w:rsidRPr="00AC49DC">
        <w:t xml:space="preserve"> </w:t>
      </w:r>
      <w:r w:rsidR="00F64F0D" w:rsidRPr="00AC49DC">
        <w:t>Transitional</w:t>
      </w:r>
      <w:r w:rsidR="00F716B4" w:rsidRPr="00AC49DC">
        <w:t xml:space="preserve"> </w:t>
      </w:r>
      <w:r w:rsidR="00F64F0D" w:rsidRPr="00AC49DC">
        <w:t>Provision)</w:t>
      </w:r>
      <w:r w:rsidR="00F716B4" w:rsidRPr="00AC49DC">
        <w:t xml:space="preserve"> </w:t>
      </w:r>
      <w:r w:rsidR="00F64F0D" w:rsidRPr="00AC49DC">
        <w:t>Regulations</w:t>
      </w:r>
      <w:r w:rsidR="00F716B4" w:rsidRPr="00AC49DC">
        <w:t xml:space="preserve"> </w:t>
      </w:r>
      <w:r w:rsidR="00F64F0D" w:rsidRPr="00AC49DC">
        <w:t>2024.</w:t>
      </w:r>
    </w:p>
    <w:p w14:paraId="142887E7" w14:textId="77777777" w:rsidR="00F716B4" w:rsidRPr="00AC49DC" w:rsidRDefault="00F64F0D" w:rsidP="00BA4E9B">
      <w:pPr>
        <w:pStyle w:val="N2"/>
      </w:pPr>
      <w:r w:rsidRPr="00AC49DC">
        <w:t>In</w:t>
      </w:r>
      <w:r w:rsidR="00F716B4" w:rsidRPr="00AC49DC">
        <w:t xml:space="preserve"> </w:t>
      </w:r>
      <w:r w:rsidRPr="00AC49DC">
        <w:t>these</w:t>
      </w:r>
      <w:r w:rsidR="00F716B4" w:rsidRPr="00AC49DC">
        <w:t xml:space="preserve"> </w:t>
      </w:r>
      <w:r w:rsidRPr="00AC49DC">
        <w:t>Regulations—</w:t>
      </w:r>
    </w:p>
    <w:p w14:paraId="71F2641C" w14:textId="77777777" w:rsidR="00F64F0D" w:rsidRPr="00AC49DC" w:rsidRDefault="00F64F0D" w:rsidP="00BA4E9B">
      <w:pPr>
        <w:pStyle w:val="DefPara"/>
      </w:pPr>
      <w:r w:rsidRPr="00AC49DC">
        <w:t>“the</w:t>
      </w:r>
      <w:r w:rsidR="00F716B4" w:rsidRPr="00AC49DC">
        <w:t xml:space="preserve"> </w:t>
      </w:r>
      <w:r w:rsidRPr="00AC49DC">
        <w:t>Act”</w:t>
      </w:r>
      <w:r w:rsidR="00F716B4" w:rsidRPr="00AC49DC">
        <w:t xml:space="preserve"> </w:t>
      </w:r>
      <w:r w:rsidRPr="00AC49DC">
        <w:t>means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Levelling-up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Regeneration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2023;</w:t>
      </w:r>
    </w:p>
    <w:p w14:paraId="7AF7730A" w14:textId="77777777" w:rsidR="00F64F0D" w:rsidRPr="00AC49DC" w:rsidRDefault="00F64F0D" w:rsidP="00BA4E9B">
      <w:pPr>
        <w:pStyle w:val="DefPara"/>
      </w:pPr>
      <w:r w:rsidRPr="00AC49DC">
        <w:t>“the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Act”</w:t>
      </w:r>
      <w:r w:rsidR="00F716B4" w:rsidRPr="00AC49DC">
        <w:t xml:space="preserve"> </w:t>
      </w:r>
      <w:r w:rsidRPr="00AC49DC">
        <w:t>means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2006(</w:t>
      </w:r>
      <w:r w:rsidRPr="00AC49DC">
        <w:rPr>
          <w:b/>
        </w:rPr>
        <w:footnoteReference w:id="3"/>
      </w:r>
      <w:r w:rsidRPr="00AC49DC">
        <w:t>);</w:t>
      </w:r>
    </w:p>
    <w:p w14:paraId="020543FE" w14:textId="77777777" w:rsidR="00F64F0D" w:rsidRPr="00AC49DC" w:rsidRDefault="00F64F0D" w:rsidP="00BA4E9B">
      <w:pPr>
        <w:pStyle w:val="DefPara"/>
      </w:pPr>
      <w:r w:rsidRPr="00AC49DC">
        <w:t>“the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date”</w:t>
      </w:r>
      <w:r w:rsidR="00F716B4" w:rsidRPr="00AC49DC">
        <w:t xml:space="preserve"> </w:t>
      </w:r>
      <w:r w:rsidRPr="00AC49DC">
        <w:t>means</w:t>
      </w:r>
      <w:r w:rsidR="00F716B4" w:rsidRPr="00AC49DC">
        <w:t xml:space="preserve"> </w:t>
      </w:r>
      <w:r w:rsidRPr="00AC49DC">
        <w:t>1st</w:t>
      </w:r>
      <w:r w:rsidR="00F716B4" w:rsidRPr="00AC49DC">
        <w:t xml:space="preserve"> </w:t>
      </w:r>
      <w:r w:rsidRPr="00AC49DC">
        <w:t>November</w:t>
      </w:r>
      <w:r w:rsidR="00F716B4" w:rsidRPr="00AC49DC">
        <w:t xml:space="preserve"> </w:t>
      </w:r>
      <w:r w:rsidRPr="00AC49DC">
        <w:t>2024.</w:t>
      </w:r>
    </w:p>
    <w:p w14:paraId="1F0E1668" w14:textId="77777777" w:rsidR="00F64F0D" w:rsidRPr="00AC49DC" w:rsidRDefault="00A00877" w:rsidP="00BA4E9B">
      <w:pPr>
        <w:pStyle w:val="N2"/>
      </w:pPr>
      <w:r w:rsidRPr="00AC49DC">
        <w:t>In</w:t>
      </w:r>
      <w:r w:rsidR="00F716B4" w:rsidRPr="00AC49DC">
        <w:t xml:space="preserve"> </w:t>
      </w:r>
      <w:r w:rsidRPr="00AC49DC">
        <w:t>these</w:t>
      </w:r>
      <w:r w:rsidR="00F716B4" w:rsidRPr="00AC49DC">
        <w:t xml:space="preserve"> </w:t>
      </w:r>
      <w:r w:rsidRPr="00AC49DC">
        <w:t>Regulations</w:t>
      </w:r>
      <w:r w:rsidR="00F716B4" w:rsidRPr="00AC49DC">
        <w:t xml:space="preserve"> </w:t>
      </w:r>
      <w:r w:rsidRPr="00AC49DC">
        <w:t>t</w:t>
      </w:r>
      <w:r w:rsidR="00F64F0D" w:rsidRPr="00AC49DC">
        <w:t>he</w:t>
      </w:r>
      <w:r w:rsidR="00F716B4" w:rsidRPr="00AC49DC">
        <w:t xml:space="preserve"> </w:t>
      </w:r>
      <w:r w:rsidR="00F64F0D" w:rsidRPr="00AC49DC">
        <w:t>following</w:t>
      </w:r>
      <w:r w:rsidR="00F716B4" w:rsidRPr="00AC49DC">
        <w:t xml:space="preserve"> </w:t>
      </w:r>
      <w:r w:rsidR="00F64F0D" w:rsidRPr="00AC49DC">
        <w:t>terms</w:t>
      </w:r>
      <w:r w:rsidR="00F716B4" w:rsidRPr="00AC49DC">
        <w:t xml:space="preserve"> </w:t>
      </w:r>
      <w:r w:rsidRPr="00AC49DC">
        <w:t>have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meaning</w:t>
      </w:r>
      <w:r w:rsidR="00F716B4" w:rsidRPr="00AC49DC">
        <w:t xml:space="preserve"> </w:t>
      </w:r>
      <w:r w:rsidR="00F64F0D" w:rsidRPr="00AC49DC">
        <w:t>given</w:t>
      </w:r>
      <w:r w:rsidR="00F716B4" w:rsidRPr="00AC49DC">
        <w:t xml:space="preserve"> </w:t>
      </w:r>
      <w:r w:rsidR="00F64F0D" w:rsidRPr="00AC49DC">
        <w:t>by</w:t>
      </w:r>
      <w:r w:rsidR="00F716B4" w:rsidRPr="00AC49DC">
        <w:t xml:space="preserve"> </w:t>
      </w:r>
      <w:r w:rsidR="00F64F0D" w:rsidRPr="00AC49DC">
        <w:t>section</w:t>
      </w:r>
      <w:r w:rsidR="00F716B4" w:rsidRPr="00AC49DC">
        <w:t xml:space="preserve"> </w:t>
      </w:r>
      <w:r w:rsidR="00F64F0D" w:rsidRPr="00AC49DC">
        <w:t>98</w:t>
      </w:r>
      <w:r w:rsidR="00F716B4" w:rsidRPr="00AC49DC">
        <w:t xml:space="preserve"> </w:t>
      </w:r>
      <w:r w:rsidR="00F64F0D" w:rsidRPr="00AC49DC">
        <w:t>(interpretation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Part</w:t>
      </w:r>
      <w:r w:rsidR="00F716B4" w:rsidRPr="00AC49DC">
        <w:t xml:space="preserve"> </w:t>
      </w:r>
      <w:r w:rsidR="00F64F0D" w:rsidRPr="00AC49DC">
        <w:t>3)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2006</w:t>
      </w:r>
      <w:r w:rsidR="00F716B4" w:rsidRPr="00AC49DC">
        <w:t xml:space="preserve"> </w:t>
      </w:r>
      <w:r w:rsidR="00F64F0D" w:rsidRPr="00AC49DC">
        <w:t>Act—</w:t>
      </w:r>
    </w:p>
    <w:p w14:paraId="7A7E50EC" w14:textId="77777777" w:rsidR="00F64F0D" w:rsidRPr="00AC49DC" w:rsidRDefault="00F64F0D" w:rsidP="00BA4E9B">
      <w:pPr>
        <w:pStyle w:val="N3"/>
      </w:pPr>
      <w:r w:rsidRPr="00AC49DC">
        <w:t>“the</w:t>
      </w:r>
      <w:r w:rsidR="00F716B4" w:rsidRPr="00AC49DC">
        <w:t xml:space="preserve"> </w:t>
      </w:r>
      <w:r w:rsidRPr="00AC49DC">
        <w:t>Chief</w:t>
      </w:r>
      <w:r w:rsidR="00F716B4" w:rsidRPr="00AC49DC">
        <w:t xml:space="preserve"> </w:t>
      </w:r>
      <w:r w:rsidRPr="00AC49DC">
        <w:t>Inspector”</w:t>
      </w:r>
      <w:r w:rsidR="001624D8" w:rsidRPr="00AC49DC">
        <w:t>(</w:t>
      </w:r>
      <w:r w:rsidR="001624D8" w:rsidRPr="00AC49DC">
        <w:rPr>
          <w:rStyle w:val="FootnoteReference"/>
        </w:rPr>
        <w:footnoteReference w:id="4"/>
      </w:r>
      <w:r w:rsidR="001624D8" w:rsidRPr="00AC49DC">
        <w:t>)</w:t>
      </w:r>
      <w:r w:rsidRPr="00AC49DC">
        <w:t>;</w:t>
      </w:r>
    </w:p>
    <w:p w14:paraId="5AF366F8" w14:textId="77777777" w:rsidR="00F64F0D" w:rsidRPr="00AC49DC" w:rsidRDefault="00F64F0D" w:rsidP="00BA4E9B">
      <w:pPr>
        <w:pStyle w:val="N3"/>
      </w:pPr>
      <w:r w:rsidRPr="00AC49DC">
        <w:t>“childcare”;</w:t>
      </w:r>
    </w:p>
    <w:p w14:paraId="46C20E09" w14:textId="77777777" w:rsidR="00F64F0D" w:rsidRPr="00AC49DC" w:rsidRDefault="00F64F0D" w:rsidP="00BA4E9B">
      <w:pPr>
        <w:pStyle w:val="N3"/>
      </w:pPr>
      <w:r w:rsidRPr="00AC49DC">
        <w:t>“childminder</w:t>
      </w:r>
      <w:r w:rsidR="00F716B4" w:rsidRPr="00AC49DC">
        <w:t xml:space="preserve"> </w:t>
      </w:r>
      <w:r w:rsidRPr="00AC49DC">
        <w:t>agency</w:t>
      </w:r>
      <w:r w:rsidR="001624D8" w:rsidRPr="00AC49DC">
        <w:t>”(</w:t>
      </w:r>
      <w:r w:rsidR="001624D8" w:rsidRPr="00AC49DC">
        <w:rPr>
          <w:rStyle w:val="FootnoteReference"/>
        </w:rPr>
        <w:footnoteReference w:id="5"/>
      </w:r>
      <w:r w:rsidR="001624D8" w:rsidRPr="00AC49DC">
        <w:t>)</w:t>
      </w:r>
      <w:r w:rsidRPr="00AC49DC">
        <w:t>;</w:t>
      </w:r>
    </w:p>
    <w:p w14:paraId="1DA15639" w14:textId="77777777" w:rsidR="00F64F0D" w:rsidRPr="00AC49DC" w:rsidRDefault="00F64F0D" w:rsidP="00BA4E9B">
      <w:pPr>
        <w:pStyle w:val="N3"/>
      </w:pPr>
      <w:r w:rsidRPr="00AC49DC">
        <w:t>“domestic</w:t>
      </w:r>
      <w:r w:rsidR="00F716B4" w:rsidRPr="00AC49DC">
        <w:t xml:space="preserve"> </w:t>
      </w:r>
      <w:r w:rsidRPr="00AC49DC">
        <w:t>premises”;</w:t>
      </w:r>
    </w:p>
    <w:p w14:paraId="51759236" w14:textId="77777777" w:rsidR="00F64F0D" w:rsidRPr="00AC49DC" w:rsidRDefault="00F64F0D" w:rsidP="00BA4E9B">
      <w:pPr>
        <w:pStyle w:val="N3"/>
      </w:pPr>
      <w:r w:rsidRPr="00AC49DC">
        <w:t>“early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childminder”</w:t>
      </w:r>
      <w:r w:rsidR="001624D8" w:rsidRPr="00AC49DC">
        <w:t>;</w:t>
      </w:r>
    </w:p>
    <w:p w14:paraId="267702BA" w14:textId="77777777" w:rsidR="00F64F0D" w:rsidRPr="00AC49DC" w:rsidRDefault="00F64F0D" w:rsidP="00BA4E9B">
      <w:pPr>
        <w:pStyle w:val="N3"/>
      </w:pPr>
      <w:r w:rsidRPr="00AC49DC">
        <w:t>“early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childminder</w:t>
      </w:r>
      <w:r w:rsidR="00F716B4" w:rsidRPr="00AC49DC">
        <w:t xml:space="preserve"> </w:t>
      </w:r>
      <w:r w:rsidRPr="00AC49DC">
        <w:t>agency</w:t>
      </w:r>
      <w:r w:rsidR="001624D8" w:rsidRPr="00AC49DC">
        <w:t>(</w:t>
      </w:r>
      <w:r w:rsidR="001624D8" w:rsidRPr="00AC49DC">
        <w:rPr>
          <w:rStyle w:val="FootnoteReference"/>
        </w:rPr>
        <w:footnoteReference w:id="6"/>
      </w:r>
      <w:r w:rsidR="001624D8" w:rsidRPr="00AC49DC">
        <w:t>)</w:t>
      </w:r>
      <w:r w:rsidRPr="00AC49DC">
        <w:t>”;</w:t>
      </w:r>
    </w:p>
    <w:p w14:paraId="3EB05CA2" w14:textId="77777777" w:rsidR="00F64F0D" w:rsidRPr="00AC49DC" w:rsidRDefault="00F64F0D" w:rsidP="00BA4E9B">
      <w:pPr>
        <w:pStyle w:val="N3"/>
      </w:pPr>
      <w:r w:rsidRPr="00AC49DC">
        <w:t>“early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childminding”;</w:t>
      </w:r>
    </w:p>
    <w:p w14:paraId="0EDE7C22" w14:textId="77777777" w:rsidR="00F64F0D" w:rsidRPr="00AC49DC" w:rsidRDefault="00F64F0D" w:rsidP="00BA4E9B">
      <w:pPr>
        <w:pStyle w:val="N3"/>
      </w:pPr>
      <w:r w:rsidRPr="00AC49DC">
        <w:t>“early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provider”;</w:t>
      </w:r>
    </w:p>
    <w:p w14:paraId="084CF08F" w14:textId="77777777" w:rsidR="00F64F0D" w:rsidRPr="00AC49DC" w:rsidRDefault="00F64F0D" w:rsidP="00BA4E9B">
      <w:pPr>
        <w:pStyle w:val="N3"/>
      </w:pPr>
      <w:r w:rsidRPr="00AC49DC">
        <w:t>“early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provision”;</w:t>
      </w:r>
    </w:p>
    <w:p w14:paraId="0AB54703" w14:textId="77777777" w:rsidR="00F64F0D" w:rsidRPr="00AC49DC" w:rsidRDefault="00F64F0D" w:rsidP="00BA4E9B">
      <w:pPr>
        <w:pStyle w:val="N3"/>
      </w:pPr>
      <w:r w:rsidRPr="00AC49DC">
        <w:t>“later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childminder”;</w:t>
      </w:r>
    </w:p>
    <w:p w14:paraId="6772063E" w14:textId="77777777" w:rsidR="00F64F0D" w:rsidRPr="00AC49DC" w:rsidRDefault="00F64F0D" w:rsidP="00BA4E9B">
      <w:pPr>
        <w:pStyle w:val="N3"/>
      </w:pPr>
      <w:r w:rsidRPr="00AC49DC">
        <w:t>“later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childminder</w:t>
      </w:r>
      <w:r w:rsidR="00F716B4" w:rsidRPr="00AC49DC">
        <w:t xml:space="preserve"> </w:t>
      </w:r>
      <w:r w:rsidRPr="00AC49DC">
        <w:t>agency</w:t>
      </w:r>
      <w:r w:rsidR="001624D8" w:rsidRPr="00AC49DC">
        <w:t>(</w:t>
      </w:r>
      <w:r w:rsidR="001624D8" w:rsidRPr="00AC49DC">
        <w:rPr>
          <w:rStyle w:val="FootnoteReference"/>
        </w:rPr>
        <w:footnoteReference w:id="7"/>
      </w:r>
      <w:r w:rsidR="001624D8" w:rsidRPr="00AC49DC">
        <w:t>)</w:t>
      </w:r>
      <w:r w:rsidRPr="00AC49DC">
        <w:t>”;</w:t>
      </w:r>
    </w:p>
    <w:p w14:paraId="1C6675A8" w14:textId="77777777" w:rsidR="00F64F0D" w:rsidRPr="00AC49DC" w:rsidRDefault="00F64F0D" w:rsidP="00BA4E9B">
      <w:pPr>
        <w:pStyle w:val="N3"/>
      </w:pPr>
      <w:r w:rsidRPr="00AC49DC">
        <w:t>“later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childminding”;</w:t>
      </w:r>
    </w:p>
    <w:p w14:paraId="21BC6E8C" w14:textId="77777777" w:rsidR="00F64F0D" w:rsidRPr="00AC49DC" w:rsidRDefault="00F64F0D" w:rsidP="00BA4E9B">
      <w:pPr>
        <w:pStyle w:val="N3"/>
      </w:pPr>
      <w:r w:rsidRPr="00AC49DC">
        <w:lastRenderedPageBreak/>
        <w:t>“later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provider”;</w:t>
      </w:r>
    </w:p>
    <w:p w14:paraId="54E9B365" w14:textId="77777777" w:rsidR="00F64F0D" w:rsidRPr="00AC49DC" w:rsidRDefault="00F64F0D" w:rsidP="00BA4E9B">
      <w:pPr>
        <w:pStyle w:val="N3"/>
      </w:pPr>
      <w:r w:rsidRPr="00AC49DC">
        <w:t>“later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provision”.</w:t>
      </w:r>
    </w:p>
    <w:p w14:paraId="24940EEC" w14:textId="77777777" w:rsidR="00F64F0D" w:rsidRPr="00AC49DC" w:rsidRDefault="00A00877" w:rsidP="00BA4E9B">
      <w:pPr>
        <w:pStyle w:val="N2"/>
      </w:pPr>
      <w:r w:rsidRPr="00AC49DC">
        <w:t>In</w:t>
      </w:r>
      <w:r w:rsidR="00F716B4" w:rsidRPr="00AC49DC">
        <w:t xml:space="preserve"> </w:t>
      </w:r>
      <w:r w:rsidRPr="00AC49DC">
        <w:t>these</w:t>
      </w:r>
      <w:r w:rsidR="00F716B4" w:rsidRPr="00AC49DC">
        <w:t xml:space="preserve"> </w:t>
      </w:r>
      <w:r w:rsidRPr="00AC49DC">
        <w:t>Regulations,</w:t>
      </w:r>
      <w:r w:rsidR="00F716B4" w:rsidRPr="00AC49DC">
        <w:t xml:space="preserve"> </w:t>
      </w:r>
      <w:r w:rsidRPr="00AC49DC">
        <w:t>t</w:t>
      </w:r>
      <w:r w:rsidR="00F64F0D" w:rsidRPr="00AC49DC">
        <w:t>he</w:t>
      </w:r>
      <w:r w:rsidR="00F716B4" w:rsidRPr="00AC49DC">
        <w:t xml:space="preserve"> </w:t>
      </w:r>
      <w:r w:rsidR="00F64F0D" w:rsidRPr="00AC49DC">
        <w:t>following</w:t>
      </w:r>
      <w:r w:rsidR="00F716B4" w:rsidRPr="00AC49DC">
        <w:t xml:space="preserve"> </w:t>
      </w:r>
      <w:r w:rsidR="00F64F0D" w:rsidRPr="00AC49DC">
        <w:t>terms</w:t>
      </w:r>
      <w:r w:rsidR="00F716B4" w:rsidRPr="00AC49DC">
        <w:t xml:space="preserve"> </w:t>
      </w:r>
      <w:r w:rsidR="00F64F0D" w:rsidRPr="00AC49DC">
        <w:t>are</w:t>
      </w:r>
      <w:r w:rsidR="00F716B4" w:rsidRPr="00AC49DC">
        <w:t xml:space="preserve"> </w:t>
      </w:r>
      <w:r w:rsidR="00F64F0D" w:rsidRPr="00AC49DC">
        <w:t>to</w:t>
      </w:r>
      <w:r w:rsidR="00F716B4" w:rsidRPr="00AC49DC">
        <w:t xml:space="preserve"> </w:t>
      </w:r>
      <w:r w:rsidR="00F64F0D" w:rsidRPr="00AC49DC">
        <w:t>be</w:t>
      </w:r>
      <w:r w:rsidR="00F716B4" w:rsidRPr="00AC49DC">
        <w:t xml:space="preserve"> </w:t>
      </w:r>
      <w:r w:rsidR="00F64F0D" w:rsidRPr="00AC49DC">
        <w:t>construed</w:t>
      </w:r>
      <w:r w:rsidR="00F716B4" w:rsidRPr="00AC49DC">
        <w:t xml:space="preserve"> </w:t>
      </w:r>
      <w:r w:rsidR="00F64F0D" w:rsidRPr="00AC49DC">
        <w:t>in</w:t>
      </w:r>
      <w:r w:rsidR="00F716B4" w:rsidRPr="00AC49DC">
        <w:t xml:space="preserve"> </w:t>
      </w:r>
      <w:r w:rsidR="00F64F0D" w:rsidRPr="00AC49DC">
        <w:t>accordance</w:t>
      </w:r>
      <w:r w:rsidR="00F716B4" w:rsidRPr="00AC49DC">
        <w:t xml:space="preserve"> </w:t>
      </w:r>
      <w:r w:rsidR="00F64F0D" w:rsidRPr="00AC49DC">
        <w:t>with</w:t>
      </w:r>
      <w:r w:rsidR="00F716B4" w:rsidRPr="00AC49DC">
        <w:t xml:space="preserve"> </w:t>
      </w:r>
      <w:r w:rsidR="00F64F0D" w:rsidRPr="00AC49DC">
        <w:t>section</w:t>
      </w:r>
      <w:r w:rsidR="00F716B4" w:rsidRPr="00AC49DC">
        <w:t xml:space="preserve"> </w:t>
      </w:r>
      <w:r w:rsidR="00F64F0D" w:rsidRPr="00AC49DC">
        <w:t>32</w:t>
      </w:r>
      <w:r w:rsidR="00294562" w:rsidRPr="00AC49DC">
        <w:t>(</w:t>
      </w:r>
      <w:r w:rsidR="00294562" w:rsidRPr="00AC49DC">
        <w:rPr>
          <w:rStyle w:val="FootnoteReference"/>
        </w:rPr>
        <w:footnoteReference w:id="8"/>
      </w:r>
      <w:r w:rsidR="00294562" w:rsidRPr="00AC49DC">
        <w:t>)</w:t>
      </w:r>
      <w:r w:rsidR="00F716B4" w:rsidRPr="00AC49DC">
        <w:t xml:space="preserve"> </w:t>
      </w:r>
      <w:r w:rsidR="00F64F0D" w:rsidRPr="00AC49DC">
        <w:t>(maintenance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two</w:t>
      </w:r>
      <w:r w:rsidR="00F716B4" w:rsidRPr="00AC49DC">
        <w:t xml:space="preserve"> </w:t>
      </w:r>
      <w:r w:rsidR="00F64F0D" w:rsidRPr="00AC49DC">
        <w:t>childcare</w:t>
      </w:r>
      <w:r w:rsidR="00F716B4" w:rsidRPr="00AC49DC">
        <w:t xml:space="preserve"> </w:t>
      </w:r>
      <w:r w:rsidR="00F64F0D" w:rsidRPr="00AC49DC">
        <w:t>registers)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2006</w:t>
      </w:r>
      <w:r w:rsidR="00F716B4" w:rsidRPr="00AC49DC">
        <w:t xml:space="preserve"> </w:t>
      </w:r>
      <w:r w:rsidR="00F64F0D" w:rsidRPr="00AC49DC">
        <w:t>Act—</w:t>
      </w:r>
    </w:p>
    <w:p w14:paraId="5F0D366B" w14:textId="77777777" w:rsidR="00F64F0D" w:rsidRPr="00AC49DC" w:rsidRDefault="00F64F0D" w:rsidP="00BA4E9B">
      <w:pPr>
        <w:pStyle w:val="N3"/>
      </w:pPr>
      <w:r w:rsidRPr="00AC49DC">
        <w:t>“the</w:t>
      </w:r>
      <w:r w:rsidR="00F716B4" w:rsidRPr="00AC49DC">
        <w:t xml:space="preserve"> </w:t>
      </w:r>
      <w:r w:rsidRPr="00AC49DC">
        <w:t>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register”;</w:t>
      </w:r>
    </w:p>
    <w:p w14:paraId="18ED9A0A" w14:textId="77777777" w:rsidR="00F64F0D" w:rsidRPr="00AC49DC" w:rsidRDefault="00F64F0D" w:rsidP="00BA4E9B">
      <w:pPr>
        <w:pStyle w:val="N3"/>
      </w:pPr>
      <w:r w:rsidRPr="00AC49DC">
        <w:t>“Part</w:t>
      </w:r>
      <w:r w:rsidR="00F716B4" w:rsidRPr="00AC49DC">
        <w:t xml:space="preserve"> </w:t>
      </w:r>
      <w:r w:rsidRPr="00AC49DC">
        <w:t>A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general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register”;</w:t>
      </w:r>
    </w:p>
    <w:p w14:paraId="6E3B2C13" w14:textId="77777777" w:rsidR="00F64F0D" w:rsidRPr="00AC49DC" w:rsidRDefault="00F64F0D" w:rsidP="00BA4E9B">
      <w:pPr>
        <w:pStyle w:val="N3"/>
      </w:pPr>
      <w:r w:rsidRPr="00AC49DC">
        <w:t>“Part</w:t>
      </w:r>
      <w:r w:rsidR="00F716B4" w:rsidRPr="00AC49DC">
        <w:t xml:space="preserve"> </w:t>
      </w:r>
      <w:r w:rsidRPr="00AC49DC">
        <w:t>B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general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register”.</w:t>
      </w:r>
    </w:p>
    <w:p w14:paraId="6F16C8D0" w14:textId="77777777" w:rsidR="00F64F0D" w:rsidRPr="00AC49DC" w:rsidRDefault="00F64F0D" w:rsidP="00A00877">
      <w:pPr>
        <w:pStyle w:val="H1"/>
      </w:pPr>
      <w:r w:rsidRPr="00AC49DC">
        <w:t>Provisions</w:t>
      </w:r>
      <w:r w:rsidR="00F716B4" w:rsidRPr="00AC49DC">
        <w:t xml:space="preserve"> </w:t>
      </w:r>
      <w:r w:rsidRPr="00AC49DC">
        <w:t>coming</w:t>
      </w:r>
      <w:r w:rsidR="00F716B4" w:rsidRPr="00AC49DC">
        <w:t xml:space="preserve"> </w:t>
      </w:r>
      <w:r w:rsidRPr="00AC49DC">
        <w:t>into</w:t>
      </w:r>
      <w:r w:rsidR="00F716B4" w:rsidRPr="00AC49DC">
        <w:t xml:space="preserve"> </w:t>
      </w:r>
      <w:r w:rsidRPr="00AC49DC">
        <w:t>force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date</w:t>
      </w:r>
    </w:p>
    <w:p w14:paraId="5822D3C3" w14:textId="77777777" w:rsidR="00F64F0D" w:rsidRPr="00AC49DC" w:rsidRDefault="00F716B4" w:rsidP="00BA4E9B">
      <w:pPr>
        <w:pStyle w:val="N1"/>
      </w:pPr>
      <w:r w:rsidRPr="00AC49DC">
        <w:t> </w:t>
      </w:r>
      <w:r w:rsidR="00F64F0D" w:rsidRPr="00AC49DC">
        <w:t>The</w:t>
      </w:r>
      <w:r w:rsidRPr="00AC49DC">
        <w:t xml:space="preserve"> </w:t>
      </w:r>
      <w:r w:rsidR="00F64F0D" w:rsidRPr="00AC49DC">
        <w:t>following</w:t>
      </w:r>
      <w:r w:rsidRPr="00AC49DC">
        <w:t xml:space="preserve"> </w:t>
      </w:r>
      <w:r w:rsidR="00F64F0D" w:rsidRPr="00AC49DC">
        <w:t>provisions</w:t>
      </w:r>
      <w:r w:rsidRPr="00AC49DC">
        <w:t xml:space="preserve"> </w:t>
      </w:r>
      <w:r w:rsidR="00F64F0D" w:rsidRPr="00AC49DC">
        <w:t>of</w:t>
      </w:r>
      <w:r w:rsidRPr="00AC49DC">
        <w:t xml:space="preserve"> </w:t>
      </w:r>
      <w:r w:rsidR="00F64F0D" w:rsidRPr="00AC49DC">
        <w:t>the</w:t>
      </w:r>
      <w:r w:rsidRPr="00AC49DC">
        <w:t xml:space="preserve"> </w:t>
      </w:r>
      <w:r w:rsidR="00F64F0D" w:rsidRPr="00AC49DC">
        <w:t>Act</w:t>
      </w:r>
      <w:r w:rsidRPr="00AC49DC">
        <w:t xml:space="preserve"> </w:t>
      </w:r>
      <w:r w:rsidR="00F64F0D" w:rsidRPr="00AC49DC">
        <w:t>come</w:t>
      </w:r>
      <w:r w:rsidRPr="00AC49DC">
        <w:t xml:space="preserve"> </w:t>
      </w:r>
      <w:r w:rsidR="00F64F0D" w:rsidRPr="00AC49DC">
        <w:t>into</w:t>
      </w:r>
      <w:r w:rsidRPr="00AC49DC">
        <w:t xml:space="preserve"> </w:t>
      </w:r>
      <w:r w:rsidR="00F64F0D" w:rsidRPr="00AC49DC">
        <w:t>force</w:t>
      </w:r>
      <w:r w:rsidRPr="00AC49DC">
        <w:t xml:space="preserve"> </w:t>
      </w:r>
      <w:r w:rsidR="00F64F0D" w:rsidRPr="00AC49DC">
        <w:t>on</w:t>
      </w:r>
      <w:r w:rsidRPr="00AC49DC">
        <w:t xml:space="preserve"> </w:t>
      </w:r>
      <w:r w:rsidR="00F64F0D" w:rsidRPr="00AC49DC">
        <w:t>the</w:t>
      </w:r>
      <w:r w:rsidRPr="00AC49DC">
        <w:t xml:space="preserve"> </w:t>
      </w:r>
      <w:r w:rsidR="00F64F0D" w:rsidRPr="00AC49DC">
        <w:t>commencement</w:t>
      </w:r>
      <w:r w:rsidRPr="00AC49DC">
        <w:t xml:space="preserve"> </w:t>
      </w:r>
      <w:r w:rsidR="00F64F0D" w:rsidRPr="00AC49DC">
        <w:t>date—</w:t>
      </w:r>
    </w:p>
    <w:p w14:paraId="4B22D7F3" w14:textId="77777777" w:rsidR="00F64F0D" w:rsidRPr="00AC49DC" w:rsidRDefault="00F64F0D" w:rsidP="00BA4E9B">
      <w:pPr>
        <w:pStyle w:val="N3"/>
      </w:pPr>
      <w:r w:rsidRPr="00AC49DC">
        <w:t>section</w:t>
      </w:r>
      <w:r w:rsidR="00F716B4" w:rsidRPr="00AC49DC">
        <w:t xml:space="preserve"> </w:t>
      </w:r>
      <w:r w:rsidRPr="00AC49DC">
        <w:t>237</w:t>
      </w:r>
      <w:r w:rsidR="00F716B4" w:rsidRPr="00AC49DC">
        <w:t xml:space="preserve"> </w:t>
      </w:r>
      <w:r w:rsidRPr="00AC49DC">
        <w:t>(childcare:</w:t>
      </w:r>
      <w:r w:rsidR="00F716B4" w:rsidRPr="00AC49DC">
        <w:t xml:space="preserve"> </w:t>
      </w:r>
      <w:r w:rsidRPr="00AC49DC">
        <w:t>use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premises)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Schedule</w:t>
      </w:r>
      <w:r w:rsidR="00F716B4" w:rsidRPr="00AC49DC">
        <w:t xml:space="preserve"> </w:t>
      </w:r>
      <w:r w:rsidRPr="00AC49DC">
        <w:t>23</w:t>
      </w:r>
      <w:r w:rsidR="00F716B4" w:rsidRPr="00AC49DC">
        <w:t xml:space="preserve"> </w:t>
      </w:r>
      <w:r w:rsidRPr="00AC49DC">
        <w:t>(use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childcare:</w:t>
      </w:r>
      <w:r w:rsidR="00F716B4" w:rsidRPr="00AC49DC">
        <w:t xml:space="preserve"> </w:t>
      </w:r>
      <w:r w:rsidRPr="00AC49DC">
        <w:t>registration);</w:t>
      </w:r>
      <w:r w:rsidR="00F716B4" w:rsidRPr="00AC49DC">
        <w:t xml:space="preserve"> </w:t>
      </w:r>
      <w:r w:rsidR="005B3029" w:rsidRPr="00AC49DC">
        <w:t>and</w:t>
      </w:r>
    </w:p>
    <w:p w14:paraId="12C365A3" w14:textId="77777777" w:rsidR="00F64F0D" w:rsidRPr="00AC49DC" w:rsidRDefault="00F64F0D" w:rsidP="00BA4E9B">
      <w:pPr>
        <w:pStyle w:val="N3"/>
      </w:pPr>
      <w:r w:rsidRPr="00AC49DC">
        <w:t>section</w:t>
      </w:r>
      <w:r w:rsidR="00F716B4" w:rsidRPr="00AC49DC">
        <w:t xml:space="preserve"> </w:t>
      </w:r>
      <w:r w:rsidRPr="00AC49DC">
        <w:t>238</w:t>
      </w:r>
      <w:r w:rsidR="00F716B4" w:rsidRPr="00AC49DC">
        <w:t xml:space="preserve"> </w:t>
      </w:r>
      <w:r w:rsidRPr="00AC49DC">
        <w:t>(childcare:</w:t>
      </w:r>
      <w:r w:rsidR="00F716B4" w:rsidRPr="00AC49DC">
        <w:t xml:space="preserve"> </w:t>
      </w:r>
      <w:r w:rsidRPr="00AC49DC">
        <w:t>number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providers).</w:t>
      </w:r>
    </w:p>
    <w:p w14:paraId="6D1EE851" w14:textId="77777777" w:rsidR="00F64F0D" w:rsidRPr="00AC49DC" w:rsidRDefault="00F64F0D" w:rsidP="00BA4E9B">
      <w:pPr>
        <w:pStyle w:val="H1"/>
      </w:pPr>
      <w:r w:rsidRPr="00AC49DC">
        <w:t>Schedules</w:t>
      </w:r>
      <w:r w:rsidR="00F716B4" w:rsidRPr="00AC49DC">
        <w:t xml:space="preserve"> </w:t>
      </w:r>
      <w:r w:rsidRPr="00AC49DC">
        <w:t>–</w:t>
      </w:r>
      <w:r w:rsidR="00F716B4" w:rsidRPr="00AC49DC">
        <w:t xml:space="preserve"> </w:t>
      </w:r>
      <w:r w:rsidRPr="00AC49DC">
        <w:t>transitional</w:t>
      </w:r>
      <w:r w:rsidR="00F716B4" w:rsidRPr="00AC49DC">
        <w:t xml:space="preserve"> </w:t>
      </w:r>
      <w:r w:rsidRPr="00AC49DC">
        <w:t>provision</w:t>
      </w:r>
    </w:p>
    <w:p w14:paraId="55C35DEA" w14:textId="77777777" w:rsidR="00F64F0D" w:rsidRPr="00AC49DC" w:rsidRDefault="00F716B4" w:rsidP="00BA4E9B">
      <w:pPr>
        <w:pStyle w:val="N1"/>
      </w:pPr>
      <w:r w:rsidRPr="00AC49DC">
        <w:t> </w:t>
      </w:r>
      <w:r w:rsidR="00F64F0D" w:rsidRPr="00AC49DC">
        <w:t>The</w:t>
      </w:r>
      <w:r w:rsidRPr="00AC49DC">
        <w:t xml:space="preserve"> </w:t>
      </w:r>
      <w:r w:rsidR="00F64F0D" w:rsidRPr="00AC49DC">
        <w:t>following</w:t>
      </w:r>
      <w:r w:rsidRPr="00AC49DC">
        <w:t xml:space="preserve"> </w:t>
      </w:r>
      <w:r w:rsidR="00F64F0D" w:rsidRPr="00AC49DC">
        <w:t>Schedules</w:t>
      </w:r>
      <w:r w:rsidRPr="00AC49DC">
        <w:t xml:space="preserve"> </w:t>
      </w:r>
      <w:r w:rsidR="00AE7767" w:rsidRPr="00AC49DC">
        <w:t>to</w:t>
      </w:r>
      <w:r w:rsidRPr="00AC49DC">
        <w:t xml:space="preserve"> </w:t>
      </w:r>
      <w:r w:rsidR="00AE7767" w:rsidRPr="00AC49DC">
        <w:t>these</w:t>
      </w:r>
      <w:r w:rsidRPr="00AC49DC">
        <w:t xml:space="preserve"> </w:t>
      </w:r>
      <w:r w:rsidR="00AE7767" w:rsidRPr="00AC49DC">
        <w:t>Regulations</w:t>
      </w:r>
      <w:r w:rsidRPr="00AC49DC">
        <w:t xml:space="preserve"> </w:t>
      </w:r>
      <w:r w:rsidR="00F64F0D" w:rsidRPr="00AC49DC">
        <w:t>have</w:t>
      </w:r>
      <w:r w:rsidRPr="00AC49DC">
        <w:t xml:space="preserve"> </w:t>
      </w:r>
      <w:r w:rsidR="00F64F0D" w:rsidRPr="00AC49DC">
        <w:t>effect—</w:t>
      </w:r>
    </w:p>
    <w:p w14:paraId="42F6C8D4" w14:textId="77777777" w:rsidR="00F64F0D" w:rsidRPr="00AC49DC" w:rsidRDefault="00F64F0D" w:rsidP="00BA4E9B">
      <w:pPr>
        <w:pStyle w:val="N3"/>
      </w:pPr>
      <w:r w:rsidRPr="00AC49DC">
        <w:t>Schedule</w:t>
      </w:r>
      <w:r w:rsidR="00F716B4" w:rsidRPr="00AC49DC">
        <w:t xml:space="preserve"> </w:t>
      </w:r>
      <w:r w:rsidRPr="00AC49DC">
        <w:t>1</w:t>
      </w:r>
      <w:r w:rsidR="00F716B4" w:rsidRPr="00AC49DC">
        <w:t xml:space="preserve"> </w:t>
      </w:r>
      <w:r w:rsidRPr="00AC49DC">
        <w:t>(transitional</w:t>
      </w:r>
      <w:r w:rsidR="00F716B4" w:rsidRPr="00AC49DC">
        <w:t xml:space="preserve"> </w:t>
      </w:r>
      <w:r w:rsidRPr="00AC49DC">
        <w:t>provision:</w:t>
      </w:r>
      <w:r w:rsidR="00F716B4" w:rsidRPr="00AC49DC">
        <w:t xml:space="preserve"> </w:t>
      </w:r>
      <w:r w:rsidRPr="00AC49DC">
        <w:t>persons</w:t>
      </w:r>
      <w:r w:rsidR="00F716B4" w:rsidRPr="00AC49DC">
        <w:t xml:space="preserve"> </w:t>
      </w:r>
      <w:r w:rsidRPr="00AC49DC">
        <w:t>who</w:t>
      </w:r>
      <w:r w:rsidR="00F716B4" w:rsidRPr="00AC49DC">
        <w:t xml:space="preserve"> </w:t>
      </w:r>
      <w:r w:rsidRPr="00AC49DC">
        <w:t>may</w:t>
      </w:r>
      <w:r w:rsidR="00F716B4" w:rsidRPr="00AC49DC">
        <w:t xml:space="preserve"> </w:t>
      </w:r>
      <w:r w:rsidRPr="00AC49DC">
        <w:t>only</w:t>
      </w:r>
      <w:r w:rsidR="00F716B4" w:rsidRPr="00AC49DC">
        <w:t xml:space="preserve"> </w:t>
      </w:r>
      <w:r w:rsidRPr="00AC49DC">
        <w:t>provide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</w:t>
      </w:r>
      <w:r w:rsidR="00F716B4" w:rsidRPr="00AC49DC">
        <w:t xml:space="preserve"> </w:t>
      </w:r>
      <w:r w:rsidRPr="00AC49DC">
        <w:t>other</w:t>
      </w:r>
      <w:r w:rsidR="00F716B4" w:rsidRPr="00AC49DC">
        <w:t xml:space="preserve"> </w:t>
      </w:r>
      <w:r w:rsidRPr="00AC49DC">
        <w:t>than</w:t>
      </w:r>
      <w:r w:rsidR="00F716B4" w:rsidRPr="00AC49DC">
        <w:t xml:space="preserve"> </w:t>
      </w:r>
      <w:r w:rsidRPr="00AC49DC">
        <w:t>childminders</w:t>
      </w:r>
      <w:r w:rsidR="00F716B4" w:rsidRPr="00AC49DC">
        <w:t xml:space="preserve"> </w:t>
      </w:r>
      <w:r w:rsidRPr="00AC49DC">
        <w:t>without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premises);</w:t>
      </w:r>
    </w:p>
    <w:p w14:paraId="1083394C" w14:textId="77777777" w:rsidR="00F64F0D" w:rsidRPr="00AC49DC" w:rsidRDefault="00F64F0D" w:rsidP="00BA4E9B">
      <w:pPr>
        <w:pStyle w:val="N3"/>
      </w:pPr>
      <w:r w:rsidRPr="00AC49DC">
        <w:t>Schedule</w:t>
      </w:r>
      <w:r w:rsidR="00F716B4" w:rsidRPr="00AC49DC">
        <w:t xml:space="preserve"> </w:t>
      </w:r>
      <w:r w:rsidRPr="00AC49DC">
        <w:t>2</w:t>
      </w:r>
      <w:r w:rsidR="00F716B4" w:rsidRPr="00AC49DC">
        <w:t xml:space="preserve"> </w:t>
      </w:r>
      <w:r w:rsidRPr="00AC49DC">
        <w:t>(</w:t>
      </w:r>
      <w:bookmarkStart w:id="1" w:name="_Hlk178817866"/>
      <w:r w:rsidRPr="00AC49DC">
        <w:t>transitional</w:t>
      </w:r>
      <w:r w:rsidR="00F716B4" w:rsidRPr="00AC49DC">
        <w:t xml:space="preserve"> </w:t>
      </w:r>
      <w:r w:rsidRPr="00AC49DC">
        <w:t>provision:</w:t>
      </w:r>
      <w:r w:rsidR="00F716B4" w:rsidRPr="00AC49DC">
        <w:t xml:space="preserve"> </w:t>
      </w:r>
      <w:r w:rsidRPr="00AC49DC">
        <w:t>persons</w:t>
      </w:r>
      <w:r w:rsidR="00F716B4" w:rsidRPr="00AC49DC">
        <w:t xml:space="preserve"> </w:t>
      </w:r>
      <w:r w:rsidRPr="00AC49DC">
        <w:t>providing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</w:t>
      </w:r>
      <w:r w:rsidR="00F716B4" w:rsidRPr="00AC49DC">
        <w:t xml:space="preserve"> </w:t>
      </w:r>
      <w:r w:rsidRPr="00AC49DC">
        <w:t>other</w:t>
      </w:r>
      <w:r w:rsidR="00F716B4" w:rsidRPr="00AC49DC">
        <w:t xml:space="preserve"> </w:t>
      </w:r>
      <w:r w:rsidRPr="00AC49DC">
        <w:t>than</w:t>
      </w:r>
      <w:r w:rsidR="00F716B4" w:rsidRPr="00AC49DC">
        <w:t xml:space="preserve"> </w:t>
      </w:r>
      <w:r w:rsidRPr="00AC49DC">
        <w:t>childminders)</w:t>
      </w:r>
      <w:bookmarkEnd w:id="1"/>
      <w:r w:rsidRPr="00AC49DC">
        <w:t>;</w:t>
      </w:r>
      <w:r w:rsidR="00F716B4" w:rsidRPr="00AC49DC">
        <w:t xml:space="preserve"> </w:t>
      </w:r>
      <w:r w:rsidRPr="00AC49DC">
        <w:t>and</w:t>
      </w:r>
    </w:p>
    <w:p w14:paraId="1539C8A4" w14:textId="77777777" w:rsidR="00F64F0D" w:rsidRPr="00AC49DC" w:rsidRDefault="00F64F0D" w:rsidP="00BA4E9B">
      <w:pPr>
        <w:pStyle w:val="N3"/>
      </w:pPr>
      <w:r w:rsidRPr="00AC49DC">
        <w:t>Schedule</w:t>
      </w:r>
      <w:r w:rsidR="00F716B4" w:rsidRPr="00AC49DC">
        <w:t xml:space="preserve"> </w:t>
      </w:r>
      <w:r w:rsidRPr="00AC49DC">
        <w:t>3</w:t>
      </w:r>
      <w:r w:rsidR="00F716B4" w:rsidRPr="00AC49DC">
        <w:t xml:space="preserve"> </w:t>
      </w:r>
      <w:r w:rsidRPr="00AC49DC">
        <w:t>(transitional</w:t>
      </w:r>
      <w:r w:rsidR="00F716B4" w:rsidRPr="00AC49DC">
        <w:t xml:space="preserve"> </w:t>
      </w:r>
      <w:r w:rsidRPr="00AC49DC">
        <w:t>provision:</w:t>
      </w:r>
      <w:r w:rsidR="00F716B4" w:rsidRPr="00AC49DC">
        <w:t xml:space="preserve"> </w:t>
      </w:r>
      <w:r w:rsidRPr="00AC49DC">
        <w:t>childminders</w:t>
      </w:r>
      <w:r w:rsidR="00F716B4" w:rsidRPr="00AC49DC">
        <w:t xml:space="preserve"> </w:t>
      </w:r>
      <w:r w:rsidRPr="00AC49DC">
        <w:t>with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premises).</w:t>
      </w:r>
    </w:p>
    <w:p w14:paraId="64D2FF9C" w14:textId="77777777" w:rsidR="00F64F0D" w:rsidRPr="00AC49DC" w:rsidRDefault="00A00877" w:rsidP="00BA4E9B">
      <w:pPr>
        <w:pStyle w:val="H1"/>
      </w:pPr>
      <w:r w:rsidRPr="00AC49DC">
        <w:t>Saving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="00F64F0D" w:rsidRPr="00AC49DC">
        <w:t>in</w:t>
      </w:r>
      <w:r w:rsidR="00F716B4" w:rsidRPr="00AC49DC">
        <w:t xml:space="preserve"> </w:t>
      </w:r>
      <w:r w:rsidR="00F64F0D" w:rsidRPr="00AC49DC">
        <w:t>relation</w:t>
      </w:r>
      <w:r w:rsidR="00F716B4" w:rsidRPr="00AC49DC">
        <w:t xml:space="preserve"> </w:t>
      </w:r>
      <w:r w:rsidR="00F64F0D" w:rsidRPr="00AC49DC">
        <w:t>to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Childcare</w:t>
      </w:r>
      <w:r w:rsidR="00F716B4" w:rsidRPr="00AC49DC">
        <w:t xml:space="preserve"> </w:t>
      </w:r>
      <w:r w:rsidR="00F64F0D" w:rsidRPr="00AC49DC">
        <w:t>(Childminder</w:t>
      </w:r>
      <w:r w:rsidR="00F716B4" w:rsidRPr="00AC49DC">
        <w:t xml:space="preserve"> </w:t>
      </w:r>
      <w:r w:rsidR="00F64F0D" w:rsidRPr="00AC49DC">
        <w:t>Agencies)</w:t>
      </w:r>
      <w:r w:rsidR="00F716B4" w:rsidRPr="00AC49DC">
        <w:t xml:space="preserve"> </w:t>
      </w:r>
      <w:r w:rsidR="00F64F0D" w:rsidRPr="00AC49DC">
        <w:t>(Registration,</w:t>
      </w:r>
      <w:r w:rsidR="00F716B4" w:rsidRPr="00AC49DC">
        <w:t xml:space="preserve"> </w:t>
      </w:r>
      <w:r w:rsidR="00F64F0D" w:rsidRPr="00AC49DC">
        <w:t>Inspection</w:t>
      </w:r>
      <w:r w:rsidR="00F716B4" w:rsidRPr="00AC49DC">
        <w:t xml:space="preserve"> </w:t>
      </w:r>
      <w:r w:rsidR="00F64F0D" w:rsidRPr="00AC49DC">
        <w:t>and</w:t>
      </w:r>
      <w:r w:rsidR="00F716B4" w:rsidRPr="00AC49DC">
        <w:t xml:space="preserve"> </w:t>
      </w:r>
      <w:r w:rsidR="00F64F0D" w:rsidRPr="00AC49DC">
        <w:t>Supply</w:t>
      </w:r>
      <w:r w:rsidR="00F716B4" w:rsidRPr="00AC49DC">
        <w:t xml:space="preserve"> </w:t>
      </w:r>
      <w:r w:rsidR="00F64F0D" w:rsidRPr="00AC49DC">
        <w:t>and</w:t>
      </w:r>
      <w:r w:rsidR="00F716B4" w:rsidRPr="00AC49DC">
        <w:t xml:space="preserve"> </w:t>
      </w:r>
      <w:r w:rsidR="00F64F0D" w:rsidRPr="00AC49DC">
        <w:t>Disclosure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Information)</w:t>
      </w:r>
      <w:r w:rsidR="00F716B4" w:rsidRPr="00AC49DC">
        <w:t xml:space="preserve"> </w:t>
      </w:r>
      <w:r w:rsidR="00F64F0D" w:rsidRPr="00AC49DC">
        <w:t>Regulations</w:t>
      </w:r>
      <w:r w:rsidR="00F716B4" w:rsidRPr="00AC49DC">
        <w:t xml:space="preserve"> </w:t>
      </w:r>
      <w:r w:rsidR="00F64F0D" w:rsidRPr="00AC49DC">
        <w:t>2014</w:t>
      </w:r>
    </w:p>
    <w:p w14:paraId="0DA5012E" w14:textId="77777777" w:rsidR="00F64F0D" w:rsidRPr="00AC49DC" w:rsidRDefault="00F716B4" w:rsidP="00110559">
      <w:pPr>
        <w:pStyle w:val="N1"/>
      </w:pPr>
      <w:r w:rsidRPr="00AC49DC">
        <w:t> </w:t>
      </w:r>
      <w:r w:rsidR="00F64F0D" w:rsidRPr="00AC49DC">
        <w:t>No</w:t>
      </w:r>
      <w:r w:rsidRPr="00AC49DC">
        <w:t xml:space="preserve"> </w:t>
      </w:r>
      <w:r w:rsidR="00F64F0D" w:rsidRPr="00AC49DC">
        <w:t>provision</w:t>
      </w:r>
      <w:r w:rsidRPr="00AC49DC">
        <w:t xml:space="preserve"> </w:t>
      </w:r>
      <w:r w:rsidR="00F64F0D" w:rsidRPr="00AC49DC">
        <w:t>made</w:t>
      </w:r>
      <w:r w:rsidRPr="00AC49DC">
        <w:t xml:space="preserve"> </w:t>
      </w:r>
      <w:r w:rsidR="00F64F0D" w:rsidRPr="00AC49DC">
        <w:t>in</w:t>
      </w:r>
      <w:r w:rsidRPr="00AC49DC">
        <w:t xml:space="preserve"> </w:t>
      </w:r>
      <w:r w:rsidR="00F64F0D" w:rsidRPr="00AC49DC">
        <w:t>the</w:t>
      </w:r>
      <w:r w:rsidRPr="00AC49DC">
        <w:t xml:space="preserve"> </w:t>
      </w:r>
      <w:r w:rsidR="00F64F0D" w:rsidRPr="00AC49DC">
        <w:t>Schedules</w:t>
      </w:r>
      <w:r w:rsidRPr="00AC49DC">
        <w:t xml:space="preserve"> </w:t>
      </w:r>
      <w:r w:rsidR="00F64F0D" w:rsidRPr="00AC49DC">
        <w:t>to</w:t>
      </w:r>
      <w:r w:rsidRPr="00AC49DC">
        <w:t xml:space="preserve"> </w:t>
      </w:r>
      <w:r w:rsidR="00F64F0D" w:rsidRPr="00AC49DC">
        <w:t>these</w:t>
      </w:r>
      <w:r w:rsidRPr="00AC49DC">
        <w:t xml:space="preserve"> </w:t>
      </w:r>
      <w:r w:rsidR="00F64F0D" w:rsidRPr="00AC49DC">
        <w:t>Regulations</w:t>
      </w:r>
      <w:r w:rsidRPr="00AC49DC">
        <w:t xml:space="preserve"> </w:t>
      </w:r>
      <w:r w:rsidR="00F64F0D" w:rsidRPr="00AC49DC">
        <w:t>has</w:t>
      </w:r>
      <w:r w:rsidRPr="00AC49DC">
        <w:t xml:space="preserve"> </w:t>
      </w:r>
      <w:r w:rsidR="00F64F0D" w:rsidRPr="00AC49DC">
        <w:t>any</w:t>
      </w:r>
      <w:r w:rsidRPr="00AC49DC">
        <w:t xml:space="preserve"> </w:t>
      </w:r>
      <w:r w:rsidR="00F64F0D" w:rsidRPr="00AC49DC">
        <w:t>effect</w:t>
      </w:r>
      <w:r w:rsidRPr="00AC49DC">
        <w:t xml:space="preserve"> </w:t>
      </w:r>
      <w:r w:rsidR="00F64F0D" w:rsidRPr="00AC49DC">
        <w:t>for</w:t>
      </w:r>
      <w:r w:rsidRPr="00AC49DC">
        <w:t xml:space="preserve"> </w:t>
      </w:r>
      <w:r w:rsidR="00F64F0D" w:rsidRPr="00AC49DC">
        <w:t>the</w:t>
      </w:r>
      <w:r w:rsidRPr="00AC49DC">
        <w:t xml:space="preserve"> </w:t>
      </w:r>
      <w:r w:rsidR="00F64F0D" w:rsidRPr="00AC49DC">
        <w:t>purpose</w:t>
      </w:r>
      <w:r w:rsidRPr="00AC49DC">
        <w:t xml:space="preserve"> </w:t>
      </w:r>
      <w:r w:rsidR="00F64F0D" w:rsidRPr="00AC49DC">
        <w:t>of</w:t>
      </w:r>
      <w:r w:rsidRPr="00AC49DC">
        <w:t xml:space="preserve"> </w:t>
      </w:r>
      <w:r w:rsidR="00F64F0D" w:rsidRPr="00AC49DC">
        <w:t>computing</w:t>
      </w:r>
      <w:r w:rsidRPr="00AC49DC">
        <w:t xml:space="preserve"> </w:t>
      </w:r>
      <w:r w:rsidR="00F64F0D" w:rsidRPr="00AC49DC">
        <w:t>a</w:t>
      </w:r>
      <w:r w:rsidRPr="00AC49DC">
        <w:t xml:space="preserve"> </w:t>
      </w:r>
      <w:r w:rsidR="00F64F0D" w:rsidRPr="00AC49DC">
        <w:t>year</w:t>
      </w:r>
      <w:r w:rsidRPr="00AC49DC">
        <w:t xml:space="preserve"> </w:t>
      </w:r>
      <w:r w:rsidR="00F64F0D" w:rsidRPr="00AC49DC">
        <w:t>of</w:t>
      </w:r>
      <w:r w:rsidRPr="00AC49DC">
        <w:t xml:space="preserve"> </w:t>
      </w:r>
      <w:r w:rsidR="00F64F0D" w:rsidRPr="00AC49DC">
        <w:t>registration</w:t>
      </w:r>
      <w:r w:rsidRPr="00AC49DC">
        <w:t xml:space="preserve"> </w:t>
      </w:r>
      <w:r w:rsidR="00F64F0D" w:rsidRPr="00AC49DC">
        <w:t>for</w:t>
      </w:r>
      <w:r w:rsidRPr="00AC49DC">
        <w:t xml:space="preserve"> </w:t>
      </w:r>
      <w:r w:rsidR="00F64F0D" w:rsidRPr="00AC49DC">
        <w:t>the</w:t>
      </w:r>
      <w:r w:rsidRPr="00AC49DC">
        <w:t xml:space="preserve"> </w:t>
      </w:r>
      <w:r w:rsidR="00F64F0D" w:rsidRPr="00AC49DC">
        <w:t>purposes</w:t>
      </w:r>
      <w:r w:rsidRPr="00AC49DC">
        <w:t xml:space="preserve"> </w:t>
      </w:r>
      <w:r w:rsidR="00F64F0D" w:rsidRPr="00AC49DC">
        <w:t>of</w:t>
      </w:r>
      <w:r w:rsidRPr="00AC49DC">
        <w:t xml:space="preserve"> </w:t>
      </w:r>
      <w:r w:rsidR="00F64F0D" w:rsidRPr="00AC49DC">
        <w:t>the</w:t>
      </w:r>
      <w:r w:rsidRPr="00AC49DC">
        <w:t xml:space="preserve"> </w:t>
      </w:r>
      <w:r w:rsidR="00F64F0D" w:rsidRPr="00AC49DC">
        <w:t>Childcare</w:t>
      </w:r>
      <w:r w:rsidRPr="00AC49DC">
        <w:t xml:space="preserve"> </w:t>
      </w:r>
      <w:r w:rsidR="00F64F0D" w:rsidRPr="00AC49DC">
        <w:t>(Childminder</w:t>
      </w:r>
      <w:r w:rsidRPr="00AC49DC">
        <w:t xml:space="preserve"> </w:t>
      </w:r>
      <w:r w:rsidR="00F64F0D" w:rsidRPr="00AC49DC">
        <w:t>Agencies)</w:t>
      </w:r>
      <w:r w:rsidRPr="00AC49DC">
        <w:t xml:space="preserve"> </w:t>
      </w:r>
      <w:r w:rsidR="00F64F0D" w:rsidRPr="00AC49DC">
        <w:t>(Registration,</w:t>
      </w:r>
      <w:r w:rsidRPr="00AC49DC">
        <w:t xml:space="preserve"> </w:t>
      </w:r>
      <w:r w:rsidR="00F64F0D" w:rsidRPr="00AC49DC">
        <w:t>Inspection</w:t>
      </w:r>
      <w:r w:rsidRPr="00AC49DC">
        <w:t xml:space="preserve"> </w:t>
      </w:r>
      <w:r w:rsidR="00F64F0D" w:rsidRPr="00AC49DC">
        <w:t>and</w:t>
      </w:r>
      <w:r w:rsidRPr="00AC49DC">
        <w:t xml:space="preserve"> </w:t>
      </w:r>
      <w:r w:rsidR="00F64F0D" w:rsidRPr="00AC49DC">
        <w:t>Supply</w:t>
      </w:r>
      <w:r w:rsidRPr="00AC49DC">
        <w:t xml:space="preserve"> </w:t>
      </w:r>
      <w:r w:rsidR="00F64F0D" w:rsidRPr="00AC49DC">
        <w:t>and</w:t>
      </w:r>
      <w:r w:rsidRPr="00AC49DC">
        <w:t xml:space="preserve"> </w:t>
      </w:r>
      <w:r w:rsidR="00F64F0D" w:rsidRPr="00AC49DC">
        <w:t>Disclosure</w:t>
      </w:r>
      <w:r w:rsidRPr="00AC49DC">
        <w:t xml:space="preserve"> </w:t>
      </w:r>
      <w:r w:rsidR="00F64F0D" w:rsidRPr="00AC49DC">
        <w:t>of</w:t>
      </w:r>
      <w:r w:rsidRPr="00AC49DC">
        <w:t xml:space="preserve"> </w:t>
      </w:r>
      <w:r w:rsidR="00F64F0D" w:rsidRPr="00AC49DC">
        <w:t>Information)</w:t>
      </w:r>
      <w:r w:rsidRPr="00AC49DC">
        <w:t xml:space="preserve"> </w:t>
      </w:r>
      <w:r w:rsidR="00F64F0D" w:rsidRPr="00AC49DC">
        <w:t>Regulations</w:t>
      </w:r>
      <w:r w:rsidRPr="00AC49DC">
        <w:t xml:space="preserve"> </w:t>
      </w:r>
      <w:r w:rsidR="00F64F0D" w:rsidRPr="00AC49DC">
        <w:t>2014(</w:t>
      </w:r>
      <w:r w:rsidR="00F64F0D" w:rsidRPr="00AC49DC">
        <w:rPr>
          <w:b/>
        </w:rPr>
        <w:footnoteReference w:id="9"/>
      </w:r>
      <w:r w:rsidR="00F64F0D" w:rsidRPr="00AC49DC">
        <w:t>)</w:t>
      </w:r>
      <w:r w:rsidR="00110559" w:rsidRPr="00AC49DC">
        <w:t>.</w:t>
      </w:r>
    </w:p>
    <w:p w14:paraId="0E2AFEB5" w14:textId="77777777" w:rsidR="00110559" w:rsidRPr="00AC49DC" w:rsidRDefault="00110559" w:rsidP="00110559">
      <w:pPr>
        <w:pStyle w:val="linespace"/>
      </w:pPr>
    </w:p>
    <w:p w14:paraId="227A13B0" w14:textId="77777777" w:rsidR="00ED50C3" w:rsidRPr="00702669" w:rsidRDefault="00ED50C3" w:rsidP="00ED50C3">
      <w:pPr>
        <w:pStyle w:val="SigBlock"/>
        <w:rPr>
          <w:rStyle w:val="Sigsignatory"/>
        </w:rPr>
      </w:pPr>
      <w:r>
        <w:rPr>
          <w:rStyle w:val="Sigsignatory"/>
        </w:rPr>
        <w:t>Signed on behalf of the Secretary of State</w:t>
      </w:r>
    </w:p>
    <w:p w14:paraId="405207AD" w14:textId="77777777" w:rsidR="00ED50C3" w:rsidRDefault="00ED50C3" w:rsidP="00110559">
      <w:pPr>
        <w:pStyle w:val="SigBlock"/>
      </w:pPr>
    </w:p>
    <w:p w14:paraId="25FD4F4A" w14:textId="77777777" w:rsidR="00ED50C3" w:rsidRPr="00ED50C3" w:rsidRDefault="00110559" w:rsidP="00110559">
      <w:pPr>
        <w:pStyle w:val="SigBlock"/>
        <w:rPr>
          <w:rStyle w:val="SigSignee"/>
        </w:rPr>
      </w:pPr>
      <w:r w:rsidRPr="00AC49DC">
        <w:tab/>
      </w:r>
      <w:r w:rsidR="00ED50C3" w:rsidRPr="00ED50C3">
        <w:rPr>
          <w:rStyle w:val="SigSignee"/>
        </w:rPr>
        <w:t>Stephen Morgan</w:t>
      </w:r>
    </w:p>
    <w:p w14:paraId="01D7A2C0" w14:textId="77777777" w:rsidR="00110559" w:rsidRPr="00AC49DC" w:rsidRDefault="00110559" w:rsidP="00110559">
      <w:pPr>
        <w:pStyle w:val="SigBlock"/>
        <w:rPr>
          <w:rStyle w:val="Sigtitle"/>
        </w:rPr>
      </w:pPr>
      <w:r w:rsidRPr="00AC49DC">
        <w:tab/>
      </w:r>
      <w:r w:rsidRPr="00AC49DC">
        <w:rPr>
          <w:rStyle w:val="Sigtitle"/>
        </w:rPr>
        <w:t>Parliamentary Under Secretary of State</w:t>
      </w:r>
    </w:p>
    <w:p w14:paraId="488B638F" w14:textId="77777777" w:rsidR="00110559" w:rsidRPr="00AC49DC" w:rsidRDefault="00ED50C3" w:rsidP="00110559">
      <w:pPr>
        <w:pStyle w:val="SigBlock"/>
      </w:pPr>
      <w:r>
        <w:rPr>
          <w:rStyle w:val="SigDate"/>
        </w:rPr>
        <w:t>9th October 2024</w:t>
      </w:r>
      <w:r w:rsidR="00110559" w:rsidRPr="00AC49DC">
        <w:rPr>
          <w:rStyle w:val="SigDate"/>
        </w:rPr>
        <w:tab/>
      </w:r>
      <w:r w:rsidR="00110559" w:rsidRPr="00AC49DC">
        <w:rPr>
          <w:rStyle w:val="Sigtitle"/>
        </w:rPr>
        <w:t>Department for Education</w:t>
      </w:r>
    </w:p>
    <w:p w14:paraId="39C180DD" w14:textId="6167EA4B" w:rsidR="00BE5CB1" w:rsidRPr="00AC49DC" w:rsidRDefault="00BA4E9B" w:rsidP="00DF73F2">
      <w:pPr>
        <w:pStyle w:val="Schedules"/>
      </w:pPr>
      <w:r w:rsidRPr="00AC49DC">
        <w:t>SCHEDULE</w:t>
      </w:r>
      <w:bookmarkStart w:id="2" w:name="_Hlk179192480"/>
    </w:p>
    <w:bookmarkEnd w:id="2"/>
    <w:p w14:paraId="4F796D42" w14:textId="5A176CCE" w:rsidR="00086C7E" w:rsidRPr="008D2949" w:rsidRDefault="00F716B4" w:rsidP="00225293">
      <w:pPr>
        <w:pStyle w:val="Schedule"/>
        <w:rPr>
          <w:rStyle w:val="Ref"/>
          <w:sz w:val="30"/>
        </w:rPr>
      </w:pPr>
      <w:r w:rsidRPr="00AC49DC">
        <w:tab/>
      </w:r>
      <w:r w:rsidR="00086C7E" w:rsidRPr="00AC49DC">
        <w:t>SCHEDULE</w:t>
      </w:r>
      <w:r w:rsidRPr="00AC49DC">
        <w:t xml:space="preserve"> </w:t>
      </w:r>
      <w:r w:rsidR="00DF73F2">
        <w:t>1</w:t>
      </w:r>
      <w:r w:rsidRPr="00AC49DC">
        <w:tab/>
      </w:r>
      <w:r w:rsidR="00086C7E" w:rsidRPr="008D2949">
        <w:rPr>
          <w:rStyle w:val="Ref"/>
        </w:rPr>
        <w:t>Regulation</w:t>
      </w:r>
      <w:r w:rsidRPr="008D2949">
        <w:rPr>
          <w:rStyle w:val="Ref"/>
        </w:rPr>
        <w:t xml:space="preserve"> </w:t>
      </w:r>
      <w:r w:rsidR="00086C7E" w:rsidRPr="008D2949">
        <w:rPr>
          <w:rStyle w:val="Ref"/>
        </w:rPr>
        <w:t>3(</w:t>
      </w:r>
      <w:r w:rsidR="00994E6C" w:rsidRPr="008D2949">
        <w:rPr>
          <w:rStyle w:val="Ref"/>
        </w:rPr>
        <w:t>c</w:t>
      </w:r>
      <w:r w:rsidR="00086C7E" w:rsidRPr="008D2949">
        <w:rPr>
          <w:rStyle w:val="Ref"/>
        </w:rPr>
        <w:t>)</w:t>
      </w:r>
    </w:p>
    <w:p w14:paraId="0061680E" w14:textId="77777777" w:rsidR="00F64F0D" w:rsidRPr="00AC49DC" w:rsidRDefault="00F64F0D" w:rsidP="00086C7E">
      <w:pPr>
        <w:pStyle w:val="ScheduleHead"/>
      </w:pPr>
      <w:r w:rsidRPr="00AC49DC">
        <w:t>Transitional</w:t>
      </w:r>
      <w:r w:rsidR="00F716B4" w:rsidRPr="00AC49DC">
        <w:t xml:space="preserve"> </w:t>
      </w:r>
      <w:r w:rsidRPr="00AC49DC">
        <w:t>Provision:</w:t>
      </w:r>
      <w:r w:rsidR="00F716B4" w:rsidRPr="00AC49DC">
        <w:t xml:space="preserve"> </w:t>
      </w:r>
      <w:r w:rsidRPr="00AC49DC">
        <w:t>childminders</w:t>
      </w:r>
      <w:r w:rsidR="00F716B4" w:rsidRPr="00AC49DC">
        <w:t xml:space="preserve"> </w:t>
      </w:r>
      <w:r w:rsidRPr="00AC49DC">
        <w:t>with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</w:t>
      </w:r>
    </w:p>
    <w:p w14:paraId="1231BC6D" w14:textId="77777777" w:rsidR="008743E2" w:rsidRPr="00AC49DC" w:rsidRDefault="004A585D" w:rsidP="001A0BB2">
      <w:pPr>
        <w:pStyle w:val="N1"/>
      </w:pPr>
      <w:r w:rsidRPr="00AC49DC">
        <w:t>—</w:t>
      </w:r>
      <w:r w:rsidRPr="00AC49DC">
        <w:fldChar w:fldCharType="begin"/>
      </w:r>
      <w:r w:rsidRPr="00AC49DC">
        <w:instrText xml:space="preserve"> LISTNUM "SEQ1" \l 2 </w:instrText>
      </w:r>
      <w:r w:rsidRPr="00AC49DC">
        <w:fldChar w:fldCharType="end">
          <w:numberingChange w:id="3" w:author="James Chapman-Curry" w:date="2024-10-08T12:23:00Z" w:original="(1)"/>
        </w:fldChar>
      </w:r>
      <w:r w:rsidR="00F716B4" w:rsidRPr="00AC49DC">
        <w:t> </w:t>
      </w:r>
      <w:r w:rsidR="008743E2" w:rsidRPr="00AC49DC">
        <w:t>A</w:t>
      </w:r>
      <w:r w:rsidR="00F716B4" w:rsidRPr="00AC49DC">
        <w:t xml:space="preserve"> </w:t>
      </w:r>
      <w:r w:rsidR="008743E2" w:rsidRPr="00AC49DC">
        <w:t>person</w:t>
      </w:r>
      <w:r w:rsidR="00F716B4" w:rsidRPr="00AC49DC">
        <w:t xml:space="preserve"> </w:t>
      </w:r>
      <w:r w:rsidR="008743E2" w:rsidRPr="00AC49DC">
        <w:t>comes</w:t>
      </w:r>
      <w:r w:rsidR="00F716B4" w:rsidRPr="00AC49DC">
        <w:t xml:space="preserve"> </w:t>
      </w:r>
      <w:r w:rsidR="008743E2" w:rsidRPr="00AC49DC">
        <w:t>within</w:t>
      </w:r>
      <w:r w:rsidR="00F716B4" w:rsidRPr="00AC49DC">
        <w:t xml:space="preserve"> </w:t>
      </w:r>
      <w:r w:rsidR="008743E2" w:rsidRPr="00AC49DC">
        <w:t>this</w:t>
      </w:r>
      <w:r w:rsidR="00F716B4" w:rsidRPr="00AC49DC">
        <w:t xml:space="preserve"> </w:t>
      </w:r>
      <w:r w:rsidR="008743E2" w:rsidRPr="00AC49DC">
        <w:t>sub-paragraph</w:t>
      </w:r>
      <w:r w:rsidR="00F716B4" w:rsidRPr="00AC49DC">
        <w:t xml:space="preserve"> </w:t>
      </w:r>
      <w:r w:rsidR="008743E2" w:rsidRPr="00AC49DC">
        <w:t>where—</w:t>
      </w:r>
    </w:p>
    <w:p w14:paraId="19164B8F" w14:textId="77777777" w:rsidR="008743E2" w:rsidRPr="00AC49DC" w:rsidRDefault="008743E2" w:rsidP="001A0BB2">
      <w:pPr>
        <w:pStyle w:val="N3"/>
      </w:pPr>
      <w:r w:rsidRPr="00AC49DC">
        <w:t>before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date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person</w:t>
      </w:r>
      <w:r w:rsidR="00F716B4" w:rsidRPr="00AC49DC">
        <w:t xml:space="preserve"> </w:t>
      </w:r>
      <w:r w:rsidRPr="00AC49DC">
        <w:t>has</w:t>
      </w:r>
      <w:r w:rsidR="00F716B4" w:rsidRPr="00AC49DC">
        <w:t xml:space="preserve"> </w:t>
      </w:r>
      <w:r w:rsidRPr="00AC49DC">
        <w:t>given</w:t>
      </w:r>
      <w:r w:rsidR="00F716B4" w:rsidRPr="00AC49DC">
        <w:t xml:space="preserve"> </w:t>
      </w:r>
      <w:r w:rsidRPr="00AC49DC">
        <w:t>notice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registration</w:t>
      </w:r>
      <w:r w:rsidR="00F716B4" w:rsidRPr="00AC49DC">
        <w:t xml:space="preserve"> </w:t>
      </w:r>
      <w:r w:rsidRPr="00AC49DC">
        <w:t>as</w:t>
      </w:r>
      <w:r w:rsidR="00F716B4" w:rsidRPr="00AC49DC">
        <w:t xml:space="preserve"> </w:t>
      </w:r>
      <w:r w:rsidRPr="00AC49DC">
        <w:t>a</w:t>
      </w:r>
      <w:r w:rsidR="00F716B4" w:rsidRPr="00AC49DC">
        <w:t xml:space="preserve"> </w:t>
      </w:r>
      <w:r w:rsidRPr="00AC49DC">
        <w:t>childminder—</w:t>
      </w:r>
    </w:p>
    <w:p w14:paraId="075D7C01" w14:textId="77777777" w:rsidR="008743E2" w:rsidRPr="00AC49DC" w:rsidRDefault="008743E2" w:rsidP="001A0BB2">
      <w:pPr>
        <w:pStyle w:val="N4"/>
      </w:pPr>
      <w:r w:rsidRPr="00AC49DC">
        <w:t>to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Chief</w:t>
      </w:r>
      <w:r w:rsidR="00F716B4" w:rsidRPr="00AC49DC">
        <w:t xml:space="preserve"> </w:t>
      </w:r>
      <w:r w:rsidRPr="00AC49DC">
        <w:t>Inspector</w:t>
      </w:r>
      <w:r w:rsidR="00F716B4" w:rsidRPr="00AC49DC">
        <w:t xml:space="preserve"> </w:t>
      </w:r>
      <w:r w:rsidRPr="00AC49DC">
        <w:t>under</w:t>
      </w:r>
      <w:r w:rsidR="00F716B4" w:rsidRPr="00AC49DC">
        <w:t xml:space="preserve"> </w:t>
      </w:r>
      <w:r w:rsidRPr="00AC49DC">
        <w:t>section</w:t>
      </w:r>
      <w:r w:rsidR="00F716B4" w:rsidRPr="00AC49DC">
        <w:t xml:space="preserve"> </w:t>
      </w:r>
      <w:r w:rsidRPr="00AC49DC">
        <w:t>65(1)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registration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B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general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register;</w:t>
      </w:r>
      <w:r w:rsidR="00F716B4" w:rsidRPr="00AC49DC">
        <w:t xml:space="preserve"> </w:t>
      </w:r>
      <w:r w:rsidRPr="00AC49DC">
        <w:t>or</w:t>
      </w:r>
    </w:p>
    <w:p w14:paraId="286AD7AE" w14:textId="77777777" w:rsidR="008743E2" w:rsidRPr="00AC49DC" w:rsidRDefault="008743E2" w:rsidP="001A0BB2">
      <w:pPr>
        <w:pStyle w:val="N4"/>
      </w:pPr>
      <w:r w:rsidRPr="00AC49DC">
        <w:lastRenderedPageBreak/>
        <w:t>to</w:t>
      </w:r>
      <w:r w:rsidR="00F716B4" w:rsidRPr="00AC49DC">
        <w:t xml:space="preserve"> </w:t>
      </w:r>
      <w:r w:rsidRPr="00AC49DC">
        <w:t>an</w:t>
      </w:r>
      <w:r w:rsidR="00F716B4" w:rsidRPr="00AC49DC">
        <w:t xml:space="preserve"> </w:t>
      </w:r>
      <w:r w:rsidRPr="00AC49DC">
        <w:t>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="00C66688" w:rsidRPr="00AC49DC">
        <w:t>childminder</w:t>
      </w:r>
      <w:r w:rsidR="00F716B4" w:rsidRPr="00AC49DC">
        <w:t xml:space="preserve"> </w:t>
      </w:r>
      <w:r w:rsidR="00C66688" w:rsidRPr="00AC49DC">
        <w:t>agency</w:t>
      </w:r>
      <w:r w:rsidR="00F716B4" w:rsidRPr="00AC49DC">
        <w:t xml:space="preserve"> </w:t>
      </w:r>
      <w:r w:rsidRPr="00AC49DC">
        <w:t>or</w:t>
      </w:r>
      <w:r w:rsidR="00F716B4" w:rsidRPr="00AC49DC">
        <w:t xml:space="preserve"> </w:t>
      </w:r>
      <w:r w:rsidR="00B76B64" w:rsidRPr="00AC49DC">
        <w:t>to</w:t>
      </w:r>
      <w:r w:rsidR="00F716B4" w:rsidRPr="00AC49DC">
        <w:t xml:space="preserve"> </w:t>
      </w:r>
      <w:r w:rsidRPr="00AC49DC">
        <w:t>a</w:t>
      </w:r>
      <w:r w:rsidR="00F716B4" w:rsidRPr="00AC49DC">
        <w:t xml:space="preserve"> </w:t>
      </w:r>
      <w:r w:rsidRPr="00AC49DC">
        <w:t>later</w:t>
      </w:r>
      <w:r w:rsidR="00F716B4" w:rsidRPr="00AC49DC">
        <w:t xml:space="preserve"> </w:t>
      </w:r>
      <w:r w:rsidR="00C66688" w:rsidRPr="00AC49DC">
        <w:t>years</w:t>
      </w:r>
      <w:r w:rsidR="00F716B4" w:rsidRPr="00AC49DC">
        <w:t xml:space="preserve"> </w:t>
      </w:r>
      <w:r w:rsidRPr="00AC49DC">
        <w:t>childminder</w:t>
      </w:r>
      <w:r w:rsidR="00F716B4" w:rsidRPr="00AC49DC">
        <w:t xml:space="preserve"> </w:t>
      </w:r>
      <w:r w:rsidRPr="00AC49DC">
        <w:t>agency</w:t>
      </w:r>
      <w:r w:rsidR="00F716B4" w:rsidRPr="00AC49DC">
        <w:t xml:space="preserve"> </w:t>
      </w:r>
      <w:r w:rsidRPr="00AC49DC">
        <w:t>under</w:t>
      </w:r>
      <w:r w:rsidR="00F716B4" w:rsidRPr="00AC49DC">
        <w:t xml:space="preserve"> </w:t>
      </w:r>
      <w:r w:rsidRPr="00AC49DC">
        <w:t>section</w:t>
      </w:r>
      <w:r w:rsidR="00F716B4" w:rsidRPr="00AC49DC">
        <w:t xml:space="preserve"> </w:t>
      </w:r>
      <w:r w:rsidRPr="00AC49DC">
        <w:t>65A(1)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registration</w:t>
      </w:r>
      <w:r w:rsidR="00F716B4" w:rsidRPr="00AC49DC">
        <w:t xml:space="preserve"> </w:t>
      </w:r>
      <w:r w:rsidRPr="00AC49DC">
        <w:t>with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="00C66688" w:rsidRPr="00AC49DC">
        <w:t>childminder</w:t>
      </w:r>
      <w:r w:rsidR="00F716B4" w:rsidRPr="00AC49DC">
        <w:t xml:space="preserve"> </w:t>
      </w:r>
      <w:r w:rsidR="00C66688" w:rsidRPr="00AC49DC">
        <w:t>agency</w:t>
      </w:r>
      <w:r w:rsidR="00F716B4" w:rsidRPr="00AC49DC">
        <w:t xml:space="preserve"> </w:t>
      </w:r>
      <w:r w:rsidRPr="00AC49DC">
        <w:t>or</w:t>
      </w:r>
      <w:r w:rsidR="00F716B4" w:rsidRPr="00AC49DC">
        <w:t xml:space="preserve"> </w:t>
      </w:r>
      <w:r w:rsidRPr="00AC49DC">
        <w:t>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childminder</w:t>
      </w:r>
      <w:r w:rsidR="00F716B4" w:rsidRPr="00AC49DC">
        <w:t xml:space="preserve"> </w:t>
      </w:r>
      <w:r w:rsidRPr="00AC49DC">
        <w:t>agency;</w:t>
      </w:r>
      <w:r w:rsidR="00F716B4" w:rsidRPr="00AC49DC">
        <w:t xml:space="preserve"> </w:t>
      </w:r>
      <w:r w:rsidRPr="00AC49DC">
        <w:t>and</w:t>
      </w:r>
    </w:p>
    <w:p w14:paraId="25E0F339" w14:textId="77777777" w:rsidR="00B76B64" w:rsidRPr="00AC49DC" w:rsidRDefault="00B76B64" w:rsidP="001A0BB2">
      <w:pPr>
        <w:pStyle w:val="N3"/>
      </w:pPr>
      <w:r w:rsidRPr="00AC49DC">
        <w:t>immediately</w:t>
      </w:r>
      <w:r w:rsidR="00F716B4" w:rsidRPr="00AC49DC">
        <w:t xml:space="preserve"> </w:t>
      </w:r>
      <w:r w:rsidRPr="00AC49DC">
        <w:t>before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date—</w:t>
      </w:r>
    </w:p>
    <w:p w14:paraId="41DF9059" w14:textId="77777777" w:rsidR="00B76B64" w:rsidRPr="00AC49DC" w:rsidRDefault="00B76B64" w:rsidP="001A0BB2">
      <w:pPr>
        <w:pStyle w:val="N4"/>
      </w:pPr>
      <w:r w:rsidRPr="00AC49DC">
        <w:t>the</w:t>
      </w:r>
      <w:r w:rsidR="00F716B4" w:rsidRPr="00AC49DC">
        <w:t xml:space="preserve"> </w:t>
      </w:r>
      <w:r w:rsidRPr="00AC49DC">
        <w:t>Chief</w:t>
      </w:r>
      <w:r w:rsidR="00F716B4" w:rsidRPr="00AC49DC">
        <w:t xml:space="preserve"> </w:t>
      </w:r>
      <w:r w:rsidRPr="00AC49DC">
        <w:t>Inspector</w:t>
      </w:r>
      <w:r w:rsidR="00F716B4" w:rsidRPr="00AC49DC">
        <w:t xml:space="preserve"> </w:t>
      </w:r>
      <w:r w:rsidRPr="00AC49DC">
        <w:t>has</w:t>
      </w:r>
      <w:r w:rsidR="00F716B4" w:rsidRPr="00AC49DC">
        <w:t xml:space="preserve"> </w:t>
      </w:r>
      <w:r w:rsidRPr="00AC49DC">
        <w:t>not</w:t>
      </w:r>
      <w:r w:rsidR="00F716B4" w:rsidRPr="00AC49DC">
        <w:t xml:space="preserve"> </w:t>
      </w:r>
      <w:r w:rsidRPr="00AC49DC">
        <w:t>discharged</w:t>
      </w:r>
      <w:r w:rsidR="00F716B4" w:rsidRPr="00AC49DC">
        <w:t xml:space="preserve"> </w:t>
      </w:r>
      <w:r w:rsidRPr="00AC49DC">
        <w:t>their</w:t>
      </w:r>
      <w:r w:rsidR="00F716B4" w:rsidRPr="00AC49DC">
        <w:t xml:space="preserve"> </w:t>
      </w:r>
      <w:r w:rsidRPr="00AC49DC">
        <w:t>duty</w:t>
      </w:r>
      <w:r w:rsidR="00F716B4" w:rsidRPr="00AC49DC">
        <w:t xml:space="preserve"> </w:t>
      </w:r>
      <w:r w:rsidRPr="00AC49DC">
        <w:t>under</w:t>
      </w:r>
      <w:r w:rsidR="00F716B4" w:rsidRPr="00AC49DC">
        <w:t xml:space="preserve"> </w:t>
      </w:r>
      <w:r w:rsidRPr="00AC49DC">
        <w:t>section</w:t>
      </w:r>
      <w:r w:rsidR="00F716B4" w:rsidRPr="00AC49DC">
        <w:t xml:space="preserve"> </w:t>
      </w:r>
      <w:r w:rsidRPr="00AC49DC">
        <w:t>65(1)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Act;</w:t>
      </w:r>
      <w:r w:rsidR="00F716B4" w:rsidRPr="00AC49DC">
        <w:t xml:space="preserve"> </w:t>
      </w:r>
      <w:r w:rsidRPr="00AC49DC">
        <w:t>or,</w:t>
      </w:r>
      <w:r w:rsidR="00F716B4" w:rsidRPr="00AC49DC">
        <w:t xml:space="preserve"> </w:t>
      </w:r>
      <w:r w:rsidRPr="00AC49DC">
        <w:t>as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case</w:t>
      </w:r>
      <w:r w:rsidR="00F716B4" w:rsidRPr="00AC49DC">
        <w:t xml:space="preserve"> </w:t>
      </w:r>
      <w:r w:rsidRPr="00AC49DC">
        <w:t>may</w:t>
      </w:r>
      <w:r w:rsidR="00F716B4" w:rsidRPr="00AC49DC">
        <w:t xml:space="preserve"> </w:t>
      </w:r>
      <w:r w:rsidRPr="00AC49DC">
        <w:t>be,</w:t>
      </w:r>
    </w:p>
    <w:p w14:paraId="38B17A7A" w14:textId="77777777" w:rsidR="00F716B4" w:rsidRPr="00AC49DC" w:rsidRDefault="00B76B64" w:rsidP="001A0BB2">
      <w:pPr>
        <w:pStyle w:val="N4"/>
      </w:pPr>
      <w:r w:rsidRPr="00AC49DC">
        <w:t>the</w:t>
      </w:r>
      <w:r w:rsidR="00F716B4" w:rsidRPr="00AC49DC">
        <w:t xml:space="preserve"> </w:t>
      </w:r>
      <w:r w:rsidRPr="00AC49DC">
        <w:t>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or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childminder</w:t>
      </w:r>
      <w:r w:rsidR="00F716B4" w:rsidRPr="00AC49DC">
        <w:t xml:space="preserve"> </w:t>
      </w:r>
      <w:r w:rsidRPr="00AC49DC">
        <w:t>agency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question</w:t>
      </w:r>
      <w:r w:rsidR="00F716B4" w:rsidRPr="00AC49DC">
        <w:t xml:space="preserve"> </w:t>
      </w:r>
      <w:r w:rsidRPr="00AC49DC">
        <w:t>has</w:t>
      </w:r>
      <w:r w:rsidR="00F716B4" w:rsidRPr="00AC49DC">
        <w:t xml:space="preserve"> </w:t>
      </w:r>
      <w:r w:rsidRPr="00AC49DC">
        <w:t>not</w:t>
      </w:r>
      <w:r w:rsidR="00F716B4" w:rsidRPr="00AC49DC">
        <w:t xml:space="preserve"> </w:t>
      </w:r>
      <w:r w:rsidRPr="00AC49DC">
        <w:t>discharged</w:t>
      </w:r>
      <w:r w:rsidR="00F716B4" w:rsidRPr="00AC49DC">
        <w:t xml:space="preserve"> </w:t>
      </w:r>
      <w:r w:rsidRPr="00AC49DC">
        <w:t>its</w:t>
      </w:r>
      <w:r w:rsidR="00F716B4" w:rsidRPr="00AC49DC">
        <w:t xml:space="preserve"> </w:t>
      </w:r>
      <w:r w:rsidRPr="00AC49DC">
        <w:t>duty</w:t>
      </w:r>
      <w:r w:rsidR="00F716B4" w:rsidRPr="00AC49DC">
        <w:t xml:space="preserve"> </w:t>
      </w:r>
      <w:r w:rsidRPr="00AC49DC">
        <w:t>under</w:t>
      </w:r>
      <w:r w:rsidR="00F716B4" w:rsidRPr="00AC49DC">
        <w:t xml:space="preserve"> </w:t>
      </w:r>
      <w:r w:rsidRPr="00AC49DC">
        <w:t>section</w:t>
      </w:r>
      <w:r w:rsidR="00F716B4" w:rsidRPr="00AC49DC">
        <w:t xml:space="preserve"> </w:t>
      </w:r>
      <w:r w:rsidRPr="00AC49DC">
        <w:t>65A(2)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Act,</w:t>
      </w:r>
    </w:p>
    <w:p w14:paraId="0BB4737D" w14:textId="77777777" w:rsidR="00B76B64" w:rsidRPr="00AC49DC" w:rsidRDefault="00B76B64" w:rsidP="00B76B64">
      <w:pPr>
        <w:pStyle w:val="T3"/>
      </w:pPr>
      <w:r w:rsidRPr="00AC49DC">
        <w:t>in</w:t>
      </w:r>
      <w:r w:rsidR="00F716B4" w:rsidRPr="00AC49DC">
        <w:t xml:space="preserve"> </w:t>
      </w:r>
      <w:r w:rsidRPr="00AC49DC">
        <w:t>relation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notice</w:t>
      </w:r>
      <w:r w:rsidR="00F716B4" w:rsidRPr="00AC49DC">
        <w:t xml:space="preserve"> </w:t>
      </w:r>
      <w:r w:rsidRPr="00AC49DC">
        <w:t>referred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sub-paragraph</w:t>
      </w:r>
      <w:r w:rsidR="00F716B4" w:rsidRPr="00AC49DC">
        <w:t xml:space="preserve"> </w:t>
      </w:r>
      <w:r w:rsidRPr="00AC49DC">
        <w:t>(a).</w:t>
      </w:r>
    </w:p>
    <w:p w14:paraId="24BF3BBB" w14:textId="77777777" w:rsidR="008743E2" w:rsidRPr="00AC49DC" w:rsidRDefault="008743E2" w:rsidP="001A0BB2">
      <w:pPr>
        <w:pStyle w:val="N2"/>
      </w:pPr>
      <w:r w:rsidRPr="00AC49DC">
        <w:t>A</w:t>
      </w:r>
      <w:r w:rsidR="00F716B4" w:rsidRPr="00AC49DC">
        <w:t xml:space="preserve"> </w:t>
      </w:r>
      <w:r w:rsidRPr="00AC49DC">
        <w:t>person</w:t>
      </w:r>
      <w:r w:rsidR="00F716B4" w:rsidRPr="00AC49DC">
        <w:t xml:space="preserve"> </w:t>
      </w:r>
      <w:r w:rsidRPr="00AC49DC">
        <w:t>who</w:t>
      </w:r>
      <w:r w:rsidR="00F716B4" w:rsidRPr="00AC49DC">
        <w:t xml:space="preserve"> </w:t>
      </w:r>
      <w:r w:rsidRPr="00AC49DC">
        <w:t>comes</w:t>
      </w:r>
      <w:r w:rsidR="00F716B4" w:rsidRPr="00AC49DC">
        <w:t xml:space="preserve"> </w:t>
      </w:r>
      <w:r w:rsidRPr="00AC49DC">
        <w:t>within</w:t>
      </w:r>
      <w:r w:rsidR="00F716B4" w:rsidRPr="00AC49DC">
        <w:t xml:space="preserve"> </w:t>
      </w:r>
      <w:r w:rsidRPr="00AC49DC">
        <w:t>sub-paragraph</w:t>
      </w:r>
      <w:r w:rsidR="00F716B4" w:rsidRPr="00AC49DC">
        <w:t xml:space="preserve"> </w:t>
      </w:r>
      <w:r w:rsidRPr="00AC49DC">
        <w:t>(1)</w:t>
      </w:r>
      <w:r w:rsidR="00F716B4" w:rsidRPr="00AC49DC">
        <w:t xml:space="preserve"> </w:t>
      </w:r>
      <w:r w:rsidRPr="00AC49DC">
        <w:t>is</w:t>
      </w:r>
      <w:r w:rsidR="00F716B4" w:rsidRPr="00AC49DC">
        <w:t xml:space="preserve"> </w:t>
      </w:r>
      <w:r w:rsidRPr="00AC49DC">
        <w:t>deemed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after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date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have</w:t>
      </w:r>
      <w:r w:rsidR="00F716B4" w:rsidRPr="00AC49DC">
        <w:t xml:space="preserve"> </w:t>
      </w:r>
      <w:r w:rsidRPr="00AC49DC">
        <w:t>given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notice</w:t>
      </w:r>
      <w:r w:rsidR="00F716B4" w:rsidRPr="00AC49DC">
        <w:t xml:space="preserve"> </w:t>
      </w:r>
      <w:r w:rsidRPr="00AC49DC">
        <w:t>referred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sub-paragraph</w:t>
      </w:r>
      <w:r w:rsidR="00F716B4" w:rsidRPr="00AC49DC">
        <w:t xml:space="preserve"> </w:t>
      </w:r>
      <w:r w:rsidRPr="00AC49DC">
        <w:t>(1)(a)(i)</w:t>
      </w:r>
      <w:r w:rsidR="00F716B4" w:rsidRPr="00AC49DC">
        <w:t xml:space="preserve"> </w:t>
      </w:r>
      <w:r w:rsidRPr="00AC49DC">
        <w:t>or</w:t>
      </w:r>
      <w:r w:rsidR="00F716B4" w:rsidRPr="00AC49DC">
        <w:t xml:space="preserve"> </w:t>
      </w:r>
      <w:r w:rsidRPr="00AC49DC">
        <w:t>(ii)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registration</w:t>
      </w:r>
      <w:r w:rsidR="00F716B4" w:rsidRPr="00AC49DC">
        <w:t xml:space="preserve"> </w:t>
      </w:r>
      <w:r w:rsidRPr="00AC49DC">
        <w:t>as</w:t>
      </w:r>
      <w:r w:rsidR="00F716B4" w:rsidRPr="00AC49DC">
        <w:t xml:space="preserve"> </w:t>
      </w:r>
      <w:r w:rsidRPr="00AC49DC">
        <w:t>a</w:t>
      </w:r>
      <w:r w:rsidR="00F716B4" w:rsidRPr="00AC49DC">
        <w:t xml:space="preserve"> </w:t>
      </w:r>
      <w:r w:rsidRPr="00AC49DC">
        <w:t>childminder</w:t>
      </w:r>
      <w:r w:rsidR="00F716B4" w:rsidRPr="00AC49DC">
        <w:t xml:space="preserve"> </w:t>
      </w:r>
      <w:r w:rsidRPr="00AC49DC">
        <w:t>with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premises—</w:t>
      </w:r>
    </w:p>
    <w:p w14:paraId="57634D0C" w14:textId="77777777" w:rsidR="008743E2" w:rsidRPr="00AC49DC" w:rsidRDefault="008743E2" w:rsidP="001A0BB2">
      <w:pPr>
        <w:pStyle w:val="N3"/>
      </w:pPr>
      <w:r w:rsidRPr="00AC49DC">
        <w:t>in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case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a</w:t>
      </w:r>
      <w:r w:rsidR="00F716B4" w:rsidRPr="00AC49DC">
        <w:t xml:space="preserve"> </w:t>
      </w:r>
      <w:r w:rsidRPr="00AC49DC">
        <w:t>person</w:t>
      </w:r>
      <w:r w:rsidR="00F716B4" w:rsidRPr="00AC49DC">
        <w:t xml:space="preserve"> </w:t>
      </w:r>
      <w:r w:rsidRPr="00AC49DC">
        <w:t>who</w:t>
      </w:r>
      <w:r w:rsidR="00F716B4" w:rsidRPr="00AC49DC">
        <w:t xml:space="preserve"> </w:t>
      </w:r>
      <w:r w:rsidRPr="00AC49DC">
        <w:t>has</w:t>
      </w:r>
      <w:r w:rsidR="00F716B4" w:rsidRPr="00AC49DC">
        <w:t xml:space="preserve"> </w:t>
      </w:r>
      <w:r w:rsidRPr="00AC49DC">
        <w:t>given</w:t>
      </w:r>
      <w:r w:rsidR="00F716B4" w:rsidRPr="00AC49DC">
        <w:t xml:space="preserve"> </w:t>
      </w:r>
      <w:r w:rsidRPr="00AC49DC">
        <w:t>a</w:t>
      </w:r>
      <w:r w:rsidR="00F716B4" w:rsidRPr="00AC49DC">
        <w:t xml:space="preserve"> </w:t>
      </w:r>
      <w:r w:rsidRPr="00AC49DC">
        <w:t>notice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be</w:t>
      </w:r>
      <w:r w:rsidR="00F716B4" w:rsidRPr="00AC49DC">
        <w:t xml:space="preserve"> </w:t>
      </w:r>
      <w:r w:rsidRPr="00AC49DC">
        <w:t>registered</w:t>
      </w:r>
      <w:r w:rsidR="00F716B4" w:rsidRPr="00AC49DC">
        <w:t xml:space="preserve"> </w:t>
      </w:r>
      <w:r w:rsidRPr="00AC49DC">
        <w:t>as</w:t>
      </w:r>
      <w:r w:rsidR="00F716B4" w:rsidRPr="00AC49DC">
        <w:t xml:space="preserve"> </w:t>
      </w:r>
      <w:r w:rsidRPr="00AC49DC">
        <w:t>described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sub-paragraph</w:t>
      </w:r>
      <w:r w:rsidR="00F716B4" w:rsidRPr="00AC49DC">
        <w:t xml:space="preserve"> </w:t>
      </w:r>
      <w:r w:rsidRPr="00AC49DC">
        <w:t>(1)(a)(i),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B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general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register</w:t>
      </w:r>
      <w:r w:rsidR="00F716B4" w:rsidRPr="00AC49DC">
        <w:t xml:space="preserve"> </w:t>
      </w:r>
      <w:r w:rsidRPr="00AC49DC">
        <w:t>under</w:t>
      </w:r>
      <w:r w:rsidR="00F716B4" w:rsidRPr="00AC49DC">
        <w:t xml:space="preserve"> </w:t>
      </w:r>
      <w:r w:rsidRPr="00AC49DC">
        <w:t>section</w:t>
      </w:r>
      <w:r w:rsidR="00F716B4" w:rsidRPr="00AC49DC">
        <w:t xml:space="preserve"> </w:t>
      </w:r>
      <w:r w:rsidRPr="00AC49DC">
        <w:t>65(1)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Act;</w:t>
      </w:r>
      <w:r w:rsidR="00F716B4" w:rsidRPr="00AC49DC">
        <w:t xml:space="preserve"> </w:t>
      </w:r>
      <w:r w:rsidRPr="00AC49DC">
        <w:t>or</w:t>
      </w:r>
    </w:p>
    <w:p w14:paraId="178FB694" w14:textId="77777777" w:rsidR="004A585D" w:rsidRPr="000E1163" w:rsidRDefault="008743E2" w:rsidP="00110559">
      <w:pPr>
        <w:pStyle w:val="N3"/>
      </w:pPr>
      <w:r w:rsidRPr="000E1163">
        <w:t>in</w:t>
      </w:r>
      <w:r w:rsidR="00F716B4" w:rsidRPr="000E1163">
        <w:t xml:space="preserve"> </w:t>
      </w:r>
      <w:r w:rsidRPr="000E1163">
        <w:t>the</w:t>
      </w:r>
      <w:r w:rsidR="00F716B4" w:rsidRPr="000E1163">
        <w:t xml:space="preserve"> </w:t>
      </w:r>
      <w:r w:rsidRPr="000E1163">
        <w:t>case</w:t>
      </w:r>
      <w:r w:rsidR="00F716B4" w:rsidRPr="000E1163">
        <w:t xml:space="preserve"> </w:t>
      </w:r>
      <w:r w:rsidRPr="000E1163">
        <w:t>of</w:t>
      </w:r>
      <w:r w:rsidR="00F716B4" w:rsidRPr="000E1163">
        <w:t xml:space="preserve"> </w:t>
      </w:r>
      <w:r w:rsidRPr="000E1163">
        <w:t>a</w:t>
      </w:r>
      <w:r w:rsidR="00F716B4" w:rsidRPr="000E1163">
        <w:t xml:space="preserve"> </w:t>
      </w:r>
      <w:r w:rsidRPr="000E1163">
        <w:t>person</w:t>
      </w:r>
      <w:r w:rsidR="00F716B4" w:rsidRPr="000E1163">
        <w:t xml:space="preserve"> </w:t>
      </w:r>
      <w:r w:rsidRPr="000E1163">
        <w:t>who</w:t>
      </w:r>
      <w:r w:rsidR="00F716B4" w:rsidRPr="000E1163">
        <w:t xml:space="preserve"> </w:t>
      </w:r>
      <w:r w:rsidRPr="000E1163">
        <w:t>has</w:t>
      </w:r>
      <w:r w:rsidR="00F716B4" w:rsidRPr="000E1163">
        <w:t xml:space="preserve"> </w:t>
      </w:r>
      <w:r w:rsidRPr="000E1163">
        <w:t>given</w:t>
      </w:r>
      <w:r w:rsidR="00F716B4" w:rsidRPr="000E1163">
        <w:t xml:space="preserve"> </w:t>
      </w:r>
      <w:r w:rsidRPr="000E1163">
        <w:t>a</w:t>
      </w:r>
      <w:r w:rsidR="00F716B4" w:rsidRPr="000E1163">
        <w:t xml:space="preserve"> </w:t>
      </w:r>
      <w:r w:rsidRPr="000E1163">
        <w:t>notice</w:t>
      </w:r>
      <w:r w:rsidR="00F716B4" w:rsidRPr="000E1163">
        <w:t xml:space="preserve"> </w:t>
      </w:r>
      <w:r w:rsidRPr="000E1163">
        <w:t>to</w:t>
      </w:r>
      <w:r w:rsidR="00F716B4" w:rsidRPr="000E1163">
        <w:t xml:space="preserve"> </w:t>
      </w:r>
      <w:r w:rsidRPr="000E1163">
        <w:t>be</w:t>
      </w:r>
      <w:r w:rsidR="00F716B4" w:rsidRPr="000E1163">
        <w:t xml:space="preserve"> </w:t>
      </w:r>
      <w:r w:rsidRPr="000E1163">
        <w:t>registered</w:t>
      </w:r>
      <w:r w:rsidR="00F716B4" w:rsidRPr="000E1163">
        <w:t xml:space="preserve"> </w:t>
      </w:r>
      <w:r w:rsidRPr="000E1163">
        <w:t>as</w:t>
      </w:r>
      <w:r w:rsidR="00F716B4" w:rsidRPr="000E1163">
        <w:t xml:space="preserve"> </w:t>
      </w:r>
      <w:r w:rsidRPr="000E1163">
        <w:t>described</w:t>
      </w:r>
      <w:r w:rsidR="00F716B4" w:rsidRPr="000E1163">
        <w:t xml:space="preserve"> </w:t>
      </w:r>
      <w:r w:rsidRPr="000E1163">
        <w:t>in</w:t>
      </w:r>
      <w:r w:rsidR="00F716B4" w:rsidRPr="000E1163">
        <w:t xml:space="preserve"> </w:t>
      </w:r>
      <w:r w:rsidRPr="000E1163">
        <w:t>sub-paragraph</w:t>
      </w:r>
      <w:r w:rsidR="00F716B4" w:rsidRPr="000E1163">
        <w:t xml:space="preserve"> </w:t>
      </w:r>
      <w:r w:rsidRPr="000E1163">
        <w:t>(1)(a)(ii),</w:t>
      </w:r>
      <w:r w:rsidR="00F716B4" w:rsidRPr="000E1163">
        <w:t xml:space="preserve"> </w:t>
      </w:r>
      <w:r w:rsidRPr="000E1163">
        <w:t>with</w:t>
      </w:r>
      <w:r w:rsidR="00F716B4" w:rsidRPr="000E1163">
        <w:t xml:space="preserve"> </w:t>
      </w:r>
      <w:r w:rsidRPr="000E1163">
        <w:t>the</w:t>
      </w:r>
      <w:r w:rsidR="00F716B4" w:rsidRPr="000E1163">
        <w:t xml:space="preserve"> </w:t>
      </w:r>
      <w:r w:rsidRPr="000E1163">
        <w:t>early</w:t>
      </w:r>
      <w:r w:rsidR="00F716B4" w:rsidRPr="000E1163">
        <w:t xml:space="preserve"> </w:t>
      </w:r>
      <w:r w:rsidRPr="000E1163">
        <w:t>years</w:t>
      </w:r>
      <w:r w:rsidR="00F716B4" w:rsidRPr="000E1163">
        <w:t xml:space="preserve"> </w:t>
      </w:r>
      <w:r w:rsidR="00C66688" w:rsidRPr="000E1163">
        <w:t>childminder</w:t>
      </w:r>
      <w:r w:rsidR="00F716B4" w:rsidRPr="000E1163">
        <w:t xml:space="preserve"> </w:t>
      </w:r>
      <w:r w:rsidR="00C66688" w:rsidRPr="000E1163">
        <w:t>agency</w:t>
      </w:r>
      <w:r w:rsidR="00F716B4" w:rsidRPr="000E1163">
        <w:t xml:space="preserve"> </w:t>
      </w:r>
      <w:r w:rsidRPr="000E1163">
        <w:t>or</w:t>
      </w:r>
      <w:r w:rsidR="00F716B4" w:rsidRPr="000E1163">
        <w:t xml:space="preserve"> </w:t>
      </w:r>
      <w:r w:rsidR="00B76B64" w:rsidRPr="000E1163">
        <w:t>the</w:t>
      </w:r>
      <w:r w:rsidR="00F716B4" w:rsidRPr="000E1163">
        <w:t xml:space="preserve"> </w:t>
      </w:r>
      <w:r w:rsidRPr="000E1163">
        <w:t>later</w:t>
      </w:r>
      <w:r w:rsidR="00F716B4" w:rsidRPr="000E1163">
        <w:t xml:space="preserve"> </w:t>
      </w:r>
      <w:r w:rsidRPr="000E1163">
        <w:t>years</w:t>
      </w:r>
      <w:r w:rsidR="00F716B4" w:rsidRPr="000E1163">
        <w:t xml:space="preserve"> </w:t>
      </w:r>
      <w:r w:rsidRPr="000E1163">
        <w:t>childminder</w:t>
      </w:r>
      <w:r w:rsidR="00F716B4" w:rsidRPr="000E1163">
        <w:t xml:space="preserve"> </w:t>
      </w:r>
      <w:r w:rsidRPr="000E1163">
        <w:t>agency</w:t>
      </w:r>
      <w:r w:rsidR="00F716B4" w:rsidRPr="000E1163">
        <w:t xml:space="preserve"> </w:t>
      </w:r>
      <w:r w:rsidRPr="000E1163">
        <w:t>in</w:t>
      </w:r>
      <w:r w:rsidR="00F716B4" w:rsidRPr="000E1163">
        <w:t xml:space="preserve"> </w:t>
      </w:r>
      <w:r w:rsidRPr="000E1163">
        <w:t>question</w:t>
      </w:r>
      <w:r w:rsidR="00F716B4" w:rsidRPr="000E1163">
        <w:t xml:space="preserve"> </w:t>
      </w:r>
      <w:r w:rsidRPr="000E1163">
        <w:t>under</w:t>
      </w:r>
      <w:r w:rsidR="00F716B4" w:rsidRPr="000E1163">
        <w:t xml:space="preserve"> </w:t>
      </w:r>
      <w:r w:rsidRPr="000E1163">
        <w:t>section</w:t>
      </w:r>
      <w:r w:rsidR="00F716B4" w:rsidRPr="000E1163">
        <w:t xml:space="preserve"> </w:t>
      </w:r>
      <w:r w:rsidRPr="000E1163">
        <w:t>65A(1)</w:t>
      </w:r>
      <w:r w:rsidR="00F716B4" w:rsidRPr="000E1163">
        <w:t xml:space="preserve"> </w:t>
      </w:r>
      <w:r w:rsidRPr="000E1163">
        <w:t>of</w:t>
      </w:r>
      <w:r w:rsidR="00F716B4" w:rsidRPr="000E1163">
        <w:t xml:space="preserve"> </w:t>
      </w:r>
      <w:r w:rsidRPr="000E1163">
        <w:t>the</w:t>
      </w:r>
      <w:r w:rsidR="00F716B4" w:rsidRPr="000E1163">
        <w:t xml:space="preserve"> </w:t>
      </w:r>
      <w:r w:rsidRPr="000E1163">
        <w:t>2006</w:t>
      </w:r>
      <w:r w:rsidR="00F716B4" w:rsidRPr="000E1163">
        <w:t xml:space="preserve"> </w:t>
      </w:r>
      <w:r w:rsidRPr="000E1163">
        <w:t>Act</w:t>
      </w:r>
      <w:r w:rsidR="00110559" w:rsidRPr="000E1163">
        <w:t>.</w:t>
      </w:r>
    </w:p>
    <w:p w14:paraId="7F5C10D9" w14:textId="77777777" w:rsidR="004C6530" w:rsidRPr="004C6530" w:rsidRDefault="004C6530" w:rsidP="004C6530">
      <w:pPr>
        <w:pStyle w:val="linespace"/>
      </w:pPr>
    </w:p>
    <w:p w14:paraId="09FF40CF" w14:textId="77777777" w:rsidR="004A585D" w:rsidRPr="00AC49DC" w:rsidRDefault="004A585D" w:rsidP="004A585D">
      <w:pPr>
        <w:pStyle w:val="XNote"/>
      </w:pPr>
      <w:r w:rsidRPr="00AC49DC">
        <w:t>EXPLANATORY</w:t>
      </w:r>
      <w:r w:rsidR="00F716B4" w:rsidRPr="00AC49DC">
        <w:t xml:space="preserve"> </w:t>
      </w:r>
      <w:r w:rsidRPr="00AC49DC">
        <w:t>NOTE</w:t>
      </w:r>
    </w:p>
    <w:p w14:paraId="2065EEF0" w14:textId="77777777" w:rsidR="004A585D" w:rsidRPr="00AC49DC" w:rsidRDefault="004A585D" w:rsidP="004A585D">
      <w:pPr>
        <w:pStyle w:val="XNotenote"/>
      </w:pPr>
      <w:r w:rsidRPr="00AC49DC">
        <w:t>(This</w:t>
      </w:r>
      <w:r w:rsidR="00F716B4" w:rsidRPr="00AC49DC">
        <w:t xml:space="preserve"> </w:t>
      </w:r>
      <w:r w:rsidRPr="00AC49DC">
        <w:t>note</w:t>
      </w:r>
      <w:r w:rsidR="00F716B4" w:rsidRPr="00AC49DC">
        <w:t xml:space="preserve"> </w:t>
      </w:r>
      <w:r w:rsidRPr="00AC49DC">
        <w:t>is</w:t>
      </w:r>
      <w:r w:rsidR="00F716B4" w:rsidRPr="00AC49DC">
        <w:t xml:space="preserve"> </w:t>
      </w:r>
      <w:r w:rsidRPr="00AC49DC">
        <w:t>not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Regulations)</w:t>
      </w:r>
    </w:p>
    <w:p w14:paraId="7E68F31C" w14:textId="30008A81" w:rsidR="003D2928" w:rsidRPr="003D2928" w:rsidRDefault="003D2928" w:rsidP="004A585D">
      <w:pPr>
        <w:pStyle w:val="T1"/>
        <w:rPr>
          <w:b/>
          <w:bCs/>
        </w:rPr>
      </w:pPr>
      <w:r>
        <w:rPr>
          <w:b/>
          <w:bCs/>
        </w:rPr>
        <w:t>First heading</w:t>
      </w:r>
    </w:p>
    <w:p w14:paraId="018C2756" w14:textId="721DDB0A" w:rsidR="004A585D" w:rsidRPr="00AC49DC" w:rsidRDefault="004A585D" w:rsidP="004A585D">
      <w:pPr>
        <w:pStyle w:val="T1"/>
      </w:pPr>
      <w:r w:rsidRPr="00AC49DC">
        <w:t>These</w:t>
      </w:r>
      <w:r w:rsidR="00F716B4" w:rsidRPr="00AC49DC">
        <w:t xml:space="preserve"> </w:t>
      </w:r>
      <w:r w:rsidRPr="00AC49DC">
        <w:t>Regulations</w:t>
      </w:r>
      <w:r w:rsidR="00F716B4" w:rsidRPr="00AC49DC">
        <w:t xml:space="preserve"> </w:t>
      </w:r>
      <w:r w:rsidRPr="00AC49DC">
        <w:t>are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fifth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regulations</w:t>
      </w:r>
      <w:r w:rsidR="00F716B4" w:rsidRPr="00AC49DC">
        <w:t xml:space="preserve"> </w:t>
      </w:r>
      <w:r w:rsidRPr="00AC49DC">
        <w:t>bringing</w:t>
      </w:r>
      <w:r w:rsidR="00F716B4" w:rsidRPr="00AC49DC">
        <w:t xml:space="preserve"> </w:t>
      </w:r>
      <w:r w:rsidRPr="00AC49DC">
        <w:t>into</w:t>
      </w:r>
      <w:r w:rsidR="00F716B4" w:rsidRPr="00AC49DC">
        <w:t xml:space="preserve"> </w:t>
      </w:r>
      <w:r w:rsidRPr="00AC49DC">
        <w:t>force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Levelling-up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Regeneration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2023</w:t>
      </w:r>
      <w:r w:rsidR="00F716B4" w:rsidRPr="00AC49DC">
        <w:t xml:space="preserve"> </w:t>
      </w:r>
      <w:r w:rsidRPr="00AC49DC">
        <w:t>(c.</w:t>
      </w:r>
      <w:r w:rsidR="00F716B4" w:rsidRPr="00AC49DC">
        <w:t xml:space="preserve"> </w:t>
      </w:r>
      <w:r w:rsidRPr="00AC49DC">
        <w:t>55)</w:t>
      </w:r>
      <w:r w:rsidR="00F716B4" w:rsidRPr="00AC49DC">
        <w:t xml:space="preserve"> </w:t>
      </w:r>
      <w:r w:rsidRPr="00AC49DC">
        <w:t>(“the</w:t>
      </w:r>
      <w:r w:rsidR="00F716B4" w:rsidRPr="00AC49DC">
        <w:t xml:space="preserve"> </w:t>
      </w:r>
      <w:r w:rsidRPr="00AC49DC">
        <w:t>Act”).</w:t>
      </w:r>
    </w:p>
    <w:p w14:paraId="78CDBFEB" w14:textId="77777777" w:rsidR="00F716B4" w:rsidRPr="00AC49DC" w:rsidRDefault="004A585D" w:rsidP="004A585D">
      <w:pPr>
        <w:pStyle w:val="T1"/>
      </w:pPr>
      <w:r w:rsidRPr="00AC49DC">
        <w:t>The</w:t>
      </w:r>
      <w:r w:rsidR="00F716B4" w:rsidRPr="00AC49DC">
        <w:t xml:space="preserve"> </w:t>
      </w:r>
      <w:r w:rsidRPr="00AC49DC">
        <w:t>provisions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specified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regulation</w:t>
      </w:r>
      <w:r w:rsidR="00F716B4" w:rsidRPr="00AC49DC">
        <w:t xml:space="preserve"> </w:t>
      </w:r>
      <w:r w:rsidRPr="00AC49DC">
        <w:t>2</w:t>
      </w:r>
      <w:r w:rsidR="00F716B4" w:rsidRPr="00AC49DC">
        <w:t xml:space="preserve"> </w:t>
      </w:r>
      <w:r w:rsidRPr="00AC49DC">
        <w:t>come</w:t>
      </w:r>
      <w:r w:rsidR="00F716B4" w:rsidRPr="00AC49DC">
        <w:t xml:space="preserve"> </w:t>
      </w:r>
      <w:r w:rsidRPr="00AC49DC">
        <w:t>into</w:t>
      </w:r>
      <w:r w:rsidR="00F716B4" w:rsidRPr="00AC49DC">
        <w:t xml:space="preserve"> </w:t>
      </w:r>
      <w:r w:rsidRPr="00AC49DC">
        <w:t>force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1st</w:t>
      </w:r>
      <w:r w:rsidR="00F716B4" w:rsidRPr="00AC49DC">
        <w:t xml:space="preserve"> </w:t>
      </w:r>
      <w:r w:rsidRPr="00AC49DC">
        <w:t>November</w:t>
      </w:r>
      <w:r w:rsidR="00F716B4" w:rsidRPr="00AC49DC">
        <w:t xml:space="preserve"> </w:t>
      </w:r>
      <w:r w:rsidRPr="00AC49DC">
        <w:t>2024.</w:t>
      </w:r>
      <w:r w:rsidR="00F716B4" w:rsidRPr="00AC49DC">
        <w:t xml:space="preserve"> </w:t>
      </w:r>
      <w:r w:rsidRPr="00AC49DC">
        <w:t>Those</w:t>
      </w:r>
      <w:r w:rsidR="00F716B4" w:rsidRPr="00AC49DC">
        <w:t xml:space="preserve"> </w:t>
      </w:r>
      <w:r w:rsidRPr="00AC49DC">
        <w:t>provisions</w:t>
      </w:r>
      <w:r w:rsidR="00F716B4" w:rsidRPr="00AC49DC">
        <w:t xml:space="preserve"> </w:t>
      </w:r>
      <w:r w:rsidRPr="00AC49DC">
        <w:t>are—</w:t>
      </w:r>
    </w:p>
    <w:p w14:paraId="084884A0" w14:textId="77777777" w:rsidR="00F716B4" w:rsidRPr="00AC49DC" w:rsidRDefault="004A585D" w:rsidP="004A585D">
      <w:pPr>
        <w:pStyle w:val="N3"/>
        <w:numPr>
          <w:ilvl w:val="2"/>
          <w:numId w:val="17"/>
        </w:numPr>
      </w:pPr>
      <w:r w:rsidRPr="00AC49DC">
        <w:t>section</w:t>
      </w:r>
      <w:r w:rsidR="00F716B4" w:rsidRPr="00AC49DC">
        <w:t xml:space="preserve"> </w:t>
      </w:r>
      <w:r w:rsidRPr="00AC49DC">
        <w:t>237</w:t>
      </w:r>
      <w:r w:rsidR="00F716B4" w:rsidRPr="00AC49DC">
        <w:t xml:space="preserve"> </w:t>
      </w:r>
      <w:r w:rsidRPr="00AC49DC">
        <w:t>(childcare:</w:t>
      </w:r>
      <w:r w:rsidR="00F716B4" w:rsidRPr="00AC49DC">
        <w:t xml:space="preserve"> </w:t>
      </w:r>
      <w:r w:rsidRPr="00AC49DC">
        <w:t>use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premises),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Schedule</w:t>
      </w:r>
      <w:r w:rsidR="00F716B4" w:rsidRPr="00AC49DC">
        <w:t xml:space="preserve"> </w:t>
      </w:r>
      <w:r w:rsidRPr="00AC49DC">
        <w:t>23</w:t>
      </w:r>
      <w:r w:rsidR="00F716B4" w:rsidRPr="00AC49DC">
        <w:t xml:space="preserve"> </w:t>
      </w:r>
      <w:r w:rsidRPr="00AC49DC">
        <w:t>(use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registration)</w:t>
      </w:r>
      <w:r w:rsidR="00F716B4" w:rsidRPr="00AC49DC">
        <w:t xml:space="preserve"> </w:t>
      </w:r>
      <w:r w:rsidRPr="00AC49DC">
        <w:t>as</w:t>
      </w:r>
      <w:r w:rsidR="00F716B4" w:rsidRPr="00AC49DC">
        <w:t xml:space="preserve"> </w:t>
      </w:r>
      <w:r w:rsidRPr="00AC49DC">
        <w:t>introduced</w:t>
      </w:r>
      <w:r w:rsidR="00F716B4" w:rsidRPr="00AC49DC">
        <w:t xml:space="preserve"> </w:t>
      </w:r>
      <w:r w:rsidRPr="00AC49DC">
        <w:t>by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section;</w:t>
      </w:r>
      <w:r w:rsidR="00F716B4" w:rsidRPr="00AC49DC">
        <w:t xml:space="preserve"> </w:t>
      </w:r>
      <w:r w:rsidRPr="00AC49DC">
        <w:t>and</w:t>
      </w:r>
    </w:p>
    <w:p w14:paraId="61149C81" w14:textId="77777777" w:rsidR="004A585D" w:rsidRPr="00AC49DC" w:rsidRDefault="004A585D" w:rsidP="00110559">
      <w:pPr>
        <w:pStyle w:val="N3"/>
      </w:pPr>
      <w:r w:rsidRPr="00AC49DC">
        <w:t>section</w:t>
      </w:r>
      <w:r w:rsidR="00F716B4" w:rsidRPr="00AC49DC">
        <w:t xml:space="preserve"> </w:t>
      </w:r>
      <w:r w:rsidRPr="00AC49DC">
        <w:t>238</w:t>
      </w:r>
      <w:r w:rsidR="00F716B4" w:rsidRPr="00AC49DC">
        <w:t xml:space="preserve"> </w:t>
      </w:r>
      <w:r w:rsidRPr="00AC49DC">
        <w:t>(childcare:</w:t>
      </w:r>
      <w:r w:rsidR="00F716B4" w:rsidRPr="00AC49DC">
        <w:t xml:space="preserve"> </w:t>
      </w:r>
      <w:r w:rsidRPr="00AC49DC">
        <w:t>number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providers).</w:t>
      </w:r>
    </w:p>
    <w:p w14:paraId="6EC4EB69" w14:textId="34276A74" w:rsidR="004A585D" w:rsidRDefault="004A585D" w:rsidP="004A585D">
      <w:pPr>
        <w:pStyle w:val="T1"/>
      </w:pPr>
      <w:r w:rsidRPr="00AC49DC">
        <w:t>The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Pr="00AC49DC">
        <w:t>brought</w:t>
      </w:r>
      <w:r w:rsidR="00F716B4" w:rsidRPr="00AC49DC">
        <w:t xml:space="preserve"> </w:t>
      </w:r>
      <w:r w:rsidRPr="00AC49DC">
        <w:t>into</w:t>
      </w:r>
      <w:r w:rsidR="00F716B4" w:rsidRPr="00AC49DC">
        <w:t xml:space="preserve"> </w:t>
      </w:r>
      <w:r w:rsidRPr="00AC49DC">
        <w:t>force</w:t>
      </w:r>
      <w:r w:rsidR="00F716B4" w:rsidRPr="00AC49DC">
        <w:t xml:space="preserve"> </w:t>
      </w:r>
      <w:r w:rsidRPr="00AC49DC">
        <w:t>by</w:t>
      </w:r>
      <w:r w:rsidR="00F716B4" w:rsidRPr="00AC49DC">
        <w:t xml:space="preserve"> </w:t>
      </w:r>
      <w:r w:rsidRPr="00AC49DC">
        <w:t>these</w:t>
      </w:r>
      <w:r w:rsidR="00F716B4" w:rsidRPr="00AC49DC">
        <w:t xml:space="preserve"> </w:t>
      </w:r>
      <w:r w:rsidRPr="00AC49DC">
        <w:t>Regulations</w:t>
      </w:r>
      <w:r w:rsidR="00F716B4" w:rsidRPr="00AC49DC">
        <w:t xml:space="preserve"> </w:t>
      </w:r>
      <w:r w:rsidRPr="00AC49DC">
        <w:t>amends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3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(c.</w:t>
      </w:r>
      <w:r w:rsidR="00F716B4" w:rsidRPr="00AC49DC">
        <w:t xml:space="preserve"> </w:t>
      </w:r>
      <w:r w:rsidRPr="00AC49DC">
        <w:t>21)</w:t>
      </w:r>
      <w:r w:rsidR="00F716B4" w:rsidRPr="00AC49DC">
        <w:t xml:space="preserve"> </w:t>
      </w:r>
      <w:r w:rsidRPr="00AC49DC">
        <w:t>(“the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Act”)</w:t>
      </w:r>
      <w:r w:rsidR="00F716B4" w:rsidRPr="00AC49DC">
        <w:t xml:space="preserve"> </w:t>
      </w:r>
      <w:r w:rsidRPr="00AC49DC">
        <w:t>(regulation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England).</w:t>
      </w:r>
    </w:p>
    <w:p w14:paraId="672BC47F" w14:textId="12C1F72B" w:rsidR="00C325A2" w:rsidRPr="00C325A2" w:rsidRDefault="00C325A2" w:rsidP="004A585D">
      <w:pPr>
        <w:pStyle w:val="T1"/>
        <w:rPr>
          <w:b/>
          <w:bCs/>
        </w:rPr>
      </w:pPr>
      <w:r>
        <w:rPr>
          <w:b/>
          <w:bCs/>
        </w:rPr>
        <w:t>Heading here</w:t>
      </w:r>
    </w:p>
    <w:p w14:paraId="1388003A" w14:textId="3633ED49" w:rsidR="004A585D" w:rsidRDefault="004A585D" w:rsidP="004A585D">
      <w:pPr>
        <w:pStyle w:val="T1"/>
      </w:pPr>
      <w:r w:rsidRPr="00AC49DC">
        <w:t>Section</w:t>
      </w:r>
      <w:r w:rsidR="00F716B4" w:rsidRPr="00AC49DC">
        <w:t xml:space="preserve"> </w:t>
      </w:r>
      <w:r w:rsidRPr="00AC49DC">
        <w:t>237(1)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amends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definitions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“early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childminding”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“later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childminding”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sections</w:t>
      </w:r>
      <w:r w:rsidR="00F716B4" w:rsidRPr="00AC49DC">
        <w:t xml:space="preserve"> </w:t>
      </w:r>
      <w:r w:rsidRPr="00AC49DC">
        <w:t>96(4)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(8)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respectively</w:t>
      </w:r>
      <w:r w:rsidR="00F716B4" w:rsidRPr="00AC49DC">
        <w:t xml:space="preserve"> </w:t>
      </w:r>
      <w:r w:rsidRPr="00AC49DC">
        <w:t>(those</w:t>
      </w:r>
      <w:r w:rsidR="00F716B4" w:rsidRPr="00AC49DC">
        <w:t xml:space="preserve"> </w:t>
      </w:r>
      <w:r w:rsidRPr="00AC49DC">
        <w:t>provisions</w:t>
      </w:r>
      <w:r w:rsidR="00F716B4" w:rsidRPr="00AC49DC">
        <w:t xml:space="preserve"> </w:t>
      </w:r>
      <w:r w:rsidRPr="00AC49DC">
        <w:t>coming</w:t>
      </w:r>
      <w:r w:rsidR="00F716B4" w:rsidRPr="00AC49DC">
        <w:t xml:space="preserve"> </w:t>
      </w:r>
      <w:r w:rsidRPr="00AC49DC">
        <w:t>within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3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Act),</w:t>
      </w:r>
      <w:r w:rsidR="00F716B4" w:rsidRPr="00AC49DC">
        <w:t xml:space="preserve"> </w:t>
      </w:r>
      <w:r w:rsidRPr="00AC49DC">
        <w:t>by</w:t>
      </w:r>
      <w:r w:rsidR="00F716B4" w:rsidRPr="00AC49DC">
        <w:t xml:space="preserve"> </w:t>
      </w:r>
      <w:r w:rsidRPr="00AC49DC">
        <w:t>removing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requirement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at</w:t>
      </w:r>
      <w:r w:rsidR="00F716B4" w:rsidRPr="00AC49DC">
        <w:t xml:space="preserve"> </w:t>
      </w:r>
      <w:r w:rsidRPr="00AC49DC">
        <w:t>least</w:t>
      </w:r>
      <w:r w:rsidR="00F716B4" w:rsidRPr="00AC49DC">
        <w:t xml:space="preserve"> </w:t>
      </w:r>
      <w:r w:rsidRPr="00AC49DC">
        <w:t>half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Pr="00AC49DC">
        <w:t>must</w:t>
      </w:r>
      <w:r w:rsidR="00F716B4" w:rsidRPr="00AC49DC">
        <w:t xml:space="preserve"> </w:t>
      </w:r>
      <w:r w:rsidRPr="00AC49DC">
        <w:t>be</w:t>
      </w:r>
      <w:r w:rsidR="00F716B4" w:rsidRPr="00AC49DC">
        <w:t xml:space="preserve"> </w:t>
      </w:r>
      <w:r w:rsidRPr="00AC49DC">
        <w:t>provided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premises.</w:t>
      </w:r>
      <w:r w:rsidR="00F716B4" w:rsidRPr="00AC49DC">
        <w:t xml:space="preserve"> </w:t>
      </w:r>
      <w:r w:rsidRPr="00AC49DC">
        <w:t>Subsection</w:t>
      </w:r>
      <w:r w:rsidR="00F716B4" w:rsidRPr="00AC49DC">
        <w:t xml:space="preserve"> </w:t>
      </w:r>
      <w:r w:rsidRPr="00AC49DC">
        <w:t>(2)</w:t>
      </w:r>
      <w:r w:rsidR="00F716B4" w:rsidRPr="00AC49DC">
        <w:t xml:space="preserve"> </w:t>
      </w:r>
      <w:r w:rsidRPr="00AC49DC">
        <w:t>introduces</w:t>
      </w:r>
      <w:r w:rsidR="00F716B4" w:rsidRPr="00AC49DC">
        <w:t xml:space="preserve"> </w:t>
      </w:r>
      <w:r w:rsidRPr="00AC49DC">
        <w:t>Schedule</w:t>
      </w:r>
      <w:r w:rsidR="00F716B4" w:rsidRPr="00AC49DC">
        <w:t xml:space="preserve"> </w:t>
      </w:r>
      <w:r w:rsidRPr="00AC49DC">
        <w:t>23</w:t>
      </w:r>
      <w:r w:rsidR="00F716B4" w:rsidRPr="00AC49DC">
        <w:t xml:space="preserve"> </w:t>
      </w:r>
      <w:r w:rsidRPr="00AC49DC">
        <w:t>(use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registration)</w:t>
      </w:r>
      <w:r w:rsidR="00F716B4" w:rsidRPr="00AC49DC">
        <w:t xml:space="preserve"> </w:t>
      </w:r>
      <w:r w:rsidRPr="00AC49DC">
        <w:t>which</w:t>
      </w:r>
      <w:r w:rsidR="00F716B4" w:rsidRPr="00AC49DC">
        <w:t xml:space="preserve"> </w:t>
      </w:r>
      <w:r w:rsidRPr="00AC49DC">
        <w:t>makes</w:t>
      </w:r>
      <w:r w:rsidR="00F716B4" w:rsidRPr="00AC49DC">
        <w:t xml:space="preserve"> </w:t>
      </w:r>
      <w:r w:rsidRPr="00AC49DC">
        <w:t>further</w:t>
      </w:r>
      <w:r w:rsidR="00F716B4" w:rsidRPr="00AC49DC">
        <w:t xml:space="preserve"> </w:t>
      </w:r>
      <w:r w:rsidRPr="00AC49DC">
        <w:t>amendments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3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relating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registration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persons</w:t>
      </w:r>
      <w:r w:rsidR="00F716B4" w:rsidRPr="00AC49DC">
        <w:t xml:space="preserve"> </w:t>
      </w:r>
      <w:r w:rsidRPr="00AC49DC">
        <w:t>providing</w:t>
      </w:r>
      <w:r w:rsidR="00F716B4" w:rsidRPr="00AC49DC">
        <w:t xml:space="preserve"> </w:t>
      </w:r>
      <w:r w:rsidRPr="00AC49DC">
        <w:t>childminding</w:t>
      </w:r>
      <w:r w:rsidR="00F716B4" w:rsidRPr="00AC49DC">
        <w:t xml:space="preserve"> </w:t>
      </w:r>
      <w:r w:rsidRPr="00AC49DC">
        <w:t>wholly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premises.</w:t>
      </w:r>
    </w:p>
    <w:p w14:paraId="0122D9FF" w14:textId="75EF9C0B" w:rsidR="00C325A2" w:rsidRDefault="00C325A2" w:rsidP="00C325A2">
      <w:pPr>
        <w:pStyle w:val="T1"/>
        <w:numPr>
          <w:ilvl w:val="0"/>
          <w:numId w:val="25"/>
        </w:numPr>
      </w:pPr>
      <w:r>
        <w:t>Testing</w:t>
      </w:r>
    </w:p>
    <w:p w14:paraId="04424E4E" w14:textId="3AD41AC0" w:rsidR="00C325A2" w:rsidRPr="00AC49DC" w:rsidRDefault="00C325A2" w:rsidP="00C325A2">
      <w:pPr>
        <w:pStyle w:val="T1"/>
        <w:numPr>
          <w:ilvl w:val="0"/>
          <w:numId w:val="25"/>
        </w:numPr>
      </w:pPr>
      <w:r>
        <w:t>Nice one</w:t>
      </w:r>
    </w:p>
    <w:p w14:paraId="637D65E5" w14:textId="77777777" w:rsidR="004A585D" w:rsidRPr="00AC49DC" w:rsidRDefault="004A585D" w:rsidP="004A585D">
      <w:pPr>
        <w:pStyle w:val="T1"/>
      </w:pPr>
      <w:r w:rsidRPr="00AC49DC">
        <w:t>Section</w:t>
      </w:r>
      <w:r w:rsidR="00F716B4" w:rsidRPr="00AC49DC">
        <w:t xml:space="preserve"> </w:t>
      </w:r>
      <w:r w:rsidRPr="00AC49DC">
        <w:t>238</w:t>
      </w:r>
      <w:r w:rsidR="00F716B4" w:rsidRPr="00AC49DC">
        <w:t xml:space="preserve"> </w:t>
      </w:r>
      <w:r w:rsidRPr="00AC49DC">
        <w:t>amends</w:t>
      </w:r>
      <w:r w:rsidR="00F716B4" w:rsidRPr="00AC49DC">
        <w:t xml:space="preserve"> </w:t>
      </w:r>
      <w:r w:rsidRPr="00AC49DC">
        <w:t>sections</w:t>
      </w:r>
      <w:r w:rsidR="00F716B4" w:rsidRPr="00AC49DC">
        <w:t xml:space="preserve"> </w:t>
      </w:r>
      <w:r w:rsidRPr="00AC49DC">
        <w:t>96(5)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(9)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Act,</w:t>
      </w:r>
      <w:r w:rsidR="00F716B4" w:rsidRPr="00AC49DC">
        <w:t xml:space="preserve"> </w:t>
      </w:r>
      <w:r w:rsidRPr="00AC49DC">
        <w:t>substituting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word</w:t>
      </w:r>
      <w:r w:rsidR="00F716B4" w:rsidRPr="00AC49DC">
        <w:t xml:space="preserve"> </w:t>
      </w:r>
      <w:r w:rsidRPr="00AC49DC">
        <w:t>“three”</w:t>
      </w:r>
      <w:r w:rsidR="00F716B4" w:rsidRPr="00AC49DC">
        <w:t xml:space="preserve"> </w:t>
      </w:r>
      <w:r w:rsidRPr="00AC49DC">
        <w:t>with</w:t>
      </w:r>
      <w:r w:rsidR="00F716B4" w:rsidRPr="00AC49DC">
        <w:t xml:space="preserve"> </w:t>
      </w:r>
      <w:r w:rsidRPr="00AC49DC">
        <w:t>“four”.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effect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this</w:t>
      </w:r>
      <w:r w:rsidR="00F716B4" w:rsidRPr="00AC49DC">
        <w:t xml:space="preserve"> </w:t>
      </w:r>
      <w:r w:rsidRPr="00AC49DC">
        <w:t>change</w:t>
      </w:r>
      <w:r w:rsidR="00F716B4" w:rsidRPr="00AC49DC">
        <w:t xml:space="preserve"> </w:t>
      </w:r>
      <w:r w:rsidRPr="00AC49DC">
        <w:t>is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increase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number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other</w:t>
      </w:r>
      <w:r w:rsidR="00F716B4" w:rsidRPr="00AC49DC">
        <w:t xml:space="preserve"> </w:t>
      </w:r>
      <w:r w:rsidRPr="00AC49DC">
        <w:t>childminders</w:t>
      </w:r>
      <w:r w:rsidR="00F716B4" w:rsidRPr="00AC49DC">
        <w:t xml:space="preserve"> </w:t>
      </w:r>
      <w:r w:rsidRPr="00AC49DC">
        <w:t>or</w:t>
      </w:r>
      <w:r w:rsidR="00F716B4" w:rsidRPr="00AC49DC">
        <w:t xml:space="preserve"> </w:t>
      </w:r>
      <w:r w:rsidRPr="00AC49DC">
        <w:t>assistants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childminders</w:t>
      </w:r>
      <w:r w:rsidR="00F716B4" w:rsidRPr="00AC49DC">
        <w:t xml:space="preserve"> </w:t>
      </w:r>
      <w:r w:rsidRPr="00AC49DC">
        <w:t>may</w:t>
      </w:r>
      <w:r w:rsidR="00F716B4" w:rsidRPr="00AC49DC">
        <w:t xml:space="preserve"> </w:t>
      </w:r>
      <w:r w:rsidRPr="00AC49DC">
        <w:t>work</w:t>
      </w:r>
      <w:r w:rsidR="00F716B4" w:rsidRPr="00AC49DC">
        <w:t xml:space="preserve"> </w:t>
      </w:r>
      <w:r w:rsidRPr="00AC49DC">
        <w:t>with</w:t>
      </w:r>
      <w:r w:rsidR="00F716B4" w:rsidRPr="00AC49DC">
        <w:t xml:space="preserve"> </w:t>
      </w:r>
      <w:r w:rsidRPr="00AC49DC">
        <w:t>from</w:t>
      </w:r>
      <w:r w:rsidR="00F716B4" w:rsidRPr="00AC49DC">
        <w:t xml:space="preserve"> </w:t>
      </w:r>
      <w:r w:rsidRPr="00AC49DC">
        <w:t>two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three</w:t>
      </w:r>
      <w:r w:rsidR="00F716B4" w:rsidRPr="00AC49DC">
        <w:t xml:space="preserve"> </w:t>
      </w:r>
      <w:r w:rsidRPr="00AC49DC">
        <w:t>(four</w:t>
      </w:r>
      <w:r w:rsidR="00F716B4" w:rsidRPr="00AC49DC">
        <w:t xml:space="preserve"> </w:t>
      </w:r>
      <w:r w:rsidRPr="00AC49DC">
        <w:t>people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total).</w:t>
      </w:r>
      <w:r w:rsidR="00F716B4" w:rsidRPr="00AC49DC">
        <w:t xml:space="preserve"> </w:t>
      </w:r>
      <w:r w:rsidRPr="00AC49DC">
        <w:t>It</w:t>
      </w:r>
      <w:r w:rsidR="00F716B4" w:rsidRPr="00AC49DC">
        <w:t xml:space="preserve"> </w:t>
      </w:r>
      <w:r w:rsidRPr="00AC49DC">
        <w:t>also</w:t>
      </w:r>
      <w:r w:rsidR="00F716B4" w:rsidRPr="00AC49DC">
        <w:t xml:space="preserve"> </w:t>
      </w:r>
      <w:r w:rsidRPr="00AC49DC">
        <w:t>increases,</w:t>
      </w:r>
      <w:r w:rsidR="00F716B4" w:rsidRPr="00AC49DC">
        <w:t xml:space="preserve"> </w:t>
      </w:r>
      <w:r w:rsidRPr="00AC49DC">
        <w:t>from</w:t>
      </w:r>
      <w:r w:rsidR="00F716B4" w:rsidRPr="00AC49DC">
        <w:t xml:space="preserve"> </w:t>
      </w:r>
      <w:r w:rsidRPr="00AC49DC">
        <w:t>four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five,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minimum</w:t>
      </w:r>
      <w:r w:rsidR="00F716B4" w:rsidRPr="00AC49DC">
        <w:t xml:space="preserve"> </w:t>
      </w:r>
      <w:r w:rsidRPr="00AC49DC">
        <w:t>number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people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must</w:t>
      </w:r>
      <w:r w:rsidR="00F716B4" w:rsidRPr="00AC49DC">
        <w:t xml:space="preserve"> </w:t>
      </w:r>
      <w:r w:rsidRPr="00AC49DC">
        <w:t>work</w:t>
      </w:r>
      <w:r w:rsidR="00F716B4" w:rsidRPr="00AC49DC">
        <w:t xml:space="preserve"> </w:t>
      </w:r>
      <w:r w:rsidRPr="00AC49DC">
        <w:t>together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provide</w:t>
      </w:r>
      <w:r w:rsidR="00F716B4" w:rsidRPr="00AC49DC">
        <w:t xml:space="preserve"> </w:t>
      </w:r>
      <w:r w:rsidRPr="00AC49DC">
        <w:t>“childcare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premises”</w:t>
      </w:r>
      <w:r w:rsidR="00F716B4" w:rsidRPr="00AC49DC">
        <w:t xml:space="preserve"> </w:t>
      </w:r>
      <w:r w:rsidRPr="00AC49DC">
        <w:t>(provision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would</w:t>
      </w:r>
      <w:r w:rsidR="00F716B4" w:rsidRPr="00AC49DC">
        <w:t xml:space="preserve"> </w:t>
      </w:r>
      <w:r w:rsidRPr="00AC49DC">
        <w:t>be</w:t>
      </w:r>
      <w:r w:rsidR="00F716B4" w:rsidRPr="00AC49DC">
        <w:t xml:space="preserve"> </w:t>
      </w:r>
      <w:r w:rsidRPr="00AC49DC">
        <w:t>childminding,</w:t>
      </w:r>
      <w:r w:rsidR="00F716B4" w:rsidRPr="00AC49DC">
        <w:t xml:space="preserve"> </w:t>
      </w:r>
      <w:r w:rsidRPr="00AC49DC">
        <w:t>at</w:t>
      </w:r>
      <w:r w:rsidR="00F716B4" w:rsidRPr="00AC49DC">
        <w:t xml:space="preserve"> </w:t>
      </w:r>
      <w:r w:rsidRPr="00AC49DC">
        <w:t>least</w:t>
      </w:r>
      <w:r w:rsidR="00F716B4" w:rsidRPr="00AC49DC">
        <w:t xml:space="preserve"> </w:t>
      </w:r>
      <w:r w:rsidRPr="00AC49DC">
        <w:t>some</w:t>
      </w:r>
      <w:r w:rsidR="00F716B4" w:rsidRPr="00AC49DC">
        <w:t xml:space="preserve"> </w:t>
      </w:r>
      <w:r w:rsidRPr="00AC49DC">
        <w:t>or</w:t>
      </w:r>
      <w:r w:rsidR="00F716B4" w:rsidRPr="00AC49DC">
        <w:t xml:space="preserve"> </w:t>
      </w:r>
      <w:r w:rsidRPr="00AC49DC">
        <w:t>all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which</w:t>
      </w:r>
      <w:r w:rsidR="00F716B4" w:rsidRPr="00AC49DC">
        <w:t xml:space="preserve"> </w:t>
      </w:r>
      <w:r w:rsidRPr="00AC49DC">
        <w:t>is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premises,</w:t>
      </w:r>
      <w:r w:rsidR="00F716B4" w:rsidRPr="00AC49DC">
        <w:t xml:space="preserve"> </w:t>
      </w:r>
      <w:r w:rsidRPr="00AC49DC">
        <w:t>but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operation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sections</w:t>
      </w:r>
      <w:r w:rsidR="00F716B4" w:rsidRPr="00AC49DC">
        <w:t xml:space="preserve"> </w:t>
      </w:r>
      <w:r w:rsidRPr="00AC49DC">
        <w:t>96(5)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(9)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2006).</w:t>
      </w:r>
    </w:p>
    <w:p w14:paraId="5CBADE34" w14:textId="77777777" w:rsidR="004A585D" w:rsidRPr="00AC49DC" w:rsidRDefault="004A585D" w:rsidP="004A585D">
      <w:pPr>
        <w:pStyle w:val="T1"/>
      </w:pPr>
      <w:r w:rsidRPr="00AC49DC">
        <w:t>The</w:t>
      </w:r>
      <w:r w:rsidR="00F716B4" w:rsidRPr="00AC49DC">
        <w:t xml:space="preserve"> </w:t>
      </w:r>
      <w:r w:rsidRPr="00AC49DC">
        <w:t>Schedule</w:t>
      </w:r>
      <w:r w:rsidR="00212E70" w:rsidRPr="00AC49DC">
        <w:t>s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these</w:t>
      </w:r>
      <w:r w:rsidR="00F716B4" w:rsidRPr="00AC49DC">
        <w:t xml:space="preserve"> </w:t>
      </w:r>
      <w:r w:rsidRPr="00AC49DC">
        <w:t>Regulations</w:t>
      </w:r>
      <w:r w:rsidR="00F716B4" w:rsidRPr="00AC49DC">
        <w:t xml:space="preserve"> </w:t>
      </w:r>
      <w:r w:rsidRPr="00AC49DC">
        <w:t>make</w:t>
      </w:r>
      <w:r w:rsidR="00F716B4" w:rsidRPr="00AC49DC">
        <w:t xml:space="preserve"> </w:t>
      </w:r>
      <w:r w:rsidRPr="00AC49DC">
        <w:t>transitional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relation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Pr="00AC49DC">
        <w:t>t</w:t>
      </w:r>
      <w:r w:rsidR="00F321BF" w:rsidRPr="00AC49DC">
        <w:t>hese</w:t>
      </w:r>
      <w:r w:rsidR="00F716B4" w:rsidRPr="00AC49DC">
        <w:t xml:space="preserve"> </w:t>
      </w:r>
      <w:r w:rsidR="00F321BF" w:rsidRPr="00AC49DC">
        <w:t>Regulations</w:t>
      </w:r>
      <w:r w:rsidR="00F716B4" w:rsidRPr="00AC49DC">
        <w:t xml:space="preserve"> </w:t>
      </w:r>
      <w:r w:rsidRPr="00AC49DC">
        <w:t>bring</w:t>
      </w:r>
      <w:r w:rsidR="00F716B4" w:rsidRPr="00AC49DC">
        <w:t xml:space="preserve"> </w:t>
      </w:r>
      <w:r w:rsidRPr="00AC49DC">
        <w:t>into</w:t>
      </w:r>
      <w:r w:rsidR="00F716B4" w:rsidRPr="00AC49DC">
        <w:t xml:space="preserve"> </w:t>
      </w:r>
      <w:r w:rsidRPr="00AC49DC">
        <w:t>force.</w:t>
      </w:r>
    </w:p>
    <w:p w14:paraId="07EB4CD5" w14:textId="77777777" w:rsidR="004A585D" w:rsidRPr="00AC49DC" w:rsidRDefault="004A585D" w:rsidP="00492691">
      <w:pPr>
        <w:pStyle w:val="linespace"/>
      </w:pPr>
    </w:p>
    <w:p w14:paraId="68EF35FB" w14:textId="77777777" w:rsidR="004A585D" w:rsidRPr="00AC49DC" w:rsidRDefault="004A585D" w:rsidP="004A585D">
      <w:pPr>
        <w:pStyle w:val="EANote"/>
      </w:pPr>
      <w:r w:rsidRPr="00AC49DC">
        <w:t>NOTE</w:t>
      </w:r>
      <w:r w:rsidR="00F716B4" w:rsidRPr="00AC49DC">
        <w:t xml:space="preserve"> </w:t>
      </w:r>
      <w:r w:rsidRPr="00AC49DC">
        <w:t>AS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EARLIER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REGULATIONS</w:t>
      </w:r>
    </w:p>
    <w:p w14:paraId="3BF6DDA3" w14:textId="77777777" w:rsidR="004A585D" w:rsidRPr="00AC49DC" w:rsidRDefault="004A585D" w:rsidP="004A585D">
      <w:pPr>
        <w:pStyle w:val="EANotenote"/>
      </w:pPr>
      <w:r w:rsidRPr="00AC49DC">
        <w:t>(This</w:t>
      </w:r>
      <w:r w:rsidR="00F716B4" w:rsidRPr="00AC49DC">
        <w:t xml:space="preserve"> </w:t>
      </w:r>
      <w:r w:rsidRPr="00AC49DC">
        <w:t>note</w:t>
      </w:r>
      <w:r w:rsidR="00F716B4" w:rsidRPr="00AC49DC">
        <w:t xml:space="preserve"> </w:t>
      </w:r>
      <w:r w:rsidRPr="00AC49DC">
        <w:t>is</w:t>
      </w:r>
      <w:r w:rsidR="00F716B4" w:rsidRPr="00AC49DC">
        <w:t xml:space="preserve"> </w:t>
      </w:r>
      <w:r w:rsidRPr="00AC49DC">
        <w:t>not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Regulations)</w:t>
      </w:r>
    </w:p>
    <w:p w14:paraId="08A18EEF" w14:textId="77777777" w:rsidR="00F716B4" w:rsidRPr="00AC49DC" w:rsidRDefault="00F716B4" w:rsidP="00F716B4">
      <w:pPr>
        <w:pStyle w:val="T1"/>
      </w:pPr>
      <w:r w:rsidRPr="00AC49DC">
        <w:t>The following provisions of the Levelling-up and Regeneration Act 2023 have been brought into force by commencement Regulations made before the date of these Regulations.</w:t>
      </w:r>
    </w:p>
    <w:p w14:paraId="38F51CB3" w14:textId="77777777" w:rsidR="00F716B4" w:rsidRPr="00AC49DC" w:rsidRDefault="00F716B4" w:rsidP="00F716B4">
      <w:pPr>
        <w:pStyle w:val="linespac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83"/>
        <w:gridCol w:w="2325"/>
        <w:gridCol w:w="1800"/>
      </w:tblGrid>
      <w:tr w:rsidR="004A585D" w:rsidRPr="00AC49DC" w14:paraId="3A3EAE5F" w14:textId="77777777" w:rsidTr="00D52437">
        <w:trPr>
          <w:cantSplit/>
          <w:trHeight w:val="320"/>
        </w:trPr>
        <w:tc>
          <w:tcPr>
            <w:tcW w:w="4083" w:type="dxa"/>
            <w:tcBorders>
              <w:top w:val="single" w:sz="4" w:space="0" w:color="auto"/>
              <w:bottom w:val="single" w:sz="4" w:space="0" w:color="auto"/>
            </w:tcBorders>
          </w:tcPr>
          <w:p w14:paraId="2E5AC982" w14:textId="77777777" w:rsidR="004A585D" w:rsidRPr="00AC49DC" w:rsidRDefault="004A585D" w:rsidP="00D52437">
            <w:pPr>
              <w:pStyle w:val="ColumnHeader"/>
            </w:pPr>
            <w:r w:rsidRPr="00AC49DC">
              <w:t>Provision</w:t>
            </w:r>
          </w:p>
        </w:tc>
        <w:tc>
          <w:tcPr>
            <w:tcW w:w="2325" w:type="dxa"/>
            <w:tcBorders>
              <w:top w:val="single" w:sz="4" w:space="0" w:color="auto"/>
              <w:bottom w:val="single" w:sz="4" w:space="0" w:color="auto"/>
            </w:tcBorders>
          </w:tcPr>
          <w:p w14:paraId="6BF148D4" w14:textId="77777777" w:rsidR="004A585D" w:rsidRPr="00AC49DC" w:rsidRDefault="004A585D" w:rsidP="00D52437">
            <w:pPr>
              <w:pStyle w:val="ColumnHeader"/>
            </w:pPr>
            <w:r w:rsidRPr="00AC49DC">
              <w:t>Date</w:t>
            </w:r>
            <w:r w:rsidR="00F716B4" w:rsidRPr="00AC49DC">
              <w:t xml:space="preserve"> </w:t>
            </w:r>
            <w:r w:rsidRPr="00AC49DC">
              <w:t>of</w:t>
            </w:r>
            <w:r w:rsidR="00F716B4" w:rsidRPr="00AC49DC">
              <w:t xml:space="preserve"> </w:t>
            </w:r>
            <w:r w:rsidRPr="00AC49DC">
              <w:t>Commencement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283ED98" w14:textId="77777777" w:rsidR="004A585D" w:rsidRPr="00AC49DC" w:rsidRDefault="004A585D" w:rsidP="00D52437">
            <w:pPr>
              <w:pStyle w:val="ColumnHeader"/>
            </w:pPr>
            <w:r w:rsidRPr="00AC49DC">
              <w:t>S.I.</w:t>
            </w:r>
            <w:r w:rsidR="00F716B4" w:rsidRPr="00AC49DC">
              <w:t xml:space="preserve"> </w:t>
            </w:r>
            <w:r w:rsidRPr="00AC49DC">
              <w:t>No.</w:t>
            </w:r>
          </w:p>
        </w:tc>
      </w:tr>
      <w:tr w:rsidR="004A585D" w:rsidRPr="00AC49DC" w14:paraId="11C30062" w14:textId="77777777" w:rsidTr="00D52437">
        <w:tc>
          <w:tcPr>
            <w:tcW w:w="4083" w:type="dxa"/>
          </w:tcPr>
          <w:p w14:paraId="11B4374D" w14:textId="77777777" w:rsidR="004A585D" w:rsidRPr="00AC49DC" w:rsidRDefault="004A585D" w:rsidP="004A585D">
            <w:pPr>
              <w:pStyle w:val="TableText"/>
            </w:pPr>
            <w:r w:rsidRPr="00AC49DC">
              <w:t>Section</w:t>
            </w:r>
            <w:r w:rsidR="00F716B4" w:rsidRPr="00AC49DC">
              <w:t xml:space="preserve"> </w:t>
            </w:r>
            <w:r w:rsidRPr="00AC49DC">
              <w:t>78</w:t>
            </w:r>
          </w:p>
        </w:tc>
        <w:tc>
          <w:tcPr>
            <w:tcW w:w="2325" w:type="dxa"/>
          </w:tcPr>
          <w:p w14:paraId="49BA2EB5" w14:textId="77777777" w:rsidR="004A585D" w:rsidRPr="00AC49DC" w:rsidRDefault="004A585D" w:rsidP="004A585D">
            <w:pPr>
              <w:pStyle w:val="TableText"/>
            </w:pPr>
            <w:r w:rsidRPr="00AC49DC">
              <w:t>31.01.2024</w:t>
            </w:r>
          </w:p>
        </w:tc>
        <w:tc>
          <w:tcPr>
            <w:tcW w:w="1800" w:type="dxa"/>
          </w:tcPr>
          <w:p w14:paraId="069EB644" w14:textId="77777777" w:rsidR="004A585D" w:rsidRPr="00AC49DC" w:rsidRDefault="004A585D" w:rsidP="004A585D">
            <w:pPr>
              <w:pStyle w:val="TableText"/>
            </w:pPr>
            <w:r w:rsidRPr="00AC49DC">
              <w:t>S.I.</w:t>
            </w:r>
            <w:r w:rsidR="00F716B4" w:rsidRPr="00AC49DC">
              <w:t xml:space="preserve"> </w:t>
            </w:r>
            <w:r w:rsidRPr="00AC49DC">
              <w:t>2024/92</w:t>
            </w:r>
          </w:p>
        </w:tc>
      </w:tr>
      <w:tr w:rsidR="004A585D" w:rsidRPr="00AC49DC" w14:paraId="7DA51CAE" w14:textId="77777777" w:rsidTr="00D52437">
        <w:tc>
          <w:tcPr>
            <w:tcW w:w="4083" w:type="dxa"/>
          </w:tcPr>
          <w:p w14:paraId="09AB97F9" w14:textId="77777777" w:rsidR="004A585D" w:rsidRPr="00AC49DC" w:rsidRDefault="004A585D" w:rsidP="004A585D">
            <w:pPr>
              <w:pStyle w:val="TableText"/>
            </w:pPr>
            <w:r w:rsidRPr="00AC49DC">
              <w:t>In</w:t>
            </w:r>
            <w:r w:rsidR="00F716B4" w:rsidRPr="00AC49DC">
              <w:t xml:space="preserve"> </w:t>
            </w:r>
            <w:r w:rsidRPr="00AC49DC">
              <w:t>Schedule</w:t>
            </w:r>
            <w:r w:rsidR="00F716B4" w:rsidRPr="00AC49DC">
              <w:t xml:space="preserve"> </w:t>
            </w:r>
            <w:r w:rsidRPr="00AC49DC">
              <w:t>19—</w:t>
            </w:r>
          </w:p>
          <w:p w14:paraId="16F1D9B1" w14:textId="77777777" w:rsidR="004A585D" w:rsidRPr="00AC49DC" w:rsidRDefault="004A585D" w:rsidP="004A585D">
            <w:pPr>
              <w:pStyle w:val="TableText"/>
            </w:pPr>
            <w:r w:rsidRPr="00AC49DC">
              <w:t>(a)</w:t>
            </w:r>
            <w:r w:rsidR="00F716B4" w:rsidRPr="00AC49DC">
              <w:t xml:space="preserve"> </w:t>
            </w:r>
            <w:r w:rsidRPr="00AC49DC">
              <w:t>paragraph</w:t>
            </w:r>
            <w:r w:rsidR="00F716B4" w:rsidRPr="00AC49DC">
              <w:t xml:space="preserve"> </w:t>
            </w:r>
            <w:r w:rsidRPr="00AC49DC">
              <w:t>1</w:t>
            </w:r>
            <w:r w:rsidR="00F716B4" w:rsidRPr="00AC49DC">
              <w:t xml:space="preserve"> </w:t>
            </w:r>
            <w:r w:rsidRPr="00AC49DC">
              <w:t>(partially);</w:t>
            </w:r>
          </w:p>
          <w:p w14:paraId="5739118C" w14:textId="77777777" w:rsidR="004A585D" w:rsidRPr="00AC49DC" w:rsidRDefault="004A585D" w:rsidP="004A585D">
            <w:pPr>
              <w:pStyle w:val="TableText"/>
            </w:pPr>
            <w:r w:rsidRPr="00AC49DC">
              <w:t>(b)</w:t>
            </w:r>
            <w:r w:rsidR="00F716B4" w:rsidRPr="00AC49DC">
              <w:t xml:space="preserve"> </w:t>
            </w:r>
            <w:r w:rsidRPr="00AC49DC">
              <w:t>paragraph</w:t>
            </w:r>
            <w:r w:rsidR="00F716B4" w:rsidRPr="00AC49DC">
              <w:t xml:space="preserve"> </w:t>
            </w:r>
            <w:r w:rsidRPr="00AC49DC">
              <w:t>1</w:t>
            </w:r>
            <w:r w:rsidR="00F716B4" w:rsidRPr="00AC49DC">
              <w:t xml:space="preserve"> </w:t>
            </w:r>
            <w:r w:rsidRPr="00AC49DC">
              <w:t>(partially);</w:t>
            </w:r>
          </w:p>
          <w:p w14:paraId="4363152E" w14:textId="77777777" w:rsidR="004A585D" w:rsidRPr="00AC49DC" w:rsidRDefault="004A585D" w:rsidP="004A585D">
            <w:pPr>
              <w:pStyle w:val="TableText"/>
            </w:pPr>
            <w:r w:rsidRPr="00AC49DC">
              <w:t>(c)</w:t>
            </w:r>
            <w:r w:rsidR="00F716B4" w:rsidRPr="00AC49DC">
              <w:t xml:space="preserve"> </w:t>
            </w:r>
            <w:r w:rsidRPr="00AC49DC">
              <w:t>paragraphs</w:t>
            </w:r>
            <w:r w:rsidR="00F716B4" w:rsidRPr="00AC49DC">
              <w:t xml:space="preserve"> </w:t>
            </w:r>
            <w:r w:rsidRPr="00AC49DC">
              <w:t>2</w:t>
            </w:r>
            <w:r w:rsidR="00F716B4" w:rsidRPr="00AC49DC">
              <w:t xml:space="preserve"> </w:t>
            </w:r>
            <w:r w:rsidRPr="00AC49DC">
              <w:t>and</w:t>
            </w:r>
            <w:r w:rsidR="00F716B4" w:rsidRPr="00AC49DC">
              <w:t xml:space="preserve"> </w:t>
            </w:r>
            <w:r w:rsidRPr="00AC49DC">
              <w:t>3</w:t>
            </w:r>
            <w:r w:rsidR="00F716B4" w:rsidRPr="00AC49DC">
              <w:t xml:space="preserve"> </w:t>
            </w:r>
            <w:r w:rsidRPr="00AC49DC">
              <w:t>(partially)</w:t>
            </w:r>
          </w:p>
        </w:tc>
        <w:tc>
          <w:tcPr>
            <w:tcW w:w="2325" w:type="dxa"/>
          </w:tcPr>
          <w:p w14:paraId="4B306013" w14:textId="77777777" w:rsidR="004A585D" w:rsidRPr="00AC49DC" w:rsidRDefault="004A585D" w:rsidP="00492691">
            <w:pPr>
              <w:pStyle w:val="linespace"/>
            </w:pPr>
          </w:p>
          <w:p w14:paraId="19E294FE" w14:textId="77777777" w:rsidR="004A585D" w:rsidRPr="00AC49DC" w:rsidRDefault="004A585D" w:rsidP="004A585D">
            <w:pPr>
              <w:pStyle w:val="TableText"/>
            </w:pPr>
            <w:r w:rsidRPr="00AC49DC">
              <w:t>31.01.2024</w:t>
            </w:r>
          </w:p>
          <w:p w14:paraId="247A90D1" w14:textId="77777777" w:rsidR="004A585D" w:rsidRPr="00AC49DC" w:rsidRDefault="004A585D" w:rsidP="004A585D">
            <w:pPr>
              <w:pStyle w:val="TableText"/>
            </w:pPr>
            <w:r w:rsidRPr="00AC49DC">
              <w:t>30.04.2024</w:t>
            </w:r>
          </w:p>
          <w:p w14:paraId="0D1272C7" w14:textId="77777777" w:rsidR="004A585D" w:rsidRPr="00AC49DC" w:rsidRDefault="004A585D" w:rsidP="004A585D">
            <w:pPr>
              <w:pStyle w:val="TableText"/>
            </w:pPr>
            <w:r w:rsidRPr="00AC49DC">
              <w:t>31.03.2024</w:t>
            </w:r>
          </w:p>
        </w:tc>
        <w:tc>
          <w:tcPr>
            <w:tcW w:w="1800" w:type="dxa"/>
          </w:tcPr>
          <w:p w14:paraId="17C9EF66" w14:textId="77777777" w:rsidR="004A585D" w:rsidRPr="00AC49DC" w:rsidRDefault="004A585D" w:rsidP="00110559">
            <w:pPr>
              <w:pStyle w:val="linespace"/>
            </w:pPr>
          </w:p>
          <w:p w14:paraId="38F1CAE3" w14:textId="77777777" w:rsidR="004A585D" w:rsidRPr="00AC49DC" w:rsidRDefault="004A585D" w:rsidP="004A585D">
            <w:pPr>
              <w:pStyle w:val="TableText"/>
            </w:pPr>
            <w:r w:rsidRPr="00AC49DC">
              <w:t>S.I.</w:t>
            </w:r>
            <w:r w:rsidR="00F716B4" w:rsidRPr="00AC49DC">
              <w:t xml:space="preserve"> </w:t>
            </w:r>
            <w:r w:rsidRPr="00AC49DC">
              <w:t>2024/92</w:t>
            </w:r>
          </w:p>
          <w:p w14:paraId="2F012E19" w14:textId="77777777" w:rsidR="004A585D" w:rsidRPr="00AC49DC" w:rsidRDefault="004A585D" w:rsidP="004A585D">
            <w:pPr>
              <w:pStyle w:val="TableText"/>
            </w:pPr>
            <w:r w:rsidRPr="00AC49DC">
              <w:t>S.I.</w:t>
            </w:r>
            <w:r w:rsidR="00F716B4" w:rsidRPr="00AC49DC">
              <w:t xml:space="preserve"> </w:t>
            </w:r>
            <w:r w:rsidRPr="00AC49DC">
              <w:t>2024/389</w:t>
            </w:r>
          </w:p>
          <w:p w14:paraId="5B52416F" w14:textId="77777777" w:rsidR="004A585D" w:rsidRPr="00AC49DC" w:rsidRDefault="004A585D" w:rsidP="004A585D">
            <w:pPr>
              <w:pStyle w:val="TableText"/>
            </w:pPr>
            <w:r w:rsidRPr="00AC49DC">
              <w:t>S.I.</w:t>
            </w:r>
            <w:r w:rsidR="00F716B4" w:rsidRPr="00AC49DC">
              <w:t xml:space="preserve"> </w:t>
            </w:r>
            <w:r w:rsidRPr="00AC49DC">
              <w:t>2024/389</w:t>
            </w:r>
          </w:p>
        </w:tc>
      </w:tr>
      <w:tr w:rsidR="004A585D" w:rsidRPr="00AC49DC" w14:paraId="714BB438" w14:textId="77777777" w:rsidTr="00D52437">
        <w:tc>
          <w:tcPr>
            <w:tcW w:w="4083" w:type="dxa"/>
            <w:tcBorders>
              <w:bottom w:val="single" w:sz="4" w:space="0" w:color="auto"/>
            </w:tcBorders>
          </w:tcPr>
          <w:p w14:paraId="424A4BDA" w14:textId="77777777" w:rsidR="004A585D" w:rsidRPr="00AC49DC" w:rsidRDefault="004A585D" w:rsidP="004A585D">
            <w:pPr>
              <w:pStyle w:val="TableText"/>
            </w:pPr>
            <w:r w:rsidRPr="00AC49DC">
              <w:t>Schedule</w:t>
            </w:r>
            <w:r w:rsidR="00F716B4" w:rsidRPr="00AC49DC">
              <w:t xml:space="preserve"> </w:t>
            </w:r>
            <w:r w:rsidRPr="00AC49DC">
              <w:t>22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374CC1CA" w14:textId="77777777" w:rsidR="004A585D" w:rsidRPr="00AC49DC" w:rsidRDefault="004A585D" w:rsidP="004A585D">
            <w:pPr>
              <w:pStyle w:val="TableText"/>
            </w:pPr>
            <w:r w:rsidRPr="00AC49DC">
              <w:t>31.03.2024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6B322D3" w14:textId="77777777" w:rsidR="004A585D" w:rsidRPr="00AC49DC" w:rsidRDefault="004A585D" w:rsidP="004A585D">
            <w:pPr>
              <w:pStyle w:val="TableText"/>
            </w:pPr>
            <w:r w:rsidRPr="00AC49DC">
              <w:t>S.I.</w:t>
            </w:r>
            <w:r w:rsidR="00F716B4" w:rsidRPr="00AC49DC">
              <w:t xml:space="preserve"> </w:t>
            </w:r>
            <w:r w:rsidRPr="00AC49DC">
              <w:t>2024/389</w:t>
            </w:r>
          </w:p>
        </w:tc>
      </w:tr>
    </w:tbl>
    <w:p w14:paraId="004DB1B2" w14:textId="77777777" w:rsidR="004A585D" w:rsidRPr="00AC49DC" w:rsidRDefault="004A585D" w:rsidP="00110559">
      <w:pPr>
        <w:pStyle w:val="linespace"/>
      </w:pPr>
    </w:p>
    <w:sectPr w:rsidR="004A585D" w:rsidRPr="00AC49DC" w:rsidSect="00E61B82">
      <w:footerReference w:type="even" r:id="rId8"/>
      <w:footerReference w:type="default" r:id="rId9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5791" w14:textId="77777777" w:rsidR="00171076" w:rsidRDefault="00171076">
      <w:r>
        <w:separator/>
      </w:r>
    </w:p>
  </w:endnote>
  <w:endnote w:type="continuationSeparator" w:id="0">
    <w:p w14:paraId="00759D2B" w14:textId="77777777" w:rsidR="00171076" w:rsidRDefault="00171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AA57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932BCD2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F8B36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DAC8FD9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03B08" w14:textId="77777777" w:rsidR="00171076" w:rsidRDefault="00171076" w:rsidP="00FF5421">
      <w:r>
        <w:continuationSeparator/>
      </w:r>
    </w:p>
  </w:footnote>
  <w:footnote w:type="continuationSeparator" w:id="0">
    <w:p w14:paraId="36184242" w14:textId="77777777" w:rsidR="00171076" w:rsidRDefault="00171076">
      <w:r>
        <w:continuationSeparator/>
      </w:r>
    </w:p>
  </w:footnote>
  <w:footnote w:type="continuationNotice" w:id="1">
    <w:p w14:paraId="71318AE2" w14:textId="77777777" w:rsidR="00171076" w:rsidRDefault="00171076"/>
  </w:footnote>
  <w:footnote w:id="2">
    <w:p w14:paraId="214CCE80" w14:textId="77777777" w:rsidR="00F64F0D" w:rsidRDefault="00F64F0D" w:rsidP="00F64F0D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2023 c. 55 (“the LURA”).</w:t>
      </w:r>
    </w:p>
  </w:footnote>
  <w:footnote w:id="3">
    <w:p w14:paraId="1A9ABB46" w14:textId="77777777" w:rsidR="00F64F0D" w:rsidRDefault="00F64F0D" w:rsidP="00F64F0D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2006 c. 21 (“the 2006 Act”).</w:t>
      </w:r>
    </w:p>
  </w:footnote>
  <w:footnote w:id="4">
    <w:p w14:paraId="3D0F3DCD" w14:textId="77777777" w:rsidR="001624D8" w:rsidRDefault="001624D8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 xml:space="preserve">The definition of Chief Inspector was amended by paragraph 117 of Schedule 14 to the </w:t>
      </w:r>
      <w:r w:rsidRPr="001624D8">
        <w:t>Education and Inspections Act 2006 (c. 40)</w:t>
      </w:r>
      <w:r>
        <w:t>.</w:t>
      </w:r>
    </w:p>
  </w:footnote>
  <w:footnote w:id="5">
    <w:p w14:paraId="0CC2C55B" w14:textId="77777777" w:rsidR="001624D8" w:rsidRDefault="001624D8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 xml:space="preserve">The definition of childminder agency was inserted by paragraph 62(2)(a) of Schedule 4 to the </w:t>
      </w:r>
      <w:r w:rsidRPr="001624D8">
        <w:t>Children and Families Act 2014 (c. 6)</w:t>
      </w:r>
      <w:r>
        <w:t xml:space="preserve"> (“the 2014 Act”).</w:t>
      </w:r>
    </w:p>
  </w:footnote>
  <w:footnote w:id="6">
    <w:p w14:paraId="2719EC68" w14:textId="77777777" w:rsidR="001624D8" w:rsidRDefault="001624D8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The definition of early years childminder agency was inserted by paragraph 62(2)(b) of Schedule 4 to the 2014 Act.</w:t>
      </w:r>
    </w:p>
  </w:footnote>
  <w:footnote w:id="7">
    <w:p w14:paraId="288F1C09" w14:textId="77777777" w:rsidR="001624D8" w:rsidRDefault="001624D8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 xml:space="preserve">The definition of later years childminder agency was inserted by </w:t>
      </w:r>
      <w:r w:rsidRPr="001624D8">
        <w:t>paragraph 62(2)(</w:t>
      </w:r>
      <w:r>
        <w:t>c</w:t>
      </w:r>
      <w:r w:rsidRPr="001624D8">
        <w:t>) of Schedule 4 to the 2014 Act.</w:t>
      </w:r>
    </w:p>
  </w:footnote>
  <w:footnote w:id="8">
    <w:p w14:paraId="15335F56" w14:textId="77777777" w:rsidR="00294562" w:rsidRDefault="00294562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Section 32 was amended by paragraph 2 of Schedule 4 to the 2014 Act.</w:t>
      </w:r>
    </w:p>
  </w:footnote>
  <w:footnote w:id="9">
    <w:p w14:paraId="6EDD2674" w14:textId="77777777" w:rsidR="00F64F0D" w:rsidRDefault="00F64F0D" w:rsidP="00F64F0D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S.I. 2014/1920; “year of registration” is defined in regulation 2 of that instrument.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2118"/>
    <w:multiLevelType w:val="hybridMultilevel"/>
    <w:tmpl w:val="D87CA26A"/>
    <w:lvl w:ilvl="0" w:tplc="0458E2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F6671"/>
    <w:multiLevelType w:val="hybridMultilevel"/>
    <w:tmpl w:val="B6AEB1D6"/>
    <w:lvl w:ilvl="0" w:tplc="EB723254">
      <w:start w:val="1"/>
      <w:numFmt w:val="lowerLetter"/>
      <w:lvlText w:val="%1)"/>
      <w:lvlJc w:val="left"/>
      <w:pPr>
        <w:ind w:left="1020" w:hanging="360"/>
      </w:pPr>
    </w:lvl>
    <w:lvl w:ilvl="1" w:tplc="15466F16">
      <w:start w:val="1"/>
      <w:numFmt w:val="lowerLetter"/>
      <w:lvlText w:val="%2)"/>
      <w:lvlJc w:val="left"/>
      <w:pPr>
        <w:ind w:left="1020" w:hanging="360"/>
      </w:pPr>
    </w:lvl>
    <w:lvl w:ilvl="2" w:tplc="31E8ED1C">
      <w:start w:val="1"/>
      <w:numFmt w:val="lowerLetter"/>
      <w:lvlText w:val="%3)"/>
      <w:lvlJc w:val="left"/>
      <w:pPr>
        <w:ind w:left="1020" w:hanging="360"/>
      </w:pPr>
    </w:lvl>
    <w:lvl w:ilvl="3" w:tplc="02E8C6D0">
      <w:start w:val="1"/>
      <w:numFmt w:val="lowerLetter"/>
      <w:lvlText w:val="%4)"/>
      <w:lvlJc w:val="left"/>
      <w:pPr>
        <w:ind w:left="1020" w:hanging="360"/>
      </w:pPr>
    </w:lvl>
    <w:lvl w:ilvl="4" w:tplc="B0309654">
      <w:start w:val="1"/>
      <w:numFmt w:val="lowerLetter"/>
      <w:lvlText w:val="%5)"/>
      <w:lvlJc w:val="left"/>
      <w:pPr>
        <w:ind w:left="1020" w:hanging="360"/>
      </w:pPr>
    </w:lvl>
    <w:lvl w:ilvl="5" w:tplc="A684B352">
      <w:start w:val="1"/>
      <w:numFmt w:val="lowerLetter"/>
      <w:lvlText w:val="%6)"/>
      <w:lvlJc w:val="left"/>
      <w:pPr>
        <w:ind w:left="1020" w:hanging="360"/>
      </w:pPr>
    </w:lvl>
    <w:lvl w:ilvl="6" w:tplc="DFA208EC">
      <w:start w:val="1"/>
      <w:numFmt w:val="lowerLetter"/>
      <w:lvlText w:val="%7)"/>
      <w:lvlJc w:val="left"/>
      <w:pPr>
        <w:ind w:left="1020" w:hanging="360"/>
      </w:pPr>
    </w:lvl>
    <w:lvl w:ilvl="7" w:tplc="9E6C0984">
      <w:start w:val="1"/>
      <w:numFmt w:val="lowerLetter"/>
      <w:lvlText w:val="%8)"/>
      <w:lvlJc w:val="left"/>
      <w:pPr>
        <w:ind w:left="1020" w:hanging="360"/>
      </w:pPr>
    </w:lvl>
    <w:lvl w:ilvl="8" w:tplc="54EAFC26">
      <w:start w:val="1"/>
      <w:numFmt w:val="lowerLetter"/>
      <w:lvlText w:val="%9)"/>
      <w:lvlJc w:val="left"/>
      <w:pPr>
        <w:ind w:left="1020" w:hanging="360"/>
      </w:pPr>
    </w:lvl>
  </w:abstractNum>
  <w:abstractNum w:abstractNumId="2" w15:restartNumberingAfterBreak="0">
    <w:nsid w:val="49ED46D2"/>
    <w:multiLevelType w:val="hybridMultilevel"/>
    <w:tmpl w:val="5710991E"/>
    <w:lvl w:ilvl="0" w:tplc="9ACC1C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D48C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F2EE9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DE42B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6D2FB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F6ED7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99803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DEED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B6496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" w15:restartNumberingAfterBreak="0">
    <w:nsid w:val="4DE80A07"/>
    <w:multiLevelType w:val="hybridMultilevel"/>
    <w:tmpl w:val="B3CAC6E8"/>
    <w:lvl w:ilvl="0" w:tplc="6E426CD8">
      <w:start w:val="1"/>
      <w:numFmt w:val="lowerLetter"/>
      <w:lvlText w:val="%1)"/>
      <w:lvlJc w:val="left"/>
      <w:pPr>
        <w:ind w:left="1020" w:hanging="360"/>
      </w:pPr>
    </w:lvl>
    <w:lvl w:ilvl="1" w:tplc="135614DE">
      <w:start w:val="1"/>
      <w:numFmt w:val="lowerLetter"/>
      <w:lvlText w:val="%2)"/>
      <w:lvlJc w:val="left"/>
      <w:pPr>
        <w:ind w:left="1020" w:hanging="360"/>
      </w:pPr>
    </w:lvl>
    <w:lvl w:ilvl="2" w:tplc="E890A0E8">
      <w:start w:val="1"/>
      <w:numFmt w:val="lowerLetter"/>
      <w:lvlText w:val="%3)"/>
      <w:lvlJc w:val="left"/>
      <w:pPr>
        <w:ind w:left="1020" w:hanging="360"/>
      </w:pPr>
    </w:lvl>
    <w:lvl w:ilvl="3" w:tplc="84483B6A">
      <w:start w:val="1"/>
      <w:numFmt w:val="lowerLetter"/>
      <w:lvlText w:val="%4)"/>
      <w:lvlJc w:val="left"/>
      <w:pPr>
        <w:ind w:left="1020" w:hanging="360"/>
      </w:pPr>
    </w:lvl>
    <w:lvl w:ilvl="4" w:tplc="DF7E5F92">
      <w:start w:val="1"/>
      <w:numFmt w:val="lowerLetter"/>
      <w:lvlText w:val="%5)"/>
      <w:lvlJc w:val="left"/>
      <w:pPr>
        <w:ind w:left="1020" w:hanging="360"/>
      </w:pPr>
    </w:lvl>
    <w:lvl w:ilvl="5" w:tplc="EE3ACA0E">
      <w:start w:val="1"/>
      <w:numFmt w:val="lowerLetter"/>
      <w:lvlText w:val="%6)"/>
      <w:lvlJc w:val="left"/>
      <w:pPr>
        <w:ind w:left="1020" w:hanging="360"/>
      </w:pPr>
    </w:lvl>
    <w:lvl w:ilvl="6" w:tplc="396C3EEE">
      <w:start w:val="1"/>
      <w:numFmt w:val="lowerLetter"/>
      <w:lvlText w:val="%7)"/>
      <w:lvlJc w:val="left"/>
      <w:pPr>
        <w:ind w:left="1020" w:hanging="360"/>
      </w:pPr>
    </w:lvl>
    <w:lvl w:ilvl="7" w:tplc="AA529A3A">
      <w:start w:val="1"/>
      <w:numFmt w:val="lowerLetter"/>
      <w:lvlText w:val="%8)"/>
      <w:lvlJc w:val="left"/>
      <w:pPr>
        <w:ind w:left="1020" w:hanging="360"/>
      </w:pPr>
    </w:lvl>
    <w:lvl w:ilvl="8" w:tplc="17F20E4C">
      <w:start w:val="1"/>
      <w:numFmt w:val="lowerLetter"/>
      <w:lvlText w:val="%9)"/>
      <w:lvlJc w:val="left"/>
      <w:pPr>
        <w:ind w:left="1020" w:hanging="360"/>
      </w:pPr>
    </w:lvl>
  </w:abstractNum>
  <w:abstractNum w:abstractNumId="4" w15:restartNumberingAfterBreak="0">
    <w:nsid w:val="585F07FA"/>
    <w:multiLevelType w:val="hybridMultilevel"/>
    <w:tmpl w:val="78ACC45C"/>
    <w:lvl w:ilvl="0" w:tplc="A830E4AE">
      <w:start w:val="1"/>
      <w:numFmt w:val="lowerLetter"/>
      <w:lvlText w:val="%1)"/>
      <w:lvlJc w:val="left"/>
      <w:pPr>
        <w:ind w:left="1020" w:hanging="360"/>
      </w:pPr>
    </w:lvl>
    <w:lvl w:ilvl="1" w:tplc="822AE346">
      <w:start w:val="1"/>
      <w:numFmt w:val="lowerLetter"/>
      <w:lvlText w:val="%2)"/>
      <w:lvlJc w:val="left"/>
      <w:pPr>
        <w:ind w:left="1020" w:hanging="360"/>
      </w:pPr>
    </w:lvl>
    <w:lvl w:ilvl="2" w:tplc="87D8E4E2">
      <w:start w:val="1"/>
      <w:numFmt w:val="lowerLetter"/>
      <w:lvlText w:val="%3)"/>
      <w:lvlJc w:val="left"/>
      <w:pPr>
        <w:ind w:left="1020" w:hanging="360"/>
      </w:pPr>
    </w:lvl>
    <w:lvl w:ilvl="3" w:tplc="79460DB6">
      <w:start w:val="1"/>
      <w:numFmt w:val="lowerLetter"/>
      <w:lvlText w:val="%4)"/>
      <w:lvlJc w:val="left"/>
      <w:pPr>
        <w:ind w:left="1020" w:hanging="360"/>
      </w:pPr>
    </w:lvl>
    <w:lvl w:ilvl="4" w:tplc="7E807EE8">
      <w:start w:val="1"/>
      <w:numFmt w:val="lowerLetter"/>
      <w:lvlText w:val="%5)"/>
      <w:lvlJc w:val="left"/>
      <w:pPr>
        <w:ind w:left="1020" w:hanging="360"/>
      </w:pPr>
    </w:lvl>
    <w:lvl w:ilvl="5" w:tplc="0D80639C">
      <w:start w:val="1"/>
      <w:numFmt w:val="lowerLetter"/>
      <w:lvlText w:val="%6)"/>
      <w:lvlJc w:val="left"/>
      <w:pPr>
        <w:ind w:left="1020" w:hanging="360"/>
      </w:pPr>
    </w:lvl>
    <w:lvl w:ilvl="6" w:tplc="BCD0F384">
      <w:start w:val="1"/>
      <w:numFmt w:val="lowerLetter"/>
      <w:lvlText w:val="%7)"/>
      <w:lvlJc w:val="left"/>
      <w:pPr>
        <w:ind w:left="1020" w:hanging="360"/>
      </w:pPr>
    </w:lvl>
    <w:lvl w:ilvl="7" w:tplc="B4300436">
      <w:start w:val="1"/>
      <w:numFmt w:val="lowerLetter"/>
      <w:lvlText w:val="%8)"/>
      <w:lvlJc w:val="left"/>
      <w:pPr>
        <w:ind w:left="1020" w:hanging="360"/>
      </w:pPr>
    </w:lvl>
    <w:lvl w:ilvl="8" w:tplc="E2AC636A">
      <w:start w:val="1"/>
      <w:numFmt w:val="lowerLetter"/>
      <w:lvlText w:val="%9)"/>
      <w:lvlJc w:val="left"/>
      <w:pPr>
        <w:ind w:left="1020" w:hanging="360"/>
      </w:pPr>
    </w:lvl>
  </w:abstractNum>
  <w:abstractNum w:abstractNumId="5" w15:restartNumberingAfterBreak="0">
    <w:nsid w:val="62CE42E1"/>
    <w:multiLevelType w:val="multilevel"/>
    <w:tmpl w:val="3C4C9B5E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720"/>
        </w:tabs>
        <w:ind w:left="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b w:val="0"/>
        <w:strike w:val="0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strike w:val="0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70F7BBB"/>
    <w:multiLevelType w:val="hybridMultilevel"/>
    <w:tmpl w:val="F864DAB4"/>
    <w:lvl w:ilvl="0" w:tplc="CEFC2B4A">
      <w:start w:val="1"/>
      <w:numFmt w:val="decimal"/>
      <w:lvlText w:val="%1."/>
      <w:lvlJc w:val="left"/>
      <w:pPr>
        <w:ind w:left="1020" w:hanging="360"/>
      </w:pPr>
    </w:lvl>
    <w:lvl w:ilvl="1" w:tplc="FD6A6500">
      <w:start w:val="1"/>
      <w:numFmt w:val="decimal"/>
      <w:lvlText w:val="%2."/>
      <w:lvlJc w:val="left"/>
      <w:pPr>
        <w:ind w:left="1020" w:hanging="360"/>
      </w:pPr>
    </w:lvl>
    <w:lvl w:ilvl="2" w:tplc="4B520B52">
      <w:start w:val="1"/>
      <w:numFmt w:val="decimal"/>
      <w:lvlText w:val="%3."/>
      <w:lvlJc w:val="left"/>
      <w:pPr>
        <w:ind w:left="1020" w:hanging="360"/>
      </w:pPr>
    </w:lvl>
    <w:lvl w:ilvl="3" w:tplc="84B0D28C">
      <w:start w:val="1"/>
      <w:numFmt w:val="decimal"/>
      <w:lvlText w:val="%4."/>
      <w:lvlJc w:val="left"/>
      <w:pPr>
        <w:ind w:left="1020" w:hanging="360"/>
      </w:pPr>
    </w:lvl>
    <w:lvl w:ilvl="4" w:tplc="DE2A776C">
      <w:start w:val="1"/>
      <w:numFmt w:val="decimal"/>
      <w:lvlText w:val="%5."/>
      <w:lvlJc w:val="left"/>
      <w:pPr>
        <w:ind w:left="1020" w:hanging="360"/>
      </w:pPr>
    </w:lvl>
    <w:lvl w:ilvl="5" w:tplc="E3526880">
      <w:start w:val="1"/>
      <w:numFmt w:val="decimal"/>
      <w:lvlText w:val="%6."/>
      <w:lvlJc w:val="left"/>
      <w:pPr>
        <w:ind w:left="1020" w:hanging="360"/>
      </w:pPr>
    </w:lvl>
    <w:lvl w:ilvl="6" w:tplc="6F988E44">
      <w:start w:val="1"/>
      <w:numFmt w:val="decimal"/>
      <w:lvlText w:val="%7."/>
      <w:lvlJc w:val="left"/>
      <w:pPr>
        <w:ind w:left="1020" w:hanging="360"/>
      </w:pPr>
    </w:lvl>
    <w:lvl w:ilvl="7" w:tplc="3AE82CE8">
      <w:start w:val="1"/>
      <w:numFmt w:val="decimal"/>
      <w:lvlText w:val="%8."/>
      <w:lvlJc w:val="left"/>
      <w:pPr>
        <w:ind w:left="1020" w:hanging="360"/>
      </w:pPr>
    </w:lvl>
    <w:lvl w:ilvl="8" w:tplc="2BA82642">
      <w:start w:val="1"/>
      <w:numFmt w:val="decimal"/>
      <w:lvlText w:val="%9."/>
      <w:lvlJc w:val="left"/>
      <w:pPr>
        <w:ind w:left="102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  <w:num w:numId="12">
    <w:abstractNumId w:val="4"/>
  </w:num>
  <w:num w:numId="13">
    <w:abstractNumId w:val="1"/>
  </w:num>
  <w:num w:numId="14">
    <w:abstractNumId w:val="6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8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0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"/>
    <w:docVar w:name="Lang" w:val="Eng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9"/>
    <w:docVar w:name="VerMinor" w:val="1"/>
  </w:docVars>
  <w:rsids>
    <w:rsidRoot w:val="00F64F0D"/>
    <w:rsid w:val="00000432"/>
    <w:rsid w:val="000017D2"/>
    <w:rsid w:val="000053BF"/>
    <w:rsid w:val="00005DCF"/>
    <w:rsid w:val="000079E2"/>
    <w:rsid w:val="0001312F"/>
    <w:rsid w:val="00013C13"/>
    <w:rsid w:val="00014B18"/>
    <w:rsid w:val="000229B8"/>
    <w:rsid w:val="00024417"/>
    <w:rsid w:val="00024935"/>
    <w:rsid w:val="00025B27"/>
    <w:rsid w:val="00027110"/>
    <w:rsid w:val="0002747F"/>
    <w:rsid w:val="00030BD9"/>
    <w:rsid w:val="00031649"/>
    <w:rsid w:val="0003170C"/>
    <w:rsid w:val="00033947"/>
    <w:rsid w:val="000344B1"/>
    <w:rsid w:val="00036197"/>
    <w:rsid w:val="00040919"/>
    <w:rsid w:val="00043697"/>
    <w:rsid w:val="00043C12"/>
    <w:rsid w:val="00044814"/>
    <w:rsid w:val="00052CFF"/>
    <w:rsid w:val="000576EB"/>
    <w:rsid w:val="0006536E"/>
    <w:rsid w:val="00071061"/>
    <w:rsid w:val="00076755"/>
    <w:rsid w:val="00084E92"/>
    <w:rsid w:val="00086C7E"/>
    <w:rsid w:val="00087CDE"/>
    <w:rsid w:val="0009004D"/>
    <w:rsid w:val="0009033B"/>
    <w:rsid w:val="00095BBF"/>
    <w:rsid w:val="000A57F7"/>
    <w:rsid w:val="000A618E"/>
    <w:rsid w:val="000B217F"/>
    <w:rsid w:val="000B42E3"/>
    <w:rsid w:val="000B4769"/>
    <w:rsid w:val="000B7A59"/>
    <w:rsid w:val="000C2228"/>
    <w:rsid w:val="000D246C"/>
    <w:rsid w:val="000E1163"/>
    <w:rsid w:val="000E132F"/>
    <w:rsid w:val="000E4959"/>
    <w:rsid w:val="000E71E2"/>
    <w:rsid w:val="000F104C"/>
    <w:rsid w:val="000F290E"/>
    <w:rsid w:val="000F3EE9"/>
    <w:rsid w:val="000F4191"/>
    <w:rsid w:val="000F6AA5"/>
    <w:rsid w:val="000F7474"/>
    <w:rsid w:val="0010154C"/>
    <w:rsid w:val="001056FF"/>
    <w:rsid w:val="001058F7"/>
    <w:rsid w:val="00110559"/>
    <w:rsid w:val="001138FC"/>
    <w:rsid w:val="001149FE"/>
    <w:rsid w:val="00114DA8"/>
    <w:rsid w:val="00116167"/>
    <w:rsid w:val="001162DB"/>
    <w:rsid w:val="00117CF9"/>
    <w:rsid w:val="001219AB"/>
    <w:rsid w:val="00125C42"/>
    <w:rsid w:val="00126017"/>
    <w:rsid w:val="001271E5"/>
    <w:rsid w:val="00132A37"/>
    <w:rsid w:val="00132CB6"/>
    <w:rsid w:val="0014161A"/>
    <w:rsid w:val="00145FD7"/>
    <w:rsid w:val="001542BD"/>
    <w:rsid w:val="001545AD"/>
    <w:rsid w:val="001624D8"/>
    <w:rsid w:val="00166EFB"/>
    <w:rsid w:val="0016704D"/>
    <w:rsid w:val="00167904"/>
    <w:rsid w:val="00171076"/>
    <w:rsid w:val="001945A2"/>
    <w:rsid w:val="0019503E"/>
    <w:rsid w:val="001A0BB2"/>
    <w:rsid w:val="001A220A"/>
    <w:rsid w:val="001B0B00"/>
    <w:rsid w:val="001B39DB"/>
    <w:rsid w:val="001B4AAF"/>
    <w:rsid w:val="001B535C"/>
    <w:rsid w:val="001C06F9"/>
    <w:rsid w:val="001C1DFD"/>
    <w:rsid w:val="001C2E4A"/>
    <w:rsid w:val="001C4800"/>
    <w:rsid w:val="001C494B"/>
    <w:rsid w:val="001D2669"/>
    <w:rsid w:val="001E0FF6"/>
    <w:rsid w:val="001E1269"/>
    <w:rsid w:val="001E5D59"/>
    <w:rsid w:val="001F0B49"/>
    <w:rsid w:val="001F1D0C"/>
    <w:rsid w:val="001F340F"/>
    <w:rsid w:val="001F52FE"/>
    <w:rsid w:val="001F7E9E"/>
    <w:rsid w:val="00202100"/>
    <w:rsid w:val="00203DBB"/>
    <w:rsid w:val="0020612D"/>
    <w:rsid w:val="00212E70"/>
    <w:rsid w:val="00214DA1"/>
    <w:rsid w:val="00215C2D"/>
    <w:rsid w:val="00216FF4"/>
    <w:rsid w:val="0021750A"/>
    <w:rsid w:val="002222EA"/>
    <w:rsid w:val="00222D07"/>
    <w:rsid w:val="002234DD"/>
    <w:rsid w:val="00225293"/>
    <w:rsid w:val="0023008A"/>
    <w:rsid w:val="00233898"/>
    <w:rsid w:val="00237FEF"/>
    <w:rsid w:val="00243287"/>
    <w:rsid w:val="0024543E"/>
    <w:rsid w:val="00246EBA"/>
    <w:rsid w:val="00252709"/>
    <w:rsid w:val="00260B88"/>
    <w:rsid w:val="00263D03"/>
    <w:rsid w:val="00264840"/>
    <w:rsid w:val="00265310"/>
    <w:rsid w:val="00265698"/>
    <w:rsid w:val="002657DD"/>
    <w:rsid w:val="002772A2"/>
    <w:rsid w:val="00281EEB"/>
    <w:rsid w:val="002824B1"/>
    <w:rsid w:val="002842A4"/>
    <w:rsid w:val="00290FD6"/>
    <w:rsid w:val="00294562"/>
    <w:rsid w:val="002B09A9"/>
    <w:rsid w:val="002B2AB3"/>
    <w:rsid w:val="002D2359"/>
    <w:rsid w:val="002D64BB"/>
    <w:rsid w:val="002E35DE"/>
    <w:rsid w:val="002F3E74"/>
    <w:rsid w:val="0030031B"/>
    <w:rsid w:val="00312D6E"/>
    <w:rsid w:val="00315363"/>
    <w:rsid w:val="0032196D"/>
    <w:rsid w:val="00324150"/>
    <w:rsid w:val="003243CA"/>
    <w:rsid w:val="003265DE"/>
    <w:rsid w:val="00326E65"/>
    <w:rsid w:val="00332EFC"/>
    <w:rsid w:val="0033471C"/>
    <w:rsid w:val="00336808"/>
    <w:rsid w:val="00337C6E"/>
    <w:rsid w:val="00340746"/>
    <w:rsid w:val="0035076C"/>
    <w:rsid w:val="00350812"/>
    <w:rsid w:val="00354E7E"/>
    <w:rsid w:val="0035503E"/>
    <w:rsid w:val="00355BF1"/>
    <w:rsid w:val="003602B3"/>
    <w:rsid w:val="00363C74"/>
    <w:rsid w:val="00364A56"/>
    <w:rsid w:val="00366CFF"/>
    <w:rsid w:val="00370B12"/>
    <w:rsid w:val="00375A1D"/>
    <w:rsid w:val="00377AFA"/>
    <w:rsid w:val="00377EA3"/>
    <w:rsid w:val="00380763"/>
    <w:rsid w:val="00383EDE"/>
    <w:rsid w:val="003856CE"/>
    <w:rsid w:val="003879F8"/>
    <w:rsid w:val="00393963"/>
    <w:rsid w:val="00395061"/>
    <w:rsid w:val="003A4A94"/>
    <w:rsid w:val="003A711F"/>
    <w:rsid w:val="003B5101"/>
    <w:rsid w:val="003B522B"/>
    <w:rsid w:val="003B57F1"/>
    <w:rsid w:val="003B7CB9"/>
    <w:rsid w:val="003C6DD8"/>
    <w:rsid w:val="003D09D8"/>
    <w:rsid w:val="003D2928"/>
    <w:rsid w:val="003E472B"/>
    <w:rsid w:val="003E6D63"/>
    <w:rsid w:val="003F2906"/>
    <w:rsid w:val="003F4CBB"/>
    <w:rsid w:val="003F5552"/>
    <w:rsid w:val="003F6B8C"/>
    <w:rsid w:val="003F756B"/>
    <w:rsid w:val="00401FF2"/>
    <w:rsid w:val="00403BDB"/>
    <w:rsid w:val="004128CA"/>
    <w:rsid w:val="004204F9"/>
    <w:rsid w:val="004266DE"/>
    <w:rsid w:val="00426849"/>
    <w:rsid w:val="00427240"/>
    <w:rsid w:val="00430111"/>
    <w:rsid w:val="004334AB"/>
    <w:rsid w:val="00434316"/>
    <w:rsid w:val="004374BE"/>
    <w:rsid w:val="00444DFD"/>
    <w:rsid w:val="0044665F"/>
    <w:rsid w:val="00447F65"/>
    <w:rsid w:val="00450D00"/>
    <w:rsid w:val="00451F49"/>
    <w:rsid w:val="00455D7C"/>
    <w:rsid w:val="00456585"/>
    <w:rsid w:val="0046133F"/>
    <w:rsid w:val="00462FB7"/>
    <w:rsid w:val="00484A79"/>
    <w:rsid w:val="00492691"/>
    <w:rsid w:val="00496706"/>
    <w:rsid w:val="004A55F3"/>
    <w:rsid w:val="004A585D"/>
    <w:rsid w:val="004A5981"/>
    <w:rsid w:val="004A704E"/>
    <w:rsid w:val="004A7E2E"/>
    <w:rsid w:val="004B27F0"/>
    <w:rsid w:val="004C0AE4"/>
    <w:rsid w:val="004C4102"/>
    <w:rsid w:val="004C6530"/>
    <w:rsid w:val="004C7710"/>
    <w:rsid w:val="004D3553"/>
    <w:rsid w:val="004D6A75"/>
    <w:rsid w:val="004D6B89"/>
    <w:rsid w:val="004D72F2"/>
    <w:rsid w:val="004E418C"/>
    <w:rsid w:val="004F0B89"/>
    <w:rsid w:val="004F54E9"/>
    <w:rsid w:val="00500D5B"/>
    <w:rsid w:val="00500E0E"/>
    <w:rsid w:val="00502A78"/>
    <w:rsid w:val="00512E1E"/>
    <w:rsid w:val="00517305"/>
    <w:rsid w:val="00527CE3"/>
    <w:rsid w:val="00527F30"/>
    <w:rsid w:val="00542527"/>
    <w:rsid w:val="0054598B"/>
    <w:rsid w:val="00551C1E"/>
    <w:rsid w:val="0055460F"/>
    <w:rsid w:val="0056125D"/>
    <w:rsid w:val="00561331"/>
    <w:rsid w:val="0056534C"/>
    <w:rsid w:val="00567A72"/>
    <w:rsid w:val="00583776"/>
    <w:rsid w:val="00584806"/>
    <w:rsid w:val="00586A38"/>
    <w:rsid w:val="00593489"/>
    <w:rsid w:val="005951C3"/>
    <w:rsid w:val="00595A92"/>
    <w:rsid w:val="005A366C"/>
    <w:rsid w:val="005A4DC3"/>
    <w:rsid w:val="005A5DA5"/>
    <w:rsid w:val="005B26AF"/>
    <w:rsid w:val="005B3029"/>
    <w:rsid w:val="005B669F"/>
    <w:rsid w:val="005C13CE"/>
    <w:rsid w:val="005C1B3E"/>
    <w:rsid w:val="005C40A6"/>
    <w:rsid w:val="005D09CA"/>
    <w:rsid w:val="005D41B8"/>
    <w:rsid w:val="005F36E7"/>
    <w:rsid w:val="005F3CB4"/>
    <w:rsid w:val="00601E12"/>
    <w:rsid w:val="00602E90"/>
    <w:rsid w:val="00610631"/>
    <w:rsid w:val="00610F0C"/>
    <w:rsid w:val="006138E0"/>
    <w:rsid w:val="00613B50"/>
    <w:rsid w:val="00621479"/>
    <w:rsid w:val="006251DC"/>
    <w:rsid w:val="00626BA9"/>
    <w:rsid w:val="0063239C"/>
    <w:rsid w:val="00632874"/>
    <w:rsid w:val="0063433E"/>
    <w:rsid w:val="00634B89"/>
    <w:rsid w:val="00645512"/>
    <w:rsid w:val="006462B5"/>
    <w:rsid w:val="00646576"/>
    <w:rsid w:val="006507EE"/>
    <w:rsid w:val="0066052C"/>
    <w:rsid w:val="00665489"/>
    <w:rsid w:val="006672E0"/>
    <w:rsid w:val="006745CF"/>
    <w:rsid w:val="00683D94"/>
    <w:rsid w:val="0068586E"/>
    <w:rsid w:val="00687B09"/>
    <w:rsid w:val="00690A3B"/>
    <w:rsid w:val="006918B5"/>
    <w:rsid w:val="00694A53"/>
    <w:rsid w:val="00696DCD"/>
    <w:rsid w:val="006A320F"/>
    <w:rsid w:val="006A595E"/>
    <w:rsid w:val="006A7DF8"/>
    <w:rsid w:val="006B185F"/>
    <w:rsid w:val="006B246D"/>
    <w:rsid w:val="006B30CD"/>
    <w:rsid w:val="006B3B7C"/>
    <w:rsid w:val="006B46CD"/>
    <w:rsid w:val="006B4ADB"/>
    <w:rsid w:val="006B79E5"/>
    <w:rsid w:val="006C24BA"/>
    <w:rsid w:val="006C26FF"/>
    <w:rsid w:val="006C3089"/>
    <w:rsid w:val="006C393A"/>
    <w:rsid w:val="006C3978"/>
    <w:rsid w:val="006C55CD"/>
    <w:rsid w:val="006C6643"/>
    <w:rsid w:val="006D0D5B"/>
    <w:rsid w:val="006D7810"/>
    <w:rsid w:val="006E65AD"/>
    <w:rsid w:val="006E7772"/>
    <w:rsid w:val="0070418E"/>
    <w:rsid w:val="007079BB"/>
    <w:rsid w:val="00711BE8"/>
    <w:rsid w:val="00716ED4"/>
    <w:rsid w:val="00721CA9"/>
    <w:rsid w:val="00725F1D"/>
    <w:rsid w:val="00731C8C"/>
    <w:rsid w:val="0073706D"/>
    <w:rsid w:val="0074593A"/>
    <w:rsid w:val="0074692C"/>
    <w:rsid w:val="00753861"/>
    <w:rsid w:val="00763228"/>
    <w:rsid w:val="00767774"/>
    <w:rsid w:val="007678E4"/>
    <w:rsid w:val="00773CD6"/>
    <w:rsid w:val="00791782"/>
    <w:rsid w:val="007973A1"/>
    <w:rsid w:val="007A4CC8"/>
    <w:rsid w:val="007A5DAA"/>
    <w:rsid w:val="007A79C7"/>
    <w:rsid w:val="007B03C1"/>
    <w:rsid w:val="007B22FE"/>
    <w:rsid w:val="007B254C"/>
    <w:rsid w:val="007B75E9"/>
    <w:rsid w:val="007C22A3"/>
    <w:rsid w:val="007C264A"/>
    <w:rsid w:val="007C6271"/>
    <w:rsid w:val="007D3A1E"/>
    <w:rsid w:val="007F089E"/>
    <w:rsid w:val="007F69B9"/>
    <w:rsid w:val="0080187C"/>
    <w:rsid w:val="00803635"/>
    <w:rsid w:val="00803AFD"/>
    <w:rsid w:val="00812B7A"/>
    <w:rsid w:val="0081761D"/>
    <w:rsid w:val="0083118A"/>
    <w:rsid w:val="00831EA1"/>
    <w:rsid w:val="00832653"/>
    <w:rsid w:val="008346F2"/>
    <w:rsid w:val="00834955"/>
    <w:rsid w:val="0085377A"/>
    <w:rsid w:val="00854F1B"/>
    <w:rsid w:val="008743E2"/>
    <w:rsid w:val="00881082"/>
    <w:rsid w:val="00883A81"/>
    <w:rsid w:val="0088528F"/>
    <w:rsid w:val="00887E0D"/>
    <w:rsid w:val="00891686"/>
    <w:rsid w:val="0089200C"/>
    <w:rsid w:val="00892A7D"/>
    <w:rsid w:val="008936D6"/>
    <w:rsid w:val="00897333"/>
    <w:rsid w:val="008A2652"/>
    <w:rsid w:val="008A6525"/>
    <w:rsid w:val="008B1F2E"/>
    <w:rsid w:val="008B5132"/>
    <w:rsid w:val="008C0575"/>
    <w:rsid w:val="008C1C07"/>
    <w:rsid w:val="008C26F9"/>
    <w:rsid w:val="008C3AB5"/>
    <w:rsid w:val="008C451D"/>
    <w:rsid w:val="008C76CA"/>
    <w:rsid w:val="008D1F15"/>
    <w:rsid w:val="008D2949"/>
    <w:rsid w:val="008D3E50"/>
    <w:rsid w:val="008E407D"/>
    <w:rsid w:val="008E68A5"/>
    <w:rsid w:val="008E7581"/>
    <w:rsid w:val="008F2059"/>
    <w:rsid w:val="008F26D4"/>
    <w:rsid w:val="008F2F05"/>
    <w:rsid w:val="008F7D32"/>
    <w:rsid w:val="009010E7"/>
    <w:rsid w:val="00917799"/>
    <w:rsid w:val="00920C52"/>
    <w:rsid w:val="00921C0A"/>
    <w:rsid w:val="00934923"/>
    <w:rsid w:val="00934D07"/>
    <w:rsid w:val="00937BB0"/>
    <w:rsid w:val="00940392"/>
    <w:rsid w:val="00945377"/>
    <w:rsid w:val="00955042"/>
    <w:rsid w:val="00955FA3"/>
    <w:rsid w:val="0096610D"/>
    <w:rsid w:val="00985908"/>
    <w:rsid w:val="00985D1B"/>
    <w:rsid w:val="00986ED9"/>
    <w:rsid w:val="00991335"/>
    <w:rsid w:val="009947C0"/>
    <w:rsid w:val="00994E6C"/>
    <w:rsid w:val="00996A8E"/>
    <w:rsid w:val="009A0F5E"/>
    <w:rsid w:val="009A68B2"/>
    <w:rsid w:val="009A7C67"/>
    <w:rsid w:val="009B2428"/>
    <w:rsid w:val="009B5DDB"/>
    <w:rsid w:val="009C25C2"/>
    <w:rsid w:val="009C2BBD"/>
    <w:rsid w:val="009C3952"/>
    <w:rsid w:val="009D1E90"/>
    <w:rsid w:val="009D4DE5"/>
    <w:rsid w:val="009D51A6"/>
    <w:rsid w:val="009E0336"/>
    <w:rsid w:val="009E24C2"/>
    <w:rsid w:val="009E6E83"/>
    <w:rsid w:val="00A00877"/>
    <w:rsid w:val="00A01907"/>
    <w:rsid w:val="00A04F80"/>
    <w:rsid w:val="00A127A4"/>
    <w:rsid w:val="00A156DC"/>
    <w:rsid w:val="00A26481"/>
    <w:rsid w:val="00A33157"/>
    <w:rsid w:val="00A35443"/>
    <w:rsid w:val="00A42F2E"/>
    <w:rsid w:val="00A46E2E"/>
    <w:rsid w:val="00A616A2"/>
    <w:rsid w:val="00A904C5"/>
    <w:rsid w:val="00A94825"/>
    <w:rsid w:val="00A968F9"/>
    <w:rsid w:val="00A9755E"/>
    <w:rsid w:val="00AA03F9"/>
    <w:rsid w:val="00AA2213"/>
    <w:rsid w:val="00AA3D6E"/>
    <w:rsid w:val="00AA448A"/>
    <w:rsid w:val="00AA4F50"/>
    <w:rsid w:val="00AA66BB"/>
    <w:rsid w:val="00AB5644"/>
    <w:rsid w:val="00AC1157"/>
    <w:rsid w:val="00AC3678"/>
    <w:rsid w:val="00AC49DC"/>
    <w:rsid w:val="00AC6E69"/>
    <w:rsid w:val="00AC7805"/>
    <w:rsid w:val="00AD5DF4"/>
    <w:rsid w:val="00AD7266"/>
    <w:rsid w:val="00AE38E7"/>
    <w:rsid w:val="00AE3D58"/>
    <w:rsid w:val="00AE4B31"/>
    <w:rsid w:val="00AE7767"/>
    <w:rsid w:val="00AF0E95"/>
    <w:rsid w:val="00AF0E99"/>
    <w:rsid w:val="00AF4E21"/>
    <w:rsid w:val="00AF4F43"/>
    <w:rsid w:val="00AF5B69"/>
    <w:rsid w:val="00AF5ECC"/>
    <w:rsid w:val="00B02D3D"/>
    <w:rsid w:val="00B04F73"/>
    <w:rsid w:val="00B11873"/>
    <w:rsid w:val="00B141E4"/>
    <w:rsid w:val="00B14268"/>
    <w:rsid w:val="00B23333"/>
    <w:rsid w:val="00B31ACF"/>
    <w:rsid w:val="00B323C0"/>
    <w:rsid w:val="00B32F0A"/>
    <w:rsid w:val="00B357C2"/>
    <w:rsid w:val="00B36C79"/>
    <w:rsid w:val="00B36FE2"/>
    <w:rsid w:val="00B43C2E"/>
    <w:rsid w:val="00B519EB"/>
    <w:rsid w:val="00B52A74"/>
    <w:rsid w:val="00B5732E"/>
    <w:rsid w:val="00B62B5D"/>
    <w:rsid w:val="00B64551"/>
    <w:rsid w:val="00B64CFF"/>
    <w:rsid w:val="00B76B64"/>
    <w:rsid w:val="00B82649"/>
    <w:rsid w:val="00B83C35"/>
    <w:rsid w:val="00B86533"/>
    <w:rsid w:val="00B86B1C"/>
    <w:rsid w:val="00B913A5"/>
    <w:rsid w:val="00B9163B"/>
    <w:rsid w:val="00B93009"/>
    <w:rsid w:val="00BA287D"/>
    <w:rsid w:val="00BA47C6"/>
    <w:rsid w:val="00BA4E9B"/>
    <w:rsid w:val="00BB1998"/>
    <w:rsid w:val="00BB1BD2"/>
    <w:rsid w:val="00BB635D"/>
    <w:rsid w:val="00BC218F"/>
    <w:rsid w:val="00BC2D7F"/>
    <w:rsid w:val="00BC378E"/>
    <w:rsid w:val="00BC3A4C"/>
    <w:rsid w:val="00BD5A83"/>
    <w:rsid w:val="00BD71B4"/>
    <w:rsid w:val="00BE0616"/>
    <w:rsid w:val="00BE3434"/>
    <w:rsid w:val="00BE5CB1"/>
    <w:rsid w:val="00BF1A5B"/>
    <w:rsid w:val="00BF23E5"/>
    <w:rsid w:val="00BF5545"/>
    <w:rsid w:val="00C03ABD"/>
    <w:rsid w:val="00C04D0F"/>
    <w:rsid w:val="00C065ED"/>
    <w:rsid w:val="00C07DFB"/>
    <w:rsid w:val="00C128C4"/>
    <w:rsid w:val="00C13624"/>
    <w:rsid w:val="00C13726"/>
    <w:rsid w:val="00C14123"/>
    <w:rsid w:val="00C143DC"/>
    <w:rsid w:val="00C22646"/>
    <w:rsid w:val="00C325A2"/>
    <w:rsid w:val="00C37204"/>
    <w:rsid w:val="00C45A86"/>
    <w:rsid w:val="00C46554"/>
    <w:rsid w:val="00C50962"/>
    <w:rsid w:val="00C50ADC"/>
    <w:rsid w:val="00C66688"/>
    <w:rsid w:val="00C75C3A"/>
    <w:rsid w:val="00C779D4"/>
    <w:rsid w:val="00C832E5"/>
    <w:rsid w:val="00C868DF"/>
    <w:rsid w:val="00C87ACD"/>
    <w:rsid w:val="00C9028B"/>
    <w:rsid w:val="00C95799"/>
    <w:rsid w:val="00CA5736"/>
    <w:rsid w:val="00CA74D3"/>
    <w:rsid w:val="00CA767A"/>
    <w:rsid w:val="00CB07A4"/>
    <w:rsid w:val="00CB13DE"/>
    <w:rsid w:val="00CB6441"/>
    <w:rsid w:val="00CC1947"/>
    <w:rsid w:val="00CC2EEC"/>
    <w:rsid w:val="00CD2CBA"/>
    <w:rsid w:val="00CE4E7D"/>
    <w:rsid w:val="00CE760E"/>
    <w:rsid w:val="00CF72AE"/>
    <w:rsid w:val="00CF7585"/>
    <w:rsid w:val="00D0238B"/>
    <w:rsid w:val="00D0274C"/>
    <w:rsid w:val="00D12505"/>
    <w:rsid w:val="00D12C6F"/>
    <w:rsid w:val="00D15484"/>
    <w:rsid w:val="00D163D9"/>
    <w:rsid w:val="00D20C09"/>
    <w:rsid w:val="00D232EA"/>
    <w:rsid w:val="00D246C4"/>
    <w:rsid w:val="00D31480"/>
    <w:rsid w:val="00D43B26"/>
    <w:rsid w:val="00D44223"/>
    <w:rsid w:val="00D446B0"/>
    <w:rsid w:val="00D455F0"/>
    <w:rsid w:val="00D51612"/>
    <w:rsid w:val="00D51A74"/>
    <w:rsid w:val="00D52437"/>
    <w:rsid w:val="00D53C78"/>
    <w:rsid w:val="00D559FA"/>
    <w:rsid w:val="00D60EE1"/>
    <w:rsid w:val="00D612B4"/>
    <w:rsid w:val="00D63769"/>
    <w:rsid w:val="00D6477E"/>
    <w:rsid w:val="00D719F3"/>
    <w:rsid w:val="00D71ACB"/>
    <w:rsid w:val="00D75FF0"/>
    <w:rsid w:val="00D76454"/>
    <w:rsid w:val="00D77019"/>
    <w:rsid w:val="00D84B83"/>
    <w:rsid w:val="00DA0356"/>
    <w:rsid w:val="00DA1A86"/>
    <w:rsid w:val="00DA22E2"/>
    <w:rsid w:val="00DA3369"/>
    <w:rsid w:val="00DA3F49"/>
    <w:rsid w:val="00DA781A"/>
    <w:rsid w:val="00DB108D"/>
    <w:rsid w:val="00DC276E"/>
    <w:rsid w:val="00DC29A1"/>
    <w:rsid w:val="00DC427E"/>
    <w:rsid w:val="00DC5E7D"/>
    <w:rsid w:val="00DD17EB"/>
    <w:rsid w:val="00DD7349"/>
    <w:rsid w:val="00DE3011"/>
    <w:rsid w:val="00DE4921"/>
    <w:rsid w:val="00DE5B3E"/>
    <w:rsid w:val="00DE674E"/>
    <w:rsid w:val="00DF73F2"/>
    <w:rsid w:val="00E068E4"/>
    <w:rsid w:val="00E1318E"/>
    <w:rsid w:val="00E13DEB"/>
    <w:rsid w:val="00E14538"/>
    <w:rsid w:val="00E25D01"/>
    <w:rsid w:val="00E26A7C"/>
    <w:rsid w:val="00E327AE"/>
    <w:rsid w:val="00E35496"/>
    <w:rsid w:val="00E408A2"/>
    <w:rsid w:val="00E41EA0"/>
    <w:rsid w:val="00E52999"/>
    <w:rsid w:val="00E566A1"/>
    <w:rsid w:val="00E61B82"/>
    <w:rsid w:val="00E6241D"/>
    <w:rsid w:val="00E659DF"/>
    <w:rsid w:val="00E75FD9"/>
    <w:rsid w:val="00E8404B"/>
    <w:rsid w:val="00E87867"/>
    <w:rsid w:val="00E943EE"/>
    <w:rsid w:val="00E958EF"/>
    <w:rsid w:val="00E972EB"/>
    <w:rsid w:val="00EA00FE"/>
    <w:rsid w:val="00EA22B2"/>
    <w:rsid w:val="00EB166A"/>
    <w:rsid w:val="00EB6724"/>
    <w:rsid w:val="00EC196A"/>
    <w:rsid w:val="00EC296E"/>
    <w:rsid w:val="00EC6837"/>
    <w:rsid w:val="00EC7BBE"/>
    <w:rsid w:val="00ED0A2E"/>
    <w:rsid w:val="00ED292B"/>
    <w:rsid w:val="00ED3871"/>
    <w:rsid w:val="00ED429C"/>
    <w:rsid w:val="00ED50C3"/>
    <w:rsid w:val="00ED6564"/>
    <w:rsid w:val="00ED72A2"/>
    <w:rsid w:val="00EE2C5D"/>
    <w:rsid w:val="00EE7147"/>
    <w:rsid w:val="00EF08C9"/>
    <w:rsid w:val="00F05739"/>
    <w:rsid w:val="00F1065D"/>
    <w:rsid w:val="00F13C87"/>
    <w:rsid w:val="00F148B1"/>
    <w:rsid w:val="00F20E9E"/>
    <w:rsid w:val="00F22395"/>
    <w:rsid w:val="00F23487"/>
    <w:rsid w:val="00F23681"/>
    <w:rsid w:val="00F27C1C"/>
    <w:rsid w:val="00F27E20"/>
    <w:rsid w:val="00F321BF"/>
    <w:rsid w:val="00F363EA"/>
    <w:rsid w:val="00F423CC"/>
    <w:rsid w:val="00F42CD0"/>
    <w:rsid w:val="00F45D1C"/>
    <w:rsid w:val="00F47030"/>
    <w:rsid w:val="00F50553"/>
    <w:rsid w:val="00F52907"/>
    <w:rsid w:val="00F533BB"/>
    <w:rsid w:val="00F612AC"/>
    <w:rsid w:val="00F61A8A"/>
    <w:rsid w:val="00F64F0D"/>
    <w:rsid w:val="00F7131C"/>
    <w:rsid w:val="00F716B4"/>
    <w:rsid w:val="00F72321"/>
    <w:rsid w:val="00F761C4"/>
    <w:rsid w:val="00F82829"/>
    <w:rsid w:val="00F85303"/>
    <w:rsid w:val="00F9352F"/>
    <w:rsid w:val="00F965F2"/>
    <w:rsid w:val="00F972DE"/>
    <w:rsid w:val="00FA518D"/>
    <w:rsid w:val="00FA7226"/>
    <w:rsid w:val="00FB1FA3"/>
    <w:rsid w:val="00FB563A"/>
    <w:rsid w:val="00FB5EDA"/>
    <w:rsid w:val="00FB7475"/>
    <w:rsid w:val="00FE2FE4"/>
    <w:rsid w:val="00FE46C6"/>
    <w:rsid w:val="00FF542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3F810C"/>
  <w15:docId w15:val="{E4EE5416-BED8-4A8E-880D-B6D8BC8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uiPriority w:val="99"/>
    <w:semiHidden/>
    <w:rsid w:val="00EC68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link w:val="FootnoteTextChar"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3"/>
    <w:qFormat/>
    <w:rsid w:val="00E52999"/>
    <w:pPr>
      <w:tabs>
        <w:tab w:val="clear" w:pos="1304"/>
        <w:tab w:val="left" w:pos="964"/>
      </w:tabs>
      <w:ind w:left="964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styleId="UnresolvedMention">
    <w:name w:val="Unresolved Mention"/>
    <w:uiPriority w:val="99"/>
    <w:semiHidden/>
    <w:unhideWhenUsed/>
    <w:rsid w:val="00F64F0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F64F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F64F0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64F0D"/>
    <w:rPr>
      <w:sz w:val="24"/>
      <w:szCs w:val="24"/>
      <w:lang w:val="en-GB" w:eastAsia="en-GB" w:bidi="ar-SA"/>
    </w:rPr>
  </w:style>
  <w:style w:type="character" w:customStyle="1" w:styleId="cf01">
    <w:name w:val="cf01"/>
    <w:rsid w:val="00F64F0D"/>
    <w:rPr>
      <w:rFonts w:ascii="Segoe UI" w:hAnsi="Segoe UI" w:cs="Segoe UI" w:hint="default"/>
      <w:sz w:val="18"/>
      <w:szCs w:val="18"/>
    </w:rPr>
  </w:style>
  <w:style w:type="paragraph" w:customStyle="1" w:styleId="pf1">
    <w:name w:val="pf1"/>
    <w:basedOn w:val="Normal"/>
    <w:rsid w:val="00F64F0D"/>
    <w:pPr>
      <w:spacing w:before="100" w:beforeAutospacing="1" w:after="100" w:afterAutospacing="1"/>
      <w:ind w:left="300"/>
    </w:pPr>
  </w:style>
  <w:style w:type="character" w:customStyle="1" w:styleId="CommentTextChar">
    <w:name w:val="Comment Text Char"/>
    <w:link w:val="CommentText"/>
    <w:uiPriority w:val="99"/>
    <w:rsid w:val="00F64F0D"/>
    <w:rPr>
      <w:rFonts w:ascii="Arial" w:hAnsi="Arial"/>
      <w:lang w:eastAsia="en-US"/>
    </w:rPr>
  </w:style>
  <w:style w:type="character" w:customStyle="1" w:styleId="FootnoteTextChar">
    <w:name w:val="Footnote Text Char"/>
    <w:link w:val="FootnoteText"/>
    <w:rsid w:val="00F64F0D"/>
    <w:rPr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FEECD-8B88-48C0-B81C-4EB879B05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V9.dotx</Template>
  <TotalTime>0</TotalTime>
  <Pages>4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FIX</dc:creator>
  <cp:keywords/>
  <dc:description/>
  <cp:lastModifiedBy>Erciyas, Sefanur [AU-AU]</cp:lastModifiedBy>
  <cp:revision>10</cp:revision>
  <dcterms:created xsi:type="dcterms:W3CDTF">2025-08-26T21:47:00Z</dcterms:created>
  <dcterms:modified xsi:type="dcterms:W3CDTF">2025-08-27T05:50:00Z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9.0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</Properties>
</file>