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EA74" w14:textId="76FA0753" w:rsidR="005C54F6" w:rsidRPr="005C54F6" w:rsidRDefault="005C54F6" w:rsidP="005C54F6">
      <w:pPr>
        <w:jc w:val="center"/>
        <w:rPr>
          <w:rFonts w:ascii="Times New Roman" w:hAnsi="Times New Roman"/>
          <w:b/>
          <w:szCs w:val="24"/>
        </w:rPr>
      </w:pPr>
      <w:r w:rsidRPr="005C54F6">
        <w:rPr>
          <w:rFonts w:ascii="Times New Roman" w:hAnsi="Times New Roman"/>
          <w:b/>
          <w:szCs w:val="24"/>
        </w:rPr>
        <w:t>POLICY NOTE</w:t>
      </w:r>
    </w:p>
    <w:p w14:paraId="030B5284" w14:textId="77777777" w:rsidR="005C54F6" w:rsidRPr="005C54F6" w:rsidRDefault="005C54F6" w:rsidP="005C54F6">
      <w:pPr>
        <w:jc w:val="both"/>
        <w:rPr>
          <w:rFonts w:ascii="Times New Roman" w:hAnsi="Times New Roman"/>
          <w:b/>
          <w:color w:val="000000"/>
          <w:szCs w:val="24"/>
        </w:rPr>
      </w:pPr>
    </w:p>
    <w:p w14:paraId="6469346B" w14:textId="7EC1AD01" w:rsidR="005C54F6" w:rsidRDefault="005C54F6" w:rsidP="005C54F6">
      <w:pPr>
        <w:jc w:val="center"/>
        <w:rPr>
          <w:rFonts w:ascii="Times New Roman" w:hAnsi="Times New Roman"/>
          <w:b/>
          <w:color w:val="000000"/>
          <w:szCs w:val="24"/>
        </w:rPr>
      </w:pPr>
      <w:r w:rsidRPr="005C54F6">
        <w:rPr>
          <w:rFonts w:ascii="Times New Roman" w:hAnsi="Times New Roman"/>
          <w:b/>
          <w:color w:val="000000"/>
          <w:szCs w:val="24"/>
        </w:rPr>
        <w:t>THE DISCONTINUANCE OF CORNTON VALE PRISON (SCOTLAND) ORDER</w:t>
      </w:r>
      <w:r>
        <w:rPr>
          <w:rFonts w:ascii="Times New Roman" w:hAnsi="Times New Roman"/>
          <w:b/>
          <w:color w:val="000000"/>
          <w:szCs w:val="24"/>
        </w:rPr>
        <w:t> </w:t>
      </w:r>
      <w:r w:rsidRPr="005C54F6">
        <w:rPr>
          <w:rFonts w:ascii="Times New Roman" w:hAnsi="Times New Roman"/>
          <w:b/>
          <w:color w:val="000000"/>
          <w:szCs w:val="24"/>
        </w:rPr>
        <w:t>2023</w:t>
      </w:r>
    </w:p>
    <w:p w14:paraId="314D7AD8" w14:textId="046E90FB" w:rsidR="005C54F6" w:rsidRDefault="005C54F6" w:rsidP="005C54F6">
      <w:pPr>
        <w:jc w:val="center"/>
        <w:rPr>
          <w:rFonts w:ascii="Times New Roman" w:hAnsi="Times New Roman"/>
          <w:b/>
          <w:color w:val="000000"/>
          <w:szCs w:val="24"/>
        </w:rPr>
      </w:pPr>
    </w:p>
    <w:p w14:paraId="20BC9EDD" w14:textId="084CC0AA" w:rsidR="005C54F6" w:rsidRPr="005C54F6" w:rsidRDefault="005C54F6" w:rsidP="005C54F6">
      <w:pPr>
        <w:jc w:val="center"/>
        <w:rPr>
          <w:rFonts w:ascii="Times New Roman" w:hAnsi="Times New Roman"/>
          <w:b/>
          <w:color w:val="000000"/>
          <w:szCs w:val="24"/>
        </w:rPr>
      </w:pPr>
      <w:r>
        <w:rPr>
          <w:rFonts w:ascii="Times New Roman" w:hAnsi="Times New Roman"/>
          <w:b/>
          <w:color w:val="000000"/>
          <w:szCs w:val="24"/>
        </w:rPr>
        <w:t>SSI 2023/</w:t>
      </w:r>
      <w:r w:rsidR="00635B7D">
        <w:rPr>
          <w:rFonts w:ascii="Times New Roman" w:hAnsi="Times New Roman"/>
          <w:b/>
          <w:color w:val="000000"/>
          <w:szCs w:val="24"/>
        </w:rPr>
        <w:t>132</w:t>
      </w:r>
    </w:p>
    <w:p w14:paraId="330CDBFE" w14:textId="77777777" w:rsidR="005C54F6" w:rsidRPr="005C54F6" w:rsidRDefault="005C54F6" w:rsidP="005C54F6">
      <w:pPr>
        <w:jc w:val="both"/>
        <w:rPr>
          <w:rFonts w:ascii="Times New Roman" w:hAnsi="Times New Roman"/>
          <w:b/>
          <w:color w:val="000000"/>
          <w:szCs w:val="24"/>
        </w:rPr>
      </w:pPr>
    </w:p>
    <w:p w14:paraId="0F607811" w14:textId="3A62AB40" w:rsidR="005C54F6" w:rsidRDefault="005C54F6" w:rsidP="005C54F6">
      <w:pPr>
        <w:pStyle w:val="ListParagraph"/>
        <w:numPr>
          <w:ilvl w:val="0"/>
          <w:numId w:val="7"/>
        </w:numPr>
        <w:tabs>
          <w:tab w:val="left" w:pos="709"/>
        </w:tabs>
        <w:ind w:left="0" w:firstLine="0"/>
        <w:contextualSpacing/>
        <w:jc w:val="both"/>
        <w:rPr>
          <w:color w:val="000000"/>
          <w:sz w:val="24"/>
          <w:szCs w:val="24"/>
        </w:rPr>
      </w:pPr>
      <w:r w:rsidRPr="005C54F6">
        <w:rPr>
          <w:color w:val="000000"/>
          <w:sz w:val="24"/>
          <w:szCs w:val="24"/>
        </w:rPr>
        <w:t xml:space="preserve">The above instrument formally discontinues the prison of </w:t>
      </w:r>
      <w:proofErr w:type="spellStart"/>
      <w:r w:rsidRPr="005C54F6">
        <w:rPr>
          <w:color w:val="000000"/>
          <w:sz w:val="24"/>
          <w:szCs w:val="24"/>
        </w:rPr>
        <w:t>Cornton</w:t>
      </w:r>
      <w:proofErr w:type="spellEnd"/>
      <w:r w:rsidRPr="005C54F6">
        <w:rPr>
          <w:color w:val="000000"/>
          <w:sz w:val="24"/>
          <w:szCs w:val="24"/>
        </w:rPr>
        <w:t xml:space="preserve"> Vale and was made by the Scottish Ministers in exercise of the power conferred upon them by section 37(1) of the Prisons (Scotland) Act 1989. The instrument is subject to negative resolution procedure and comes into force on 6 June 2023. The discontinuance order is the formal legal act required to reflect that a prison has ceased to operate. </w:t>
      </w:r>
    </w:p>
    <w:p w14:paraId="765093AF" w14:textId="7FDC80A4" w:rsidR="005C54F6" w:rsidRDefault="005C54F6" w:rsidP="005C54F6">
      <w:pPr>
        <w:tabs>
          <w:tab w:val="left" w:pos="709"/>
        </w:tabs>
        <w:contextualSpacing/>
        <w:jc w:val="both"/>
        <w:rPr>
          <w:color w:val="00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54F6" w14:paraId="3AB002F0" w14:textId="77777777" w:rsidTr="005C54F6">
        <w:tc>
          <w:tcPr>
            <w:tcW w:w="9016" w:type="dxa"/>
            <w:tcBorders>
              <w:top w:val="single" w:sz="4" w:space="0" w:color="auto"/>
              <w:left w:val="single" w:sz="4" w:space="0" w:color="auto"/>
              <w:bottom w:val="single" w:sz="4" w:space="0" w:color="auto"/>
              <w:right w:val="single" w:sz="4" w:space="0" w:color="auto"/>
            </w:tcBorders>
          </w:tcPr>
          <w:p w14:paraId="21B14FF9" w14:textId="4BA06AC4" w:rsidR="005C54F6" w:rsidRDefault="005C54F6">
            <w:pPr>
              <w:tabs>
                <w:tab w:val="left" w:pos="720"/>
              </w:tabs>
              <w:textAlignment w:val="top"/>
              <w:rPr>
                <w:rFonts w:ascii="Times New Roman" w:hAnsi="Times New Roman"/>
                <w:color w:val="000000"/>
                <w:szCs w:val="24"/>
                <w:lang w:eastAsia="en-GB"/>
              </w:rPr>
            </w:pPr>
            <w:r>
              <w:rPr>
                <w:rFonts w:ascii="Times New Roman" w:hAnsi="Times New Roman"/>
                <w:b/>
                <w:color w:val="000000"/>
                <w:szCs w:val="24"/>
                <w:highlight w:val="lightGray"/>
                <w:lang w:eastAsia="en-GB"/>
              </w:rPr>
              <w:t>Purpose of the instrument.</w:t>
            </w:r>
            <w:r w:rsidRPr="005C54F6">
              <w:rPr>
                <w:rFonts w:ascii="Times New Roman" w:hAnsi="Times New Roman"/>
                <w:bCs/>
                <w:color w:val="000000"/>
                <w:szCs w:val="24"/>
                <w:lang w:eastAsia="en-GB"/>
              </w:rPr>
              <w:t xml:space="preserve"> </w:t>
            </w:r>
            <w:r w:rsidRPr="005C54F6">
              <w:rPr>
                <w:rFonts w:ascii="Times New Roman" w:hAnsi="Times New Roman"/>
                <w:color w:val="000000"/>
                <w:szCs w:val="24"/>
              </w:rPr>
              <w:t xml:space="preserve">The purpose of this instrument is to formally discontinue the prison of </w:t>
            </w:r>
            <w:proofErr w:type="spellStart"/>
            <w:r w:rsidRPr="005C54F6">
              <w:rPr>
                <w:rFonts w:ascii="Times New Roman" w:hAnsi="Times New Roman"/>
                <w:color w:val="000000"/>
                <w:szCs w:val="24"/>
              </w:rPr>
              <w:t>Cornton</w:t>
            </w:r>
            <w:proofErr w:type="spellEnd"/>
            <w:r w:rsidRPr="005C54F6">
              <w:rPr>
                <w:rFonts w:ascii="Times New Roman" w:hAnsi="Times New Roman"/>
                <w:color w:val="000000"/>
                <w:szCs w:val="24"/>
              </w:rPr>
              <w:t xml:space="preserve"> Vale.</w:t>
            </w:r>
          </w:p>
          <w:p w14:paraId="2A55DA9A" w14:textId="77777777" w:rsidR="005C54F6" w:rsidRDefault="005C54F6">
            <w:pPr>
              <w:tabs>
                <w:tab w:val="left" w:pos="720"/>
              </w:tabs>
              <w:textAlignment w:val="top"/>
              <w:rPr>
                <w:rFonts w:ascii="Times New Roman" w:hAnsi="Times New Roman"/>
                <w:color w:val="000000"/>
                <w:szCs w:val="24"/>
                <w:lang w:eastAsia="en-GB"/>
              </w:rPr>
            </w:pPr>
          </w:p>
        </w:tc>
      </w:tr>
    </w:tbl>
    <w:p w14:paraId="07C7432E" w14:textId="77777777" w:rsidR="005C54F6" w:rsidRPr="005C54F6" w:rsidRDefault="005C54F6" w:rsidP="005C54F6">
      <w:pPr>
        <w:jc w:val="both"/>
        <w:rPr>
          <w:rFonts w:ascii="Times New Roman" w:hAnsi="Times New Roman"/>
          <w:color w:val="000000"/>
          <w:szCs w:val="24"/>
        </w:rPr>
      </w:pPr>
    </w:p>
    <w:p w14:paraId="0268DE56" w14:textId="77777777" w:rsidR="005C54F6" w:rsidRPr="005C54F6" w:rsidRDefault="005C54F6" w:rsidP="005C54F6">
      <w:pPr>
        <w:jc w:val="both"/>
        <w:rPr>
          <w:rFonts w:ascii="Times New Roman" w:hAnsi="Times New Roman"/>
          <w:b/>
          <w:color w:val="000000"/>
          <w:szCs w:val="24"/>
        </w:rPr>
      </w:pPr>
      <w:r w:rsidRPr="005C54F6">
        <w:rPr>
          <w:rFonts w:ascii="Times New Roman" w:hAnsi="Times New Roman"/>
          <w:b/>
          <w:color w:val="000000"/>
          <w:szCs w:val="24"/>
        </w:rPr>
        <w:t xml:space="preserve">Policy Objectives </w:t>
      </w:r>
    </w:p>
    <w:p w14:paraId="0C262A34" w14:textId="77777777" w:rsidR="005C54F6" w:rsidRPr="005C54F6" w:rsidRDefault="005C54F6" w:rsidP="005C54F6">
      <w:pPr>
        <w:jc w:val="both"/>
        <w:rPr>
          <w:rFonts w:ascii="Times New Roman" w:hAnsi="Times New Roman"/>
          <w:b/>
          <w:color w:val="000000"/>
          <w:szCs w:val="24"/>
        </w:rPr>
      </w:pPr>
    </w:p>
    <w:p w14:paraId="2F2DD47B" w14:textId="77777777" w:rsidR="005C54F6" w:rsidRPr="005C54F6" w:rsidRDefault="005C54F6" w:rsidP="005C54F6">
      <w:pPr>
        <w:pStyle w:val="ListParagraph"/>
        <w:numPr>
          <w:ilvl w:val="0"/>
          <w:numId w:val="7"/>
        </w:numPr>
        <w:ind w:left="0" w:firstLine="0"/>
        <w:contextualSpacing/>
        <w:jc w:val="both"/>
        <w:rPr>
          <w:color w:val="000000"/>
          <w:sz w:val="24"/>
          <w:szCs w:val="24"/>
        </w:rPr>
      </w:pPr>
      <w:r w:rsidRPr="005C54F6">
        <w:rPr>
          <w:color w:val="000000"/>
          <w:sz w:val="24"/>
          <w:szCs w:val="24"/>
        </w:rPr>
        <w:t xml:space="preserve">In 2015, the then Cabinet Secretary for Justice announced plans for the future of the custodial estate for women. This included a new national prison for 80 women, which would replace HMP &amp; YOI </w:t>
      </w:r>
      <w:proofErr w:type="spellStart"/>
      <w:r w:rsidRPr="005C54F6">
        <w:rPr>
          <w:color w:val="000000"/>
          <w:sz w:val="24"/>
          <w:szCs w:val="24"/>
        </w:rPr>
        <w:t>Cornton</w:t>
      </w:r>
      <w:proofErr w:type="spellEnd"/>
      <w:r w:rsidRPr="005C54F6">
        <w:rPr>
          <w:color w:val="000000"/>
          <w:sz w:val="24"/>
          <w:szCs w:val="24"/>
        </w:rPr>
        <w:t xml:space="preserve"> Vale prison. </w:t>
      </w:r>
    </w:p>
    <w:p w14:paraId="0C3D301C" w14:textId="77777777" w:rsidR="005C54F6" w:rsidRPr="005C54F6" w:rsidRDefault="005C54F6" w:rsidP="005C54F6">
      <w:pPr>
        <w:jc w:val="both"/>
        <w:rPr>
          <w:rFonts w:ascii="Times New Roman" w:hAnsi="Times New Roman"/>
          <w:color w:val="000000"/>
          <w:szCs w:val="24"/>
        </w:rPr>
      </w:pPr>
    </w:p>
    <w:p w14:paraId="226B5B6B" w14:textId="77777777" w:rsidR="005C54F6" w:rsidRPr="005C54F6" w:rsidRDefault="005C54F6" w:rsidP="005C54F6">
      <w:pPr>
        <w:pStyle w:val="ListParagraph"/>
        <w:numPr>
          <w:ilvl w:val="0"/>
          <w:numId w:val="7"/>
        </w:numPr>
        <w:ind w:left="0" w:firstLine="0"/>
        <w:contextualSpacing/>
        <w:jc w:val="both"/>
        <w:rPr>
          <w:color w:val="000000"/>
          <w:sz w:val="24"/>
          <w:szCs w:val="24"/>
        </w:rPr>
      </w:pPr>
      <w:r w:rsidRPr="005C54F6">
        <w:rPr>
          <w:color w:val="000000"/>
          <w:sz w:val="24"/>
          <w:szCs w:val="24"/>
        </w:rPr>
        <w:t xml:space="preserve">HMP &amp; YOI Stirling has been built on part of the HMP &amp; YOI </w:t>
      </w:r>
      <w:proofErr w:type="spellStart"/>
      <w:r w:rsidRPr="005C54F6">
        <w:rPr>
          <w:color w:val="000000"/>
          <w:sz w:val="24"/>
          <w:szCs w:val="24"/>
        </w:rPr>
        <w:t>Cornton</w:t>
      </w:r>
      <w:proofErr w:type="spellEnd"/>
      <w:r w:rsidRPr="005C54F6">
        <w:rPr>
          <w:color w:val="000000"/>
          <w:sz w:val="24"/>
          <w:szCs w:val="24"/>
        </w:rPr>
        <w:t xml:space="preserve"> Vale site and </w:t>
      </w:r>
      <w:r w:rsidRPr="005C54F6">
        <w:rPr>
          <w:iCs/>
          <w:color w:val="000000"/>
          <w:sz w:val="24"/>
          <w:szCs w:val="24"/>
        </w:rPr>
        <w:t xml:space="preserve">is scheduled to open in May 2023, and it will become operational in June 2023. HMP &amp; YOI </w:t>
      </w:r>
      <w:proofErr w:type="spellStart"/>
      <w:r w:rsidRPr="005C54F6">
        <w:rPr>
          <w:iCs/>
          <w:color w:val="000000"/>
          <w:sz w:val="24"/>
          <w:szCs w:val="24"/>
        </w:rPr>
        <w:t>Cornton</w:t>
      </w:r>
      <w:proofErr w:type="spellEnd"/>
      <w:r w:rsidRPr="005C54F6">
        <w:rPr>
          <w:iCs/>
          <w:color w:val="000000"/>
          <w:sz w:val="24"/>
          <w:szCs w:val="24"/>
        </w:rPr>
        <w:t xml:space="preserve"> Vale closed to prisoners in March 2023 and a</w:t>
      </w:r>
      <w:r w:rsidRPr="005C54F6">
        <w:rPr>
          <w:color w:val="000000"/>
          <w:sz w:val="24"/>
          <w:szCs w:val="24"/>
        </w:rPr>
        <w:t>ll prisoners were relocated to other SPS sites. Although the prison will already be closed to prisoners by the time this Order comes into force, this Order means that this property can no longer be used as a prison.</w:t>
      </w:r>
    </w:p>
    <w:p w14:paraId="0B9EE906" w14:textId="77777777" w:rsidR="005C54F6" w:rsidRPr="005C54F6" w:rsidRDefault="005C54F6" w:rsidP="005C54F6">
      <w:pPr>
        <w:pStyle w:val="ListParagraph"/>
        <w:jc w:val="both"/>
        <w:rPr>
          <w:color w:val="000000"/>
          <w:sz w:val="24"/>
          <w:szCs w:val="24"/>
        </w:rPr>
      </w:pPr>
    </w:p>
    <w:p w14:paraId="6A5E33CA" w14:textId="77777777" w:rsidR="005C54F6" w:rsidRPr="005C54F6" w:rsidRDefault="005C54F6" w:rsidP="005C54F6">
      <w:pPr>
        <w:pStyle w:val="ListParagraph"/>
        <w:numPr>
          <w:ilvl w:val="0"/>
          <w:numId w:val="7"/>
        </w:numPr>
        <w:ind w:left="0" w:firstLine="0"/>
        <w:contextualSpacing/>
        <w:jc w:val="both"/>
        <w:rPr>
          <w:color w:val="000000"/>
          <w:sz w:val="24"/>
          <w:szCs w:val="24"/>
        </w:rPr>
      </w:pPr>
      <w:r w:rsidRPr="005C54F6">
        <w:rPr>
          <w:sz w:val="24"/>
          <w:szCs w:val="24"/>
        </w:rPr>
        <w:t xml:space="preserve">Staff from HMP &amp; YOI </w:t>
      </w:r>
      <w:proofErr w:type="spellStart"/>
      <w:r w:rsidRPr="005C54F6">
        <w:rPr>
          <w:sz w:val="24"/>
          <w:szCs w:val="24"/>
        </w:rPr>
        <w:t>Cornton</w:t>
      </w:r>
      <w:proofErr w:type="spellEnd"/>
      <w:r w:rsidRPr="005C54F6">
        <w:rPr>
          <w:sz w:val="24"/>
          <w:szCs w:val="24"/>
        </w:rPr>
        <w:t xml:space="preserve"> Vale have been redeployed and will return to HMP &amp; YOI Stirling this summer and there will be no compulsory redundancies following the closures of the prison.</w:t>
      </w:r>
    </w:p>
    <w:p w14:paraId="3AF5B775" w14:textId="77777777" w:rsidR="005C54F6" w:rsidRPr="005C54F6" w:rsidRDefault="005C54F6" w:rsidP="005C54F6">
      <w:pPr>
        <w:pStyle w:val="ListParagraph"/>
        <w:rPr>
          <w:color w:val="000000"/>
          <w:sz w:val="24"/>
          <w:szCs w:val="24"/>
        </w:rPr>
      </w:pPr>
    </w:p>
    <w:p w14:paraId="7F8BCCA1" w14:textId="77777777" w:rsidR="005C54F6" w:rsidRPr="005C54F6" w:rsidRDefault="005C54F6" w:rsidP="005C54F6">
      <w:pPr>
        <w:jc w:val="both"/>
        <w:rPr>
          <w:rFonts w:ascii="Times New Roman" w:hAnsi="Times New Roman"/>
          <w:b/>
          <w:color w:val="000000"/>
          <w:szCs w:val="24"/>
        </w:rPr>
      </w:pPr>
      <w:r w:rsidRPr="005C54F6">
        <w:rPr>
          <w:rFonts w:ascii="Times New Roman" w:hAnsi="Times New Roman"/>
          <w:b/>
          <w:color w:val="000000"/>
          <w:szCs w:val="24"/>
        </w:rPr>
        <w:t>Consultation</w:t>
      </w:r>
    </w:p>
    <w:p w14:paraId="3136477B" w14:textId="77777777" w:rsidR="005C54F6" w:rsidRPr="005C54F6" w:rsidRDefault="005C54F6" w:rsidP="005C54F6">
      <w:pPr>
        <w:jc w:val="both"/>
        <w:rPr>
          <w:rFonts w:ascii="Times New Roman" w:hAnsi="Times New Roman"/>
          <w:b/>
          <w:color w:val="000000"/>
          <w:szCs w:val="24"/>
        </w:rPr>
      </w:pPr>
    </w:p>
    <w:p w14:paraId="0A61116E" w14:textId="77777777" w:rsidR="005C54F6" w:rsidRPr="005C54F6" w:rsidRDefault="005C54F6" w:rsidP="005C54F6">
      <w:pPr>
        <w:pStyle w:val="ListParagraph"/>
        <w:numPr>
          <w:ilvl w:val="0"/>
          <w:numId w:val="7"/>
        </w:numPr>
        <w:spacing w:after="200"/>
        <w:ind w:left="0" w:firstLine="0"/>
        <w:contextualSpacing/>
        <w:jc w:val="both"/>
        <w:rPr>
          <w:sz w:val="24"/>
          <w:szCs w:val="24"/>
        </w:rPr>
      </w:pPr>
      <w:r w:rsidRPr="005C54F6">
        <w:rPr>
          <w:sz w:val="24"/>
          <w:szCs w:val="24"/>
        </w:rPr>
        <w:t xml:space="preserve">The Women’s strategy Programme consulted widely with stakeholders including NHS, Local Authority and voluntary Third Sector partners and there has also been consultation with SPS National Trade Union Partners. </w:t>
      </w:r>
    </w:p>
    <w:p w14:paraId="48E650F9" w14:textId="77777777" w:rsidR="005C54F6" w:rsidRPr="005C54F6" w:rsidRDefault="005C54F6" w:rsidP="005C54F6">
      <w:pPr>
        <w:jc w:val="both"/>
        <w:rPr>
          <w:rFonts w:ascii="Times New Roman" w:hAnsi="Times New Roman"/>
          <w:b/>
          <w:color w:val="000000"/>
          <w:szCs w:val="24"/>
        </w:rPr>
      </w:pPr>
      <w:r w:rsidRPr="005C54F6">
        <w:rPr>
          <w:rFonts w:ascii="Times New Roman" w:hAnsi="Times New Roman"/>
          <w:b/>
          <w:color w:val="000000"/>
          <w:szCs w:val="24"/>
        </w:rPr>
        <w:t>Impact Assessment</w:t>
      </w:r>
    </w:p>
    <w:p w14:paraId="46BD3A25" w14:textId="77777777" w:rsidR="005C54F6" w:rsidRPr="005C54F6" w:rsidRDefault="005C54F6" w:rsidP="005C54F6">
      <w:pPr>
        <w:jc w:val="both"/>
        <w:rPr>
          <w:rFonts w:ascii="Times New Roman" w:hAnsi="Times New Roman"/>
          <w:color w:val="000000"/>
          <w:szCs w:val="24"/>
        </w:rPr>
      </w:pPr>
    </w:p>
    <w:p w14:paraId="646C878A" w14:textId="77777777" w:rsidR="005C54F6" w:rsidRPr="005C54F6" w:rsidRDefault="005C54F6" w:rsidP="005C54F6">
      <w:pPr>
        <w:pStyle w:val="ListParagraph"/>
        <w:numPr>
          <w:ilvl w:val="0"/>
          <w:numId w:val="7"/>
        </w:numPr>
        <w:ind w:left="0" w:firstLine="0"/>
        <w:contextualSpacing/>
        <w:jc w:val="both"/>
        <w:rPr>
          <w:color w:val="000000"/>
          <w:sz w:val="24"/>
          <w:szCs w:val="24"/>
        </w:rPr>
      </w:pPr>
      <w:r w:rsidRPr="005C54F6">
        <w:rPr>
          <w:sz w:val="24"/>
          <w:szCs w:val="24"/>
        </w:rPr>
        <w:t xml:space="preserve">The replacement of HMP &amp; YOI </w:t>
      </w:r>
      <w:proofErr w:type="spellStart"/>
      <w:r w:rsidRPr="005C54F6">
        <w:rPr>
          <w:sz w:val="24"/>
          <w:szCs w:val="24"/>
        </w:rPr>
        <w:t>Cornton</w:t>
      </w:r>
      <w:proofErr w:type="spellEnd"/>
      <w:r w:rsidRPr="005C54F6">
        <w:rPr>
          <w:sz w:val="24"/>
          <w:szCs w:val="24"/>
        </w:rPr>
        <w:t xml:space="preserve"> Vale with HMP &amp; YOI Stirling is a component of the strategy for women in custody, which has been subject to an EHRIA. </w:t>
      </w:r>
    </w:p>
    <w:p w14:paraId="32989AC4" w14:textId="77777777" w:rsidR="005C54F6" w:rsidRPr="005C54F6" w:rsidRDefault="005C54F6" w:rsidP="005C54F6">
      <w:pPr>
        <w:jc w:val="both"/>
        <w:rPr>
          <w:rFonts w:ascii="Times New Roman" w:hAnsi="Times New Roman"/>
          <w:color w:val="000000"/>
          <w:szCs w:val="24"/>
        </w:rPr>
      </w:pPr>
    </w:p>
    <w:p w14:paraId="23761EAE" w14:textId="77777777" w:rsidR="005C54F6" w:rsidRPr="005C54F6" w:rsidRDefault="005C54F6" w:rsidP="005C54F6">
      <w:pPr>
        <w:ind w:left="426" w:hanging="426"/>
        <w:jc w:val="both"/>
        <w:rPr>
          <w:rFonts w:ascii="Times New Roman" w:hAnsi="Times New Roman"/>
          <w:b/>
          <w:color w:val="000000"/>
          <w:szCs w:val="24"/>
        </w:rPr>
      </w:pPr>
      <w:r w:rsidRPr="005C54F6">
        <w:rPr>
          <w:rFonts w:ascii="Times New Roman" w:hAnsi="Times New Roman"/>
          <w:b/>
          <w:color w:val="000000"/>
          <w:szCs w:val="24"/>
        </w:rPr>
        <w:t xml:space="preserve">Financial Effect  </w:t>
      </w:r>
    </w:p>
    <w:p w14:paraId="0583CC03" w14:textId="77777777" w:rsidR="005C54F6" w:rsidRPr="005C54F6" w:rsidRDefault="005C54F6" w:rsidP="005C54F6">
      <w:pPr>
        <w:ind w:left="426" w:hanging="426"/>
        <w:jc w:val="both"/>
        <w:rPr>
          <w:rFonts w:ascii="Times New Roman" w:hAnsi="Times New Roman"/>
          <w:b/>
          <w:color w:val="000000"/>
          <w:szCs w:val="24"/>
        </w:rPr>
      </w:pPr>
    </w:p>
    <w:p w14:paraId="288CCA78" w14:textId="77777777" w:rsidR="00054AC2" w:rsidRPr="00054AC2" w:rsidRDefault="005C54F6" w:rsidP="005C54F6">
      <w:pPr>
        <w:pStyle w:val="ListParagraph"/>
        <w:numPr>
          <w:ilvl w:val="0"/>
          <w:numId w:val="7"/>
        </w:numPr>
        <w:ind w:left="0" w:firstLine="0"/>
        <w:contextualSpacing/>
        <w:jc w:val="both"/>
        <w:rPr>
          <w:color w:val="000000"/>
          <w:sz w:val="24"/>
          <w:szCs w:val="24"/>
        </w:rPr>
      </w:pPr>
      <w:r w:rsidRPr="005C54F6">
        <w:rPr>
          <w:color w:val="000000"/>
          <w:sz w:val="24"/>
          <w:szCs w:val="24"/>
        </w:rPr>
        <w:t xml:space="preserve">The operational budget of HMP &amp; YOI </w:t>
      </w:r>
      <w:proofErr w:type="spellStart"/>
      <w:r w:rsidRPr="005C54F6">
        <w:rPr>
          <w:color w:val="000000"/>
          <w:sz w:val="24"/>
          <w:szCs w:val="24"/>
        </w:rPr>
        <w:t>Cornton</w:t>
      </w:r>
      <w:proofErr w:type="spellEnd"/>
      <w:r w:rsidRPr="005C54F6">
        <w:rPr>
          <w:color w:val="000000"/>
          <w:sz w:val="24"/>
          <w:szCs w:val="24"/>
        </w:rPr>
        <w:t xml:space="preserve"> Vale has been allocated to take account of the closure of the site in June 2023 and an Operational Budget has been allocated for HMP </w:t>
      </w:r>
      <w:r w:rsidRPr="00054AC2">
        <w:rPr>
          <w:color w:val="000000"/>
          <w:sz w:val="24"/>
          <w:szCs w:val="24"/>
        </w:rPr>
        <w:t>&amp; YOI Stirling for the latter part of the current financial year with provision made for a full operational budget for the next financial year.</w:t>
      </w:r>
    </w:p>
    <w:p w14:paraId="1BEC05EA" w14:textId="65E8A19C" w:rsidR="00027C27" w:rsidRPr="00054AC2" w:rsidRDefault="005C54F6" w:rsidP="005C54F6">
      <w:pPr>
        <w:pStyle w:val="ListParagraph"/>
        <w:numPr>
          <w:ilvl w:val="0"/>
          <w:numId w:val="7"/>
        </w:numPr>
        <w:ind w:left="0" w:firstLine="0"/>
        <w:contextualSpacing/>
        <w:jc w:val="both"/>
        <w:rPr>
          <w:color w:val="000000"/>
          <w:sz w:val="24"/>
          <w:szCs w:val="24"/>
        </w:rPr>
      </w:pPr>
      <w:r w:rsidRPr="00054AC2">
        <w:rPr>
          <w:color w:val="000000"/>
          <w:sz w:val="24"/>
          <w:szCs w:val="24"/>
        </w:rPr>
        <w:lastRenderedPageBreak/>
        <w:t>The Cabinet Secretary for Justice and Home Affairs confirms that no Business and Regulatory Impact Assessment is necessary, as the instrument has no financial effects on the Scottish Government, local government or on business.</w:t>
      </w:r>
    </w:p>
    <w:p w14:paraId="0655CDB0" w14:textId="09E45032" w:rsidR="005C54F6" w:rsidRDefault="005C54F6" w:rsidP="005C54F6">
      <w:pPr>
        <w:rPr>
          <w:rFonts w:ascii="Times New Roman" w:hAnsi="Times New Roman"/>
          <w:color w:val="000000"/>
          <w:szCs w:val="24"/>
        </w:rPr>
      </w:pPr>
    </w:p>
    <w:p w14:paraId="16E53C66" w14:textId="77777777" w:rsidR="005C54F6" w:rsidRDefault="005C54F6" w:rsidP="005C54F6">
      <w:pPr>
        <w:rPr>
          <w:rFonts w:ascii="Times New Roman" w:hAnsi="Times New Roman"/>
          <w:color w:val="000000"/>
          <w:szCs w:val="24"/>
        </w:rPr>
      </w:pPr>
    </w:p>
    <w:p w14:paraId="12E69A14" w14:textId="5F32A3E0" w:rsidR="005C54F6" w:rsidRDefault="005C54F6" w:rsidP="005C54F6">
      <w:pPr>
        <w:shd w:val="clear" w:color="auto" w:fill="FFFFFF"/>
        <w:tabs>
          <w:tab w:val="left" w:pos="720"/>
        </w:tabs>
        <w:textAlignment w:val="top"/>
        <w:rPr>
          <w:rFonts w:ascii="Times New Roman" w:hAnsi="Times New Roman"/>
          <w:szCs w:val="24"/>
          <w:lang w:eastAsia="en-GB"/>
        </w:rPr>
      </w:pPr>
      <w:r>
        <w:rPr>
          <w:rFonts w:ascii="Times New Roman" w:hAnsi="Times New Roman"/>
          <w:szCs w:val="24"/>
          <w:lang w:eastAsia="en-GB"/>
        </w:rPr>
        <w:t>Scottish Prison Service</w:t>
      </w:r>
    </w:p>
    <w:p w14:paraId="33B19F0C" w14:textId="77777777" w:rsidR="005C54F6" w:rsidRDefault="005C54F6" w:rsidP="005C54F6">
      <w:pPr>
        <w:shd w:val="clear" w:color="auto" w:fill="FFFFFF"/>
        <w:tabs>
          <w:tab w:val="left" w:pos="720"/>
        </w:tabs>
        <w:textAlignment w:val="top"/>
        <w:rPr>
          <w:rFonts w:ascii="Times New Roman" w:hAnsi="Times New Roman"/>
          <w:i/>
          <w:szCs w:val="24"/>
          <w:lang w:eastAsia="en-GB"/>
        </w:rPr>
      </w:pPr>
    </w:p>
    <w:p w14:paraId="0B951C23" w14:textId="265F3999" w:rsidR="005C54F6" w:rsidRPr="005C54F6" w:rsidRDefault="005C54F6" w:rsidP="005C54F6">
      <w:pPr>
        <w:rPr>
          <w:rFonts w:ascii="Times New Roman" w:hAnsi="Times New Roman"/>
        </w:rPr>
      </w:pPr>
      <w:r>
        <w:rPr>
          <w:rFonts w:ascii="Times New Roman" w:hAnsi="Times New Roman"/>
          <w:i/>
          <w:szCs w:val="24"/>
          <w:lang w:eastAsia="en-GB"/>
        </w:rPr>
        <w:t>April 2023</w:t>
      </w:r>
    </w:p>
    <w:sectPr w:rsidR="005C54F6" w:rsidRPr="005C54F6" w:rsidSect="00B561C0">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2" w15:restartNumberingAfterBreak="0">
    <w:nsid w:val="7D130443"/>
    <w:multiLevelType w:val="hybridMultilevel"/>
    <w:tmpl w:val="7416F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3281329">
    <w:abstractNumId w:val="1"/>
  </w:num>
  <w:num w:numId="2" w16cid:durableId="259874731">
    <w:abstractNumId w:val="0"/>
  </w:num>
  <w:num w:numId="3" w16cid:durableId="446509277">
    <w:abstractNumId w:val="0"/>
  </w:num>
  <w:num w:numId="4" w16cid:durableId="1837455862">
    <w:abstractNumId w:val="0"/>
  </w:num>
  <w:num w:numId="5" w16cid:durableId="857235874">
    <w:abstractNumId w:val="1"/>
  </w:num>
  <w:num w:numId="6" w16cid:durableId="699285438">
    <w:abstractNumId w:val="0"/>
  </w:num>
  <w:num w:numId="7" w16cid:durableId="274679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inkAnnotation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F6"/>
    <w:rsid w:val="00027C27"/>
    <w:rsid w:val="00054AC2"/>
    <w:rsid w:val="000C0CF4"/>
    <w:rsid w:val="00281579"/>
    <w:rsid w:val="00306C61"/>
    <w:rsid w:val="0037582B"/>
    <w:rsid w:val="005C54F6"/>
    <w:rsid w:val="00635B7D"/>
    <w:rsid w:val="00857548"/>
    <w:rsid w:val="009B7615"/>
    <w:rsid w:val="00B51BDC"/>
    <w:rsid w:val="00B561C0"/>
    <w:rsid w:val="00B773CE"/>
    <w:rsid w:val="00C91823"/>
    <w:rsid w:val="00D008AB"/>
    <w:rsid w:val="00FA4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414E"/>
  <w15:chartTrackingRefBased/>
  <w15:docId w15:val="{1BA137E9-D95F-4E61-B2BE-78D5C1DA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paragraph" w:styleId="ListParagraph">
    <w:name w:val="List Paragraph"/>
    <w:basedOn w:val="Normal"/>
    <w:uiPriority w:val="34"/>
    <w:qFormat/>
    <w:rsid w:val="005C54F6"/>
    <w:pPr>
      <w:ind w:left="72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99953">
      <w:bodyDiv w:val="1"/>
      <w:marLeft w:val="0"/>
      <w:marRight w:val="0"/>
      <w:marTop w:val="0"/>
      <w:marBottom w:val="0"/>
      <w:divBdr>
        <w:top w:val="none" w:sz="0" w:space="0" w:color="auto"/>
        <w:left w:val="none" w:sz="0" w:space="0" w:color="auto"/>
        <w:bottom w:val="none" w:sz="0" w:space="0" w:color="auto"/>
        <w:right w:val="none" w:sz="0" w:space="0" w:color="auto"/>
      </w:divBdr>
    </w:div>
    <w:div w:id="184296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371</Words>
  <Characters>2121</Characters>
  <Application>Microsoft Office Word</Application>
  <DocSecurity>0</DocSecurity>
  <Lines>17</Lines>
  <Paragraphs>4</Paragraphs>
  <ScaleCrop>false</ScaleCrop>
  <Company>Scottish Government</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Hendrie</dc:creator>
  <cp:keywords/>
  <dc:description/>
  <cp:lastModifiedBy>Marks, John</cp:lastModifiedBy>
  <cp:revision>2</cp:revision>
  <dcterms:created xsi:type="dcterms:W3CDTF">2023-04-26T10:20:00Z</dcterms:created>
  <dcterms:modified xsi:type="dcterms:W3CDTF">2023-04-26T10:20:00Z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c22e59-6e76-40e7-9277-37c464fc6354_Enabled">
    <vt:lpwstr>true</vt:lpwstr>
  </property>
  <property fmtid="{D5CDD505-2E9C-101B-9397-08002B2CF9AE}" pid="3" name="MSIP_Label_61c22e59-6e76-40e7-9277-37c464fc6354_SetDate">
    <vt:lpwstr>2023-04-26T10:17:16Z</vt:lpwstr>
  </property>
  <property fmtid="{D5CDD505-2E9C-101B-9397-08002B2CF9AE}" pid="4" name="MSIP_Label_61c22e59-6e76-40e7-9277-37c464fc6354_Method">
    <vt:lpwstr>Privileged</vt:lpwstr>
  </property>
  <property fmtid="{D5CDD505-2E9C-101B-9397-08002B2CF9AE}" pid="5" name="MSIP_Label_61c22e59-6e76-40e7-9277-37c464fc6354_Name">
    <vt:lpwstr>OFFICIAL</vt:lpwstr>
  </property>
  <property fmtid="{D5CDD505-2E9C-101B-9397-08002B2CF9AE}" pid="6" name="MSIP_Label_61c22e59-6e76-40e7-9277-37c464fc6354_SiteId">
    <vt:lpwstr>f99512c1-fd9f-4475-9896-9a0b3cdc50ec</vt:lpwstr>
  </property>
  <property fmtid="{D5CDD505-2E9C-101B-9397-08002B2CF9AE}" pid="7" name="MSIP_Label_61c22e59-6e76-40e7-9277-37c464fc6354_ActionId">
    <vt:lpwstr>2e92fb13-ab42-4a9d-9a30-42d0448796ea</vt:lpwstr>
  </property>
  <property fmtid="{D5CDD505-2E9C-101B-9397-08002B2CF9AE}" pid="8" name="MSIP_Label_61c22e59-6e76-40e7-9277-37c464fc6354_ContentBits">
    <vt:lpwstr>0</vt:lpwstr>
  </property>
</Properties>
</file>