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197" w:type="dxa"/>
        <w:tblInd w:w="-137" w:type="dxa"/>
        <w:tblBorders>
          <w:top w:val="single" w:sz="4" w:space="0" w:color="auto"/>
          <w:left w:val="single" w:sz="4" w:space="0" w:color="auto"/>
          <w:bottom w:val="single" w:sz="4" w:space="0" w:color="auto"/>
          <w:right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961"/>
        <w:gridCol w:w="2240"/>
        <w:gridCol w:w="1978"/>
        <w:gridCol w:w="823"/>
        <w:gridCol w:w="3195"/>
      </w:tblGrid>
      <w:tr w:rsidR="00B50649" w:rsidRPr="001A69F6" w14:paraId="21A66AB4" w14:textId="77777777" w:rsidTr="00667252">
        <w:trPr>
          <w:trHeight w:hRule="exact" w:val="2420"/>
        </w:trPr>
        <w:tc>
          <w:tcPr>
            <w:tcW w:w="6179" w:type="dxa"/>
            <w:gridSpan w:val="3"/>
            <w:tcBorders>
              <w:top w:val="single" w:sz="4" w:space="0" w:color="auto"/>
              <w:bottom w:val="single" w:sz="4" w:space="0" w:color="auto"/>
            </w:tcBorders>
          </w:tcPr>
          <w:p w14:paraId="2A9EB2B7" w14:textId="4D14EABF" w:rsidR="007F0ED9" w:rsidRPr="001A69F6" w:rsidRDefault="00495404" w:rsidP="00A90857">
            <w:pPr>
              <w:pStyle w:val="IATitle"/>
            </w:pPr>
            <w:bookmarkStart w:id="0" w:name="_Hlk109740517"/>
            <w:bookmarkEnd w:id="0"/>
            <w:r w:rsidRPr="001A69F6">
              <w:rPr>
                <w:b/>
              </w:rPr>
              <w:t>Title</w:t>
            </w:r>
            <w:r w:rsidR="00B00194" w:rsidRPr="001A69F6">
              <w:rPr>
                <w:b/>
              </w:rPr>
              <w:t>:</w:t>
            </w:r>
            <w:r w:rsidR="00B00194" w:rsidRPr="001A69F6">
              <w:t xml:space="preserve"> </w:t>
            </w:r>
            <w:r w:rsidR="00076042" w:rsidRPr="001A69F6">
              <w:t>Pregnancy and maternity discrimination: extending redundancy protection for women and new parents</w:t>
            </w:r>
            <w:r w:rsidR="00B00194" w:rsidRPr="001A69F6">
              <w:t xml:space="preserve">   </w:t>
            </w:r>
            <w:bookmarkStart w:id="1" w:name="IATitle"/>
            <w:r w:rsidR="004C1BBB" w:rsidRPr="001A69F6">
              <w:fldChar w:fldCharType="begin">
                <w:ffData>
                  <w:name w:val="IATitle"/>
                  <w:enabled/>
                  <w:calcOnExit w:val="0"/>
                  <w:textInput>
                    <w:maxLength w:val="800"/>
                  </w:textInput>
                </w:ffData>
              </w:fldChar>
            </w:r>
            <w:r w:rsidR="004C1BBB" w:rsidRPr="001A69F6">
              <w:instrText xml:space="preserve"> FORMTEXT </w:instrText>
            </w:r>
            <w:r w:rsidR="004C1BBB" w:rsidRPr="001A69F6">
              <w:fldChar w:fldCharType="separate"/>
            </w:r>
            <w:r w:rsidR="004C1BBB" w:rsidRPr="001A69F6">
              <w:rPr>
                <w:rFonts w:eastAsia="Times New Roman"/>
              </w:rPr>
              <w:t> </w:t>
            </w:r>
            <w:r w:rsidR="004C1BBB" w:rsidRPr="001A69F6">
              <w:rPr>
                <w:rFonts w:eastAsia="Times New Roman"/>
              </w:rPr>
              <w:t> </w:t>
            </w:r>
            <w:r w:rsidR="004C1BBB" w:rsidRPr="001A69F6">
              <w:rPr>
                <w:rFonts w:eastAsia="Times New Roman"/>
              </w:rPr>
              <w:t> </w:t>
            </w:r>
            <w:r w:rsidR="004C1BBB" w:rsidRPr="001A69F6">
              <w:rPr>
                <w:rFonts w:eastAsia="Times New Roman"/>
              </w:rPr>
              <w:t> </w:t>
            </w:r>
            <w:r w:rsidR="004C1BBB" w:rsidRPr="001A69F6">
              <w:rPr>
                <w:rFonts w:eastAsia="Times New Roman"/>
              </w:rPr>
              <w:t> </w:t>
            </w:r>
            <w:r w:rsidR="004C1BBB" w:rsidRPr="001A69F6">
              <w:fldChar w:fldCharType="end"/>
            </w:r>
            <w:bookmarkEnd w:id="1"/>
          </w:p>
          <w:p w14:paraId="253AF0C5" w14:textId="7C13B4CD" w:rsidR="00E14792" w:rsidRPr="001A69F6" w:rsidRDefault="00D50283" w:rsidP="00B00194">
            <w:pPr>
              <w:pStyle w:val="IAHeadTitle"/>
              <w:ind w:left="113"/>
              <w:rPr>
                <w:rStyle w:val="IANoChar"/>
                <w:b/>
                <w:color w:val="auto"/>
                <w:sz w:val="20"/>
                <w:szCs w:val="20"/>
                <w:lang w:eastAsia="zh-CN"/>
              </w:rPr>
            </w:pPr>
            <w:r w:rsidRPr="001A69F6">
              <w:rPr>
                <w:sz w:val="20"/>
                <w:szCs w:val="20"/>
              </w:rPr>
              <w:t>IA No:</w:t>
            </w:r>
            <w:r w:rsidR="00B00194" w:rsidRPr="001A69F6">
              <w:rPr>
                <w:sz w:val="20"/>
                <w:szCs w:val="20"/>
              </w:rPr>
              <w:t xml:space="preserve"> </w:t>
            </w:r>
            <w:r w:rsidRPr="001A69F6">
              <w:rPr>
                <w:sz w:val="20"/>
                <w:szCs w:val="20"/>
              </w:rPr>
              <w:t xml:space="preserve"> </w:t>
            </w:r>
            <w:r w:rsidR="003019C5" w:rsidRPr="001A69F6">
              <w:rPr>
                <w:rStyle w:val="IANoChar"/>
                <w:rFonts w:cs="Arial"/>
                <w:sz w:val="20"/>
                <w:szCs w:val="20"/>
              </w:rPr>
              <w:t>BEIS054(F)-22-LM</w:t>
            </w:r>
          </w:p>
          <w:p w14:paraId="61338AAF" w14:textId="56234945" w:rsidR="008C3539" w:rsidRPr="001A69F6" w:rsidRDefault="008C3539" w:rsidP="008C3539">
            <w:pPr>
              <w:pStyle w:val="IAHeadLabel"/>
              <w:ind w:left="113"/>
            </w:pPr>
            <w:r w:rsidRPr="001A69F6">
              <w:t xml:space="preserve">RPC Reference No: </w:t>
            </w:r>
            <w:r w:rsidR="00076042" w:rsidRPr="001A69F6">
              <w:rPr>
                <w:b w:val="0"/>
                <w:color w:val="auto"/>
              </w:rPr>
              <w:fldChar w:fldCharType="begin">
                <w:ffData>
                  <w:name w:val="IARPCReference"/>
                  <w:enabled/>
                  <w:calcOnExit w:val="0"/>
                  <w:textInput/>
                </w:ffData>
              </w:fldChar>
            </w:r>
            <w:r w:rsidR="00076042" w:rsidRPr="001A69F6">
              <w:rPr>
                <w:b w:val="0"/>
                <w:color w:val="auto"/>
              </w:rPr>
              <w:instrText xml:space="preserve"> FORMTEXT </w:instrText>
            </w:r>
            <w:r w:rsidR="00076042" w:rsidRPr="001A69F6">
              <w:rPr>
                <w:b w:val="0"/>
                <w:color w:val="auto"/>
              </w:rPr>
            </w:r>
            <w:r w:rsidR="00076042" w:rsidRPr="001A69F6">
              <w:rPr>
                <w:b w:val="0"/>
                <w:color w:val="auto"/>
              </w:rPr>
              <w:fldChar w:fldCharType="separate"/>
            </w:r>
            <w:r w:rsidR="00076042" w:rsidRPr="001A69F6">
              <w:rPr>
                <w:b w:val="0"/>
                <w:color w:val="auto"/>
                <w:lang w:eastAsia="zh-TW"/>
              </w:rPr>
              <w:t>RPC-4334(1)-BEIS</w:t>
            </w:r>
            <w:r w:rsidR="00076042" w:rsidRPr="001A69F6">
              <w:rPr>
                <w:b w:val="0"/>
                <w:noProof/>
                <w:color w:val="auto"/>
              </w:rPr>
              <w:t> </w:t>
            </w:r>
            <w:r w:rsidR="00076042" w:rsidRPr="001A69F6">
              <w:rPr>
                <w:b w:val="0"/>
                <w:noProof/>
                <w:color w:val="auto"/>
              </w:rPr>
              <w:t> </w:t>
            </w:r>
            <w:r w:rsidR="00076042" w:rsidRPr="001A69F6">
              <w:rPr>
                <w:b w:val="0"/>
                <w:noProof/>
                <w:color w:val="auto"/>
              </w:rPr>
              <w:t> </w:t>
            </w:r>
            <w:r w:rsidR="00076042" w:rsidRPr="001A69F6">
              <w:rPr>
                <w:b w:val="0"/>
                <w:noProof/>
                <w:color w:val="auto"/>
              </w:rPr>
              <w:t> </w:t>
            </w:r>
            <w:r w:rsidR="00076042" w:rsidRPr="001A69F6">
              <w:rPr>
                <w:b w:val="0"/>
                <w:color w:val="auto"/>
              </w:rPr>
              <w:fldChar w:fldCharType="end"/>
            </w:r>
            <w:r w:rsidRPr="001A69F6">
              <w:t xml:space="preserve">  </w:t>
            </w:r>
            <w:bookmarkStart w:id="2" w:name="IARPCReference"/>
            <w:r w:rsidR="00C60191" w:rsidRPr="001A69F6">
              <w:fldChar w:fldCharType="begin">
                <w:ffData>
                  <w:name w:val="IARPCReference"/>
                  <w:enabled/>
                  <w:calcOnExit w:val="0"/>
                  <w:textInput/>
                </w:ffData>
              </w:fldChar>
            </w:r>
            <w:r w:rsidR="00C60191" w:rsidRPr="001A69F6">
              <w:instrText xml:space="preserve"> FORMTEXT </w:instrText>
            </w:r>
            <w:r w:rsidR="00C60191" w:rsidRPr="001A69F6">
              <w:fldChar w:fldCharType="separate"/>
            </w:r>
            <w:r w:rsidR="00C60191" w:rsidRPr="001A69F6">
              <w:rPr>
                <w:noProof/>
              </w:rPr>
              <w:t> </w:t>
            </w:r>
            <w:r w:rsidR="00C60191" w:rsidRPr="001A69F6">
              <w:rPr>
                <w:noProof/>
              </w:rPr>
              <w:t> </w:t>
            </w:r>
            <w:r w:rsidR="00C60191" w:rsidRPr="001A69F6">
              <w:rPr>
                <w:noProof/>
              </w:rPr>
              <w:t> </w:t>
            </w:r>
            <w:r w:rsidR="00C60191" w:rsidRPr="001A69F6">
              <w:rPr>
                <w:noProof/>
              </w:rPr>
              <w:t> </w:t>
            </w:r>
            <w:r w:rsidR="00C60191" w:rsidRPr="001A69F6">
              <w:rPr>
                <w:noProof/>
              </w:rPr>
              <w:t> </w:t>
            </w:r>
            <w:r w:rsidR="00C60191" w:rsidRPr="001A69F6">
              <w:fldChar w:fldCharType="end"/>
            </w:r>
            <w:bookmarkEnd w:id="2"/>
          </w:p>
          <w:p w14:paraId="115C429B" w14:textId="3C2B9C5E" w:rsidR="001D5EC9" w:rsidRPr="001A69F6" w:rsidRDefault="00495404" w:rsidP="00A90857">
            <w:pPr>
              <w:pStyle w:val="IALeadDept"/>
            </w:pPr>
            <w:r w:rsidRPr="001A69F6">
              <w:rPr>
                <w:b/>
              </w:rPr>
              <w:t>Lead department or agency:</w:t>
            </w:r>
            <w:r w:rsidR="00B00194" w:rsidRPr="001A69F6">
              <w:t xml:space="preserve"> </w:t>
            </w:r>
            <w:r w:rsidR="00076042" w:rsidRPr="001A69F6">
              <w:t>Department for Business, Energy and Industrial Strategy</w:t>
            </w:r>
            <w:r w:rsidR="00076042" w:rsidRPr="001A69F6">
              <w:t> </w:t>
            </w:r>
            <w:r w:rsidR="00076042" w:rsidRPr="001A69F6">
              <w:t xml:space="preserve">     </w:t>
            </w:r>
            <w:r w:rsidR="00076042" w:rsidRPr="001A69F6">
              <w:fldChar w:fldCharType="begin">
                <w:ffData>
                  <w:name w:val="IALeadDept"/>
                  <w:enabled/>
                  <w:calcOnExit w:val="0"/>
                  <w:textInput>
                    <w:maxLength w:val="100"/>
                  </w:textInput>
                </w:ffData>
              </w:fldChar>
            </w:r>
            <w:r w:rsidR="00076042" w:rsidRPr="001A69F6">
              <w:instrText xml:space="preserve"> FORMTEXT </w:instrText>
            </w:r>
            <w:r w:rsidR="00076042" w:rsidRPr="001A69F6">
              <w:fldChar w:fldCharType="separate"/>
            </w:r>
            <w:r w:rsidR="00076042" w:rsidRPr="001A69F6">
              <w:t xml:space="preserve">   </w:t>
            </w:r>
            <w:r w:rsidR="00076042" w:rsidRPr="001A69F6">
              <w:t> </w:t>
            </w:r>
            <w:r w:rsidR="00076042" w:rsidRPr="001A69F6">
              <w:t> </w:t>
            </w:r>
            <w:r w:rsidR="00076042" w:rsidRPr="001A69F6">
              <w:t> </w:t>
            </w:r>
            <w:r w:rsidR="00076042" w:rsidRPr="001A69F6">
              <w:fldChar w:fldCharType="end"/>
            </w:r>
            <w:r w:rsidR="00B00194" w:rsidRPr="001A69F6">
              <w:t xml:space="preserve">    </w:t>
            </w:r>
            <w:bookmarkStart w:id="3" w:name="IALeadDept"/>
            <w:r w:rsidR="00290335" w:rsidRPr="001A69F6">
              <w:fldChar w:fldCharType="begin">
                <w:ffData>
                  <w:name w:val="IALeadDept"/>
                  <w:enabled/>
                  <w:calcOnExit w:val="0"/>
                  <w:textInput>
                    <w:maxLength w:val="100"/>
                  </w:textInput>
                </w:ffData>
              </w:fldChar>
            </w:r>
            <w:r w:rsidR="00290335" w:rsidRPr="001A69F6">
              <w:instrText xml:space="preserve"> FORMTEXT </w:instrText>
            </w:r>
            <w:r w:rsidR="00290335" w:rsidRPr="001A69F6">
              <w:fldChar w:fldCharType="separate"/>
            </w:r>
            <w:r w:rsidR="00290335" w:rsidRPr="001A69F6">
              <w:t> </w:t>
            </w:r>
            <w:r w:rsidR="00B00194" w:rsidRPr="001A69F6">
              <w:t xml:space="preserve">   </w:t>
            </w:r>
            <w:r w:rsidR="00290335" w:rsidRPr="001A69F6">
              <w:t> </w:t>
            </w:r>
            <w:r w:rsidR="00290335" w:rsidRPr="001A69F6">
              <w:t> </w:t>
            </w:r>
            <w:r w:rsidR="00290335" w:rsidRPr="001A69F6">
              <w:t> </w:t>
            </w:r>
            <w:r w:rsidR="00290335" w:rsidRPr="001A69F6">
              <w:fldChar w:fldCharType="end"/>
            </w:r>
            <w:bookmarkEnd w:id="3"/>
          </w:p>
          <w:p w14:paraId="1B73DE6C" w14:textId="34DCA8FD" w:rsidR="00B93466" w:rsidRPr="001A69F6" w:rsidRDefault="00495404" w:rsidP="00B00194">
            <w:pPr>
              <w:pStyle w:val="IATableLabel"/>
              <w:spacing w:after="0"/>
            </w:pPr>
            <w:r w:rsidRPr="001A69F6">
              <w:t>Other departments or agencies:</w:t>
            </w:r>
            <w:r w:rsidR="00076042" w:rsidRPr="001A69F6">
              <w:t xml:space="preserve"> </w:t>
            </w:r>
            <w:r w:rsidR="00076042" w:rsidRPr="001A69F6">
              <w:rPr>
                <w:b w:val="0"/>
                <w:bCs/>
              </w:rPr>
              <w:t>N/A</w:t>
            </w:r>
            <w:r w:rsidR="00B00194" w:rsidRPr="001A69F6">
              <w:t xml:space="preserve"> </w:t>
            </w:r>
            <w:r w:rsidR="00DF2F4B" w:rsidRPr="001A69F6">
              <w:t xml:space="preserve"> </w:t>
            </w:r>
            <w:bookmarkStart w:id="4" w:name="IAOtherDepts"/>
            <w:r w:rsidR="000239A7" w:rsidRPr="001A69F6">
              <w:fldChar w:fldCharType="begin">
                <w:ffData>
                  <w:name w:val="IAOtherDepts"/>
                  <w:enabled/>
                  <w:calcOnExit w:val="0"/>
                  <w:textInput>
                    <w:maxLength w:val="200"/>
                  </w:textInput>
                </w:ffData>
              </w:fldChar>
            </w:r>
            <w:r w:rsidR="000239A7" w:rsidRPr="001A69F6">
              <w:instrText xml:space="preserve"> FORMTEXT </w:instrText>
            </w:r>
            <w:r w:rsidR="000239A7" w:rsidRPr="001A69F6">
              <w:fldChar w:fldCharType="separate"/>
            </w:r>
            <w:r w:rsidR="000239A7" w:rsidRPr="001A69F6">
              <w:rPr>
                <w:noProof/>
              </w:rPr>
              <w:t> </w:t>
            </w:r>
            <w:r w:rsidR="000239A7" w:rsidRPr="001A69F6">
              <w:rPr>
                <w:noProof/>
              </w:rPr>
              <w:t> </w:t>
            </w:r>
            <w:r w:rsidR="000239A7" w:rsidRPr="001A69F6">
              <w:rPr>
                <w:noProof/>
              </w:rPr>
              <w:t> </w:t>
            </w:r>
            <w:r w:rsidR="000239A7" w:rsidRPr="001A69F6">
              <w:rPr>
                <w:noProof/>
              </w:rPr>
              <w:t> </w:t>
            </w:r>
            <w:r w:rsidR="000239A7" w:rsidRPr="001A69F6">
              <w:rPr>
                <w:noProof/>
              </w:rPr>
              <w:t> </w:t>
            </w:r>
            <w:r w:rsidR="000239A7" w:rsidRPr="001A69F6">
              <w:fldChar w:fldCharType="end"/>
            </w:r>
            <w:bookmarkEnd w:id="4"/>
          </w:p>
        </w:tc>
        <w:tc>
          <w:tcPr>
            <w:tcW w:w="4018" w:type="dxa"/>
            <w:gridSpan w:val="2"/>
            <w:tcBorders>
              <w:top w:val="single" w:sz="4" w:space="0" w:color="auto"/>
              <w:bottom w:val="single" w:sz="4" w:space="0" w:color="auto"/>
            </w:tcBorders>
          </w:tcPr>
          <w:tbl>
            <w:tblPr>
              <w:tblW w:w="4088" w:type="dxa"/>
              <w:tblInd w:w="5" w:type="dxa"/>
              <w:tblBorders>
                <w:insideH w:val="single" w:sz="4" w:space="0" w:color="333333"/>
                <w:insideV w:val="single" w:sz="4" w:space="0" w:color="333333"/>
              </w:tblBorders>
              <w:tblLayout w:type="fixed"/>
              <w:tblCellMar>
                <w:left w:w="0" w:type="dxa"/>
                <w:right w:w="0" w:type="dxa"/>
              </w:tblCellMar>
              <w:tblLook w:val="01E0" w:firstRow="1" w:lastRow="1" w:firstColumn="1" w:lastColumn="1" w:noHBand="0" w:noVBand="0"/>
            </w:tblPr>
            <w:tblGrid>
              <w:gridCol w:w="4088"/>
            </w:tblGrid>
            <w:tr w:rsidR="00B50649" w:rsidRPr="001A69F6" w14:paraId="798A3A5B" w14:textId="77777777" w:rsidTr="007E190E">
              <w:trPr>
                <w:trHeight w:hRule="exact" w:val="539"/>
              </w:trPr>
              <w:tc>
                <w:tcPr>
                  <w:tcW w:w="4088" w:type="dxa"/>
                  <w:tcBorders>
                    <w:bottom w:val="single" w:sz="4" w:space="0" w:color="333333"/>
                  </w:tcBorders>
                  <w:shd w:val="clear" w:color="auto" w:fill="333333"/>
                  <w:vAlign w:val="center"/>
                </w:tcPr>
                <w:p w14:paraId="47288BDB" w14:textId="77777777" w:rsidR="00B50649" w:rsidRPr="001A69F6" w:rsidRDefault="00B50649" w:rsidP="00E90731">
                  <w:pPr>
                    <w:pStyle w:val="Title"/>
                  </w:pPr>
                  <w:r w:rsidRPr="001A69F6">
                    <w:t>Impact Assessment (IA)</w:t>
                  </w:r>
                </w:p>
              </w:tc>
            </w:tr>
            <w:tr w:rsidR="00B50649" w:rsidRPr="001A69F6" w14:paraId="254D3FBF" w14:textId="77777777" w:rsidTr="007E190E">
              <w:tc>
                <w:tcPr>
                  <w:tcW w:w="4088" w:type="dxa"/>
                  <w:tcBorders>
                    <w:top w:val="single" w:sz="4" w:space="0" w:color="333333"/>
                    <w:bottom w:val="single" w:sz="4" w:space="0" w:color="333333"/>
                  </w:tcBorders>
                </w:tcPr>
                <w:p w14:paraId="46EDA12E" w14:textId="1351B173" w:rsidR="001F69E9" w:rsidRPr="001A69F6" w:rsidRDefault="00B50649" w:rsidP="00C46EA7">
                  <w:pPr>
                    <w:pStyle w:val="IATableLabel"/>
                  </w:pPr>
                  <w:r w:rsidRPr="001A69F6">
                    <w:t>Dat</w:t>
                  </w:r>
                  <w:r w:rsidR="00B0222E" w:rsidRPr="001A69F6">
                    <w:t xml:space="preserve">e: </w:t>
                  </w:r>
                  <w:r w:rsidR="00137E31" w:rsidRPr="001A69F6">
                    <w:t>Aug</w:t>
                  </w:r>
                  <w:r w:rsidR="00872CCD" w:rsidRPr="001A69F6">
                    <w:t xml:space="preserve"> </w:t>
                  </w:r>
                  <w:r w:rsidR="002E08C9" w:rsidRPr="001A69F6">
                    <w:t>202</w:t>
                  </w:r>
                  <w:r w:rsidR="00B90A36" w:rsidRPr="001A69F6">
                    <w:t>2</w:t>
                  </w:r>
                </w:p>
              </w:tc>
            </w:tr>
            <w:tr w:rsidR="00B50649" w:rsidRPr="001A69F6" w14:paraId="73099175" w14:textId="77777777" w:rsidTr="007E190E">
              <w:tc>
                <w:tcPr>
                  <w:tcW w:w="4088" w:type="dxa"/>
                  <w:tcBorders>
                    <w:top w:val="single" w:sz="4" w:space="0" w:color="333333"/>
                    <w:bottom w:val="single" w:sz="4" w:space="0" w:color="333333"/>
                  </w:tcBorders>
                </w:tcPr>
                <w:p w14:paraId="1F935AA8" w14:textId="2787C8FA" w:rsidR="00B50649" w:rsidRPr="001A69F6" w:rsidRDefault="00941D69" w:rsidP="00E90731">
                  <w:pPr>
                    <w:pStyle w:val="IATableLabel"/>
                  </w:pPr>
                  <w:bookmarkStart w:id="5" w:name="Stage"/>
                  <w:r w:rsidRPr="001A69F6">
                    <w:t>Stage:</w:t>
                  </w:r>
                  <w:bookmarkEnd w:id="5"/>
                  <w:r w:rsidR="002E58B0" w:rsidRPr="001A69F6">
                    <w:t xml:space="preserve"> </w:t>
                  </w:r>
                  <w:r w:rsidR="002E58B0" w:rsidRPr="001A69F6">
                    <w:rPr>
                      <w:rStyle w:val="IAStageChar"/>
                      <w:sz w:val="20"/>
                    </w:rPr>
                    <w:t>Final</w:t>
                  </w:r>
                </w:p>
              </w:tc>
            </w:tr>
            <w:tr w:rsidR="00B50649" w:rsidRPr="001A69F6" w14:paraId="0AA6C47A" w14:textId="77777777" w:rsidTr="007E190E">
              <w:tc>
                <w:tcPr>
                  <w:tcW w:w="4088" w:type="dxa"/>
                  <w:tcBorders>
                    <w:top w:val="single" w:sz="4" w:space="0" w:color="333333"/>
                    <w:bottom w:val="single" w:sz="4" w:space="0" w:color="333333"/>
                  </w:tcBorders>
                </w:tcPr>
                <w:p w14:paraId="511E18B5" w14:textId="77777777" w:rsidR="00B50649" w:rsidRPr="001A69F6" w:rsidRDefault="0071686F" w:rsidP="00E90731">
                  <w:pPr>
                    <w:pStyle w:val="IATableLabel"/>
                  </w:pPr>
                  <w:r w:rsidRPr="001A69F6">
                    <w:t xml:space="preserve">Source </w:t>
                  </w:r>
                  <w:r w:rsidR="006A56C1" w:rsidRPr="001A69F6">
                    <w:t xml:space="preserve">of </w:t>
                  </w:r>
                  <w:r w:rsidRPr="001A69F6">
                    <w:t>intervention:</w:t>
                  </w:r>
                  <w:r w:rsidR="00B50649" w:rsidRPr="001A69F6">
                    <w:t xml:space="preserve"> </w:t>
                  </w:r>
                  <w:bookmarkStart w:id="6" w:name="IAInterSource"/>
                  <w:r w:rsidR="00290335" w:rsidRPr="001A69F6">
                    <w:rPr>
                      <w:rStyle w:val="IASOIChar"/>
                      <w:sz w:val="20"/>
                    </w:rPr>
                    <w:fldChar w:fldCharType="begin">
                      <w:ffData>
                        <w:name w:val="IAInterSource"/>
                        <w:enabled/>
                        <w:calcOnExit w:val="0"/>
                        <w:ddList>
                          <w:listEntry w:val="Domestic"/>
                          <w:listEntry w:val="EU"/>
                          <w:listEntry w:val="International"/>
                        </w:ddList>
                      </w:ffData>
                    </w:fldChar>
                  </w:r>
                  <w:r w:rsidR="00290335" w:rsidRPr="001A69F6">
                    <w:rPr>
                      <w:rStyle w:val="IASOIChar"/>
                      <w:sz w:val="20"/>
                    </w:rPr>
                    <w:instrText xml:space="preserve"> FORMDROPDOWN </w:instrText>
                  </w:r>
                  <w:r w:rsidR="006905F3">
                    <w:rPr>
                      <w:rStyle w:val="IASOIChar"/>
                      <w:sz w:val="20"/>
                    </w:rPr>
                  </w:r>
                  <w:r w:rsidR="006905F3">
                    <w:rPr>
                      <w:rStyle w:val="IASOIChar"/>
                      <w:sz w:val="20"/>
                    </w:rPr>
                    <w:fldChar w:fldCharType="separate"/>
                  </w:r>
                  <w:r w:rsidR="00290335" w:rsidRPr="001A69F6">
                    <w:rPr>
                      <w:rStyle w:val="IASOIChar"/>
                      <w:sz w:val="20"/>
                    </w:rPr>
                    <w:fldChar w:fldCharType="end"/>
                  </w:r>
                  <w:bookmarkEnd w:id="6"/>
                </w:p>
              </w:tc>
            </w:tr>
            <w:tr w:rsidR="00052F44" w:rsidRPr="001A69F6" w14:paraId="498B71AA" w14:textId="77777777" w:rsidTr="007E190E">
              <w:tc>
                <w:tcPr>
                  <w:tcW w:w="4088" w:type="dxa"/>
                  <w:tcBorders>
                    <w:top w:val="single" w:sz="4" w:space="0" w:color="333333"/>
                    <w:bottom w:val="single" w:sz="4" w:space="0" w:color="333333"/>
                  </w:tcBorders>
                </w:tcPr>
                <w:p w14:paraId="3ACC454D" w14:textId="2C660BFD" w:rsidR="00052F44" w:rsidRPr="001A69F6" w:rsidRDefault="00052F44" w:rsidP="00E90731">
                  <w:pPr>
                    <w:pStyle w:val="IATableLabel"/>
                    <w:rPr>
                      <w:b w:val="0"/>
                    </w:rPr>
                  </w:pPr>
                  <w:r w:rsidRPr="001A69F6">
                    <w:t xml:space="preserve">Type of measure: </w:t>
                  </w:r>
                  <w:r w:rsidR="006C693D" w:rsidRPr="001A69F6">
                    <w:rPr>
                      <w:b w:val="0"/>
                      <w:bCs/>
                    </w:rPr>
                    <w:t xml:space="preserve">Primary </w:t>
                  </w:r>
                  <w:r w:rsidR="005C3ECE" w:rsidRPr="001A69F6">
                    <w:rPr>
                      <w:b w:val="0"/>
                      <w:bCs/>
                    </w:rPr>
                    <w:t>legislation</w:t>
                  </w:r>
                </w:p>
              </w:tc>
            </w:tr>
            <w:tr w:rsidR="00B50649" w:rsidRPr="001A69F6" w14:paraId="293374C8" w14:textId="77777777" w:rsidTr="007E190E">
              <w:trPr>
                <w:trHeight w:val="1115"/>
              </w:trPr>
              <w:tc>
                <w:tcPr>
                  <w:tcW w:w="4088" w:type="dxa"/>
                  <w:tcBorders>
                    <w:top w:val="single" w:sz="4" w:space="0" w:color="333333"/>
                    <w:bottom w:val="single" w:sz="4" w:space="0" w:color="333333"/>
                  </w:tcBorders>
                </w:tcPr>
                <w:p w14:paraId="059466AB" w14:textId="5DD6C20B" w:rsidR="00023080" w:rsidRPr="001A69F6" w:rsidRDefault="00773719" w:rsidP="007E190E">
                  <w:pPr>
                    <w:ind w:left="113" w:right="113"/>
                  </w:pPr>
                  <w:r w:rsidRPr="001A69F6">
                    <w:rPr>
                      <w:rStyle w:val="IATableLabelCharChar"/>
                      <w:sz w:val="20"/>
                      <w:szCs w:val="20"/>
                    </w:rPr>
                    <w:t>Contact for enquiries:</w:t>
                  </w:r>
                  <w:r w:rsidRPr="001A69F6">
                    <w:t xml:space="preserve"> </w:t>
                  </w:r>
                  <w:bookmarkStart w:id="7" w:name="IAEnquiryContacts"/>
                  <w:r w:rsidR="002D0481" w:rsidRPr="001A69F6">
                    <w:rPr>
                      <w:sz w:val="20"/>
                      <w:szCs w:val="20"/>
                    </w:rPr>
                    <w:t>Bryan</w:t>
                  </w:r>
                  <w:r w:rsidR="00234F5D" w:rsidRPr="001A69F6">
                    <w:rPr>
                      <w:sz w:val="20"/>
                      <w:szCs w:val="20"/>
                    </w:rPr>
                    <w:t>.</w:t>
                  </w:r>
                  <w:r w:rsidR="00B90A36" w:rsidRPr="001A69F6">
                    <w:rPr>
                      <w:sz w:val="20"/>
                      <w:szCs w:val="20"/>
                    </w:rPr>
                    <w:t>Halka</w:t>
                  </w:r>
                  <w:r w:rsidR="00234F5D" w:rsidRPr="001A69F6">
                    <w:rPr>
                      <w:sz w:val="20"/>
                      <w:szCs w:val="20"/>
                    </w:rPr>
                    <w:t>@beis.gov.uk</w:t>
                  </w:r>
                  <w:r w:rsidRPr="001A69F6">
                    <w:rPr>
                      <w:rStyle w:val="IACOEChar"/>
                      <w:b w:val="0"/>
                      <w:sz w:val="20"/>
                      <w:szCs w:val="20"/>
                    </w:rPr>
                    <w:fldChar w:fldCharType="begin">
                      <w:ffData>
                        <w:name w:val="IAEnquiryContacts"/>
                        <w:enabled/>
                        <w:calcOnExit w:val="0"/>
                        <w:textInput>
                          <w:maxLength w:val="200"/>
                        </w:textInput>
                      </w:ffData>
                    </w:fldChar>
                  </w:r>
                  <w:r w:rsidRPr="001A69F6">
                    <w:rPr>
                      <w:rStyle w:val="IACOEChar"/>
                      <w:b w:val="0"/>
                      <w:sz w:val="20"/>
                      <w:szCs w:val="20"/>
                    </w:rPr>
                    <w:instrText xml:space="preserve"> FORMTEXT </w:instrText>
                  </w:r>
                  <w:r w:rsidRPr="001A69F6">
                    <w:rPr>
                      <w:rStyle w:val="IACOEChar"/>
                      <w:b w:val="0"/>
                      <w:sz w:val="20"/>
                      <w:szCs w:val="20"/>
                    </w:rPr>
                  </w:r>
                  <w:r w:rsidRPr="001A69F6">
                    <w:rPr>
                      <w:rStyle w:val="IACOEChar"/>
                      <w:b w:val="0"/>
                      <w:sz w:val="20"/>
                      <w:szCs w:val="20"/>
                    </w:rPr>
                    <w:fldChar w:fldCharType="separate"/>
                  </w:r>
                  <w:r w:rsidRPr="001A69F6">
                    <w:rPr>
                      <w:rStyle w:val="IACOEChar"/>
                      <w:b w:val="0"/>
                      <w:sz w:val="20"/>
                      <w:szCs w:val="20"/>
                    </w:rPr>
                    <w:t> </w:t>
                  </w:r>
                  <w:r w:rsidRPr="001A69F6">
                    <w:rPr>
                      <w:rStyle w:val="IACOEChar"/>
                      <w:b w:val="0"/>
                      <w:sz w:val="20"/>
                      <w:szCs w:val="20"/>
                    </w:rPr>
                    <w:t> </w:t>
                  </w:r>
                  <w:r w:rsidRPr="001A69F6">
                    <w:rPr>
                      <w:rStyle w:val="IACOEChar"/>
                      <w:b w:val="0"/>
                      <w:sz w:val="20"/>
                      <w:szCs w:val="20"/>
                    </w:rPr>
                    <w:t> </w:t>
                  </w:r>
                  <w:r w:rsidRPr="001A69F6">
                    <w:rPr>
                      <w:rStyle w:val="IACOEChar"/>
                      <w:b w:val="0"/>
                      <w:sz w:val="20"/>
                      <w:szCs w:val="20"/>
                    </w:rPr>
                    <w:t> </w:t>
                  </w:r>
                  <w:r w:rsidRPr="001A69F6">
                    <w:rPr>
                      <w:rStyle w:val="IACOEChar"/>
                      <w:b w:val="0"/>
                      <w:sz w:val="20"/>
                      <w:szCs w:val="20"/>
                    </w:rPr>
                    <w:t> </w:t>
                  </w:r>
                  <w:r w:rsidRPr="001A69F6">
                    <w:rPr>
                      <w:rStyle w:val="IACOEChar"/>
                      <w:b w:val="0"/>
                      <w:sz w:val="20"/>
                      <w:szCs w:val="20"/>
                    </w:rPr>
                    <w:fldChar w:fldCharType="end"/>
                  </w:r>
                  <w:bookmarkEnd w:id="7"/>
                </w:p>
              </w:tc>
            </w:tr>
            <w:tr w:rsidR="000C1D45" w:rsidRPr="001A69F6" w14:paraId="32CB0703" w14:textId="77777777" w:rsidTr="007E190E">
              <w:trPr>
                <w:trHeight w:val="1115"/>
              </w:trPr>
              <w:tc>
                <w:tcPr>
                  <w:tcW w:w="4088" w:type="dxa"/>
                  <w:tcBorders>
                    <w:top w:val="single" w:sz="4" w:space="0" w:color="333333"/>
                    <w:bottom w:val="single" w:sz="4" w:space="0" w:color="333333"/>
                  </w:tcBorders>
                </w:tcPr>
                <w:p w14:paraId="3613DB26" w14:textId="77777777" w:rsidR="000C1D45" w:rsidRPr="001A69F6" w:rsidRDefault="000C1D45" w:rsidP="00A32793">
                  <w:pPr>
                    <w:pStyle w:val="IATableLines"/>
                    <w:rPr>
                      <w:b/>
                      <w:color w:val="000000"/>
                      <w:sz w:val="20"/>
                    </w:rPr>
                  </w:pPr>
                </w:p>
              </w:tc>
            </w:tr>
            <w:tr w:rsidR="000C1D45" w:rsidRPr="001A69F6" w14:paraId="6802EA12" w14:textId="77777777" w:rsidTr="007E190E">
              <w:trPr>
                <w:trHeight w:val="1115"/>
              </w:trPr>
              <w:tc>
                <w:tcPr>
                  <w:tcW w:w="4088" w:type="dxa"/>
                  <w:tcBorders>
                    <w:top w:val="single" w:sz="4" w:space="0" w:color="333333"/>
                    <w:bottom w:val="single" w:sz="4" w:space="0" w:color="333333"/>
                  </w:tcBorders>
                </w:tcPr>
                <w:p w14:paraId="31D8DF7F" w14:textId="77777777" w:rsidR="000C1D45" w:rsidRPr="001A69F6" w:rsidRDefault="000C1D45" w:rsidP="00A32793">
                  <w:pPr>
                    <w:pStyle w:val="IATableLines"/>
                    <w:rPr>
                      <w:b/>
                      <w:color w:val="000000"/>
                      <w:sz w:val="20"/>
                    </w:rPr>
                  </w:pPr>
                </w:p>
              </w:tc>
            </w:tr>
            <w:tr w:rsidR="000C1D45" w:rsidRPr="001A69F6" w14:paraId="266107BB" w14:textId="77777777" w:rsidTr="007E190E">
              <w:trPr>
                <w:trHeight w:val="1115"/>
              </w:trPr>
              <w:tc>
                <w:tcPr>
                  <w:tcW w:w="4088" w:type="dxa"/>
                  <w:tcBorders>
                    <w:top w:val="single" w:sz="4" w:space="0" w:color="333333"/>
                    <w:bottom w:val="single" w:sz="4" w:space="0" w:color="333333"/>
                  </w:tcBorders>
                </w:tcPr>
                <w:p w14:paraId="52DA93B2" w14:textId="77777777" w:rsidR="000C1D45" w:rsidRPr="001A69F6" w:rsidRDefault="000C1D45" w:rsidP="00A32793">
                  <w:pPr>
                    <w:pStyle w:val="IATableLines"/>
                    <w:rPr>
                      <w:b/>
                      <w:color w:val="000000"/>
                      <w:sz w:val="20"/>
                    </w:rPr>
                  </w:pPr>
                </w:p>
              </w:tc>
            </w:tr>
            <w:tr w:rsidR="000C1D45" w:rsidRPr="001A69F6" w14:paraId="03CB09E5" w14:textId="77777777" w:rsidTr="007E190E">
              <w:trPr>
                <w:trHeight w:val="1115"/>
              </w:trPr>
              <w:tc>
                <w:tcPr>
                  <w:tcW w:w="4088" w:type="dxa"/>
                  <w:tcBorders>
                    <w:top w:val="single" w:sz="4" w:space="0" w:color="333333"/>
                    <w:bottom w:val="single" w:sz="4" w:space="0" w:color="333333"/>
                  </w:tcBorders>
                </w:tcPr>
                <w:p w14:paraId="73725245" w14:textId="77777777" w:rsidR="000C1D45" w:rsidRPr="001A69F6" w:rsidRDefault="000C1D45" w:rsidP="00A32793">
                  <w:pPr>
                    <w:pStyle w:val="IATableLines"/>
                    <w:rPr>
                      <w:b/>
                      <w:color w:val="000000"/>
                      <w:sz w:val="20"/>
                    </w:rPr>
                  </w:pPr>
                </w:p>
              </w:tc>
            </w:tr>
            <w:tr w:rsidR="000C1D45" w:rsidRPr="001A69F6" w14:paraId="0D8E6F09" w14:textId="77777777" w:rsidTr="007E190E">
              <w:trPr>
                <w:trHeight w:val="1115"/>
              </w:trPr>
              <w:tc>
                <w:tcPr>
                  <w:tcW w:w="4088" w:type="dxa"/>
                  <w:tcBorders>
                    <w:top w:val="single" w:sz="4" w:space="0" w:color="333333"/>
                    <w:bottom w:val="single" w:sz="4" w:space="0" w:color="333333"/>
                  </w:tcBorders>
                </w:tcPr>
                <w:p w14:paraId="1F474E2A" w14:textId="77777777" w:rsidR="000C1D45" w:rsidRPr="001A69F6" w:rsidRDefault="000C1D45" w:rsidP="00A32793">
                  <w:pPr>
                    <w:pStyle w:val="IATableLines"/>
                    <w:rPr>
                      <w:b/>
                      <w:color w:val="000000"/>
                      <w:sz w:val="20"/>
                    </w:rPr>
                  </w:pPr>
                </w:p>
              </w:tc>
            </w:tr>
            <w:tr w:rsidR="000C1D45" w:rsidRPr="001A69F6" w14:paraId="25F3101C" w14:textId="77777777" w:rsidTr="007E190E">
              <w:trPr>
                <w:trHeight w:val="1115"/>
              </w:trPr>
              <w:tc>
                <w:tcPr>
                  <w:tcW w:w="4088" w:type="dxa"/>
                  <w:tcBorders>
                    <w:top w:val="single" w:sz="4" w:space="0" w:color="333333"/>
                  </w:tcBorders>
                </w:tcPr>
                <w:p w14:paraId="2C467494" w14:textId="77777777" w:rsidR="000C1D45" w:rsidRPr="001A69F6" w:rsidRDefault="000C1D45" w:rsidP="00A32793">
                  <w:pPr>
                    <w:pStyle w:val="IATableLines"/>
                    <w:rPr>
                      <w:b/>
                      <w:color w:val="000000"/>
                      <w:sz w:val="20"/>
                    </w:rPr>
                  </w:pPr>
                </w:p>
              </w:tc>
            </w:tr>
          </w:tbl>
          <w:p w14:paraId="78BDBA71" w14:textId="77777777" w:rsidR="00B50649" w:rsidRPr="001A69F6" w:rsidRDefault="00B50649">
            <w:pPr>
              <w:rPr>
                <w:rFonts w:eastAsia="SimSun"/>
              </w:rPr>
            </w:pPr>
          </w:p>
        </w:tc>
      </w:tr>
      <w:tr w:rsidR="000C1D45" w:rsidRPr="001A69F6" w14:paraId="3360621A" w14:textId="77777777" w:rsidTr="00667252">
        <w:trPr>
          <w:trHeight w:hRule="exact" w:val="410"/>
        </w:trPr>
        <w:tc>
          <w:tcPr>
            <w:tcW w:w="6179" w:type="dxa"/>
            <w:gridSpan w:val="3"/>
            <w:tcBorders>
              <w:top w:val="single" w:sz="4" w:space="0" w:color="auto"/>
              <w:left w:val="nil"/>
              <w:bottom w:val="single" w:sz="4" w:space="0" w:color="auto"/>
            </w:tcBorders>
          </w:tcPr>
          <w:p w14:paraId="0858335E" w14:textId="77777777" w:rsidR="000C1D45" w:rsidRPr="001A69F6" w:rsidRDefault="000C1D45" w:rsidP="007E190E">
            <w:pPr>
              <w:pStyle w:val="Heading1"/>
              <w:spacing w:before="60"/>
              <w:rPr>
                <w:rFonts w:eastAsia="SimSun" w:hint="eastAsia"/>
                <w:sz w:val="28"/>
                <w:szCs w:val="28"/>
              </w:rPr>
            </w:pPr>
            <w:r w:rsidRPr="001A69F6">
              <w:rPr>
                <w:rFonts w:eastAsia="SimSun"/>
                <w:sz w:val="28"/>
                <w:szCs w:val="28"/>
              </w:rPr>
              <w:t xml:space="preserve">Summary: Intervention and Options </w:t>
            </w:r>
          </w:p>
          <w:p w14:paraId="3AB74490" w14:textId="77777777" w:rsidR="000C1D45" w:rsidRPr="001A69F6" w:rsidRDefault="000C1D45" w:rsidP="007E190E">
            <w:pPr>
              <w:pStyle w:val="IAHeadLabel0"/>
              <w:spacing w:before="50"/>
              <w:ind w:left="113"/>
              <w:rPr>
                <w:sz w:val="28"/>
                <w:szCs w:val="28"/>
              </w:rPr>
            </w:pPr>
          </w:p>
        </w:tc>
        <w:tc>
          <w:tcPr>
            <w:tcW w:w="4018" w:type="dxa"/>
            <w:gridSpan w:val="2"/>
            <w:tcBorders>
              <w:top w:val="single" w:sz="4" w:space="0" w:color="auto"/>
              <w:bottom w:val="single" w:sz="4" w:space="0" w:color="auto"/>
            </w:tcBorders>
            <w:shd w:val="clear" w:color="auto" w:fill="E0E0E0"/>
            <w:vAlign w:val="center"/>
          </w:tcPr>
          <w:p w14:paraId="23CE109F" w14:textId="7E49C1CF" w:rsidR="000C1D45" w:rsidRPr="001A69F6" w:rsidRDefault="000C1D45" w:rsidP="00307737">
            <w:pPr>
              <w:pStyle w:val="Title"/>
              <w:rPr>
                <w:rFonts w:eastAsia="SimSun"/>
                <w:b/>
                <w:color w:val="auto"/>
                <w:sz w:val="24"/>
                <w:szCs w:val="24"/>
              </w:rPr>
            </w:pPr>
            <w:r w:rsidRPr="001A69F6">
              <w:rPr>
                <w:rFonts w:eastAsia="SimSun"/>
                <w:b/>
                <w:color w:val="auto"/>
                <w:sz w:val="24"/>
                <w:szCs w:val="24"/>
              </w:rPr>
              <w:t>RPC</w:t>
            </w:r>
            <w:r w:rsidR="00EC6B93" w:rsidRPr="001A69F6">
              <w:rPr>
                <w:rFonts w:eastAsia="SimSun"/>
                <w:b/>
                <w:color w:val="auto"/>
                <w:sz w:val="24"/>
                <w:szCs w:val="24"/>
              </w:rPr>
              <w:t xml:space="preserve"> Opinion</w:t>
            </w:r>
            <w:r w:rsidRPr="001A69F6">
              <w:rPr>
                <w:rFonts w:eastAsia="SimSun"/>
                <w:b/>
                <w:color w:val="auto"/>
                <w:sz w:val="24"/>
                <w:szCs w:val="24"/>
              </w:rPr>
              <w:t xml:space="preserve">: </w:t>
            </w:r>
            <w:r w:rsidR="00667252" w:rsidRPr="001A69F6">
              <w:rPr>
                <w:rFonts w:eastAsia="SimSun"/>
                <w:b/>
                <w:color w:val="auto"/>
                <w:sz w:val="24"/>
                <w:szCs w:val="24"/>
              </w:rPr>
              <w:t xml:space="preserve">N/A </w:t>
            </w:r>
          </w:p>
        </w:tc>
      </w:tr>
      <w:tr w:rsidR="00372A69" w:rsidRPr="001A69F6" w14:paraId="0A460EEB" w14:textId="77777777" w:rsidTr="00667252">
        <w:trPr>
          <w:trHeight w:hRule="exact" w:val="90"/>
        </w:trPr>
        <w:tc>
          <w:tcPr>
            <w:tcW w:w="10197" w:type="dxa"/>
            <w:gridSpan w:val="5"/>
            <w:tcBorders>
              <w:top w:val="single" w:sz="4" w:space="0" w:color="auto"/>
              <w:left w:val="nil"/>
              <w:bottom w:val="nil"/>
            </w:tcBorders>
          </w:tcPr>
          <w:p w14:paraId="13A05E15" w14:textId="77777777" w:rsidR="00372A69" w:rsidRPr="001A69F6" w:rsidRDefault="00372A69" w:rsidP="00372A69">
            <w:pPr>
              <w:rPr>
                <w:rFonts w:eastAsia="SimSun"/>
              </w:rPr>
            </w:pPr>
          </w:p>
        </w:tc>
      </w:tr>
      <w:tr w:rsidR="00372A69" w:rsidRPr="001A69F6" w14:paraId="544F0F01" w14:textId="77777777" w:rsidTr="00667252">
        <w:tblPrEx>
          <w:tblBorders>
            <w:insideV w:val="none" w:sz="0" w:space="0" w:color="auto"/>
          </w:tblBorders>
        </w:tblPrEx>
        <w:trPr>
          <w:trHeight w:hRule="exact" w:val="312"/>
        </w:trPr>
        <w:tc>
          <w:tcPr>
            <w:tcW w:w="10197" w:type="dxa"/>
            <w:gridSpan w:val="5"/>
            <w:tcBorders>
              <w:top w:val="single" w:sz="4" w:space="0" w:color="auto"/>
              <w:bottom w:val="single" w:sz="4" w:space="0" w:color="auto"/>
            </w:tcBorders>
            <w:shd w:val="clear" w:color="auto" w:fill="E0E0E0"/>
          </w:tcPr>
          <w:p w14:paraId="3CB70531" w14:textId="6194FFFE" w:rsidR="00372A69" w:rsidRPr="001A69F6" w:rsidRDefault="00372A69" w:rsidP="006A0557">
            <w:pPr>
              <w:pStyle w:val="IATableLabel"/>
              <w:ind w:left="0"/>
              <w:jc w:val="center"/>
            </w:pPr>
            <w:bookmarkStart w:id="8" w:name="CostText"/>
            <w:r w:rsidRPr="001A69F6">
              <w:t>Cost of Preferred (or more likely) Optio</w:t>
            </w:r>
            <w:r w:rsidR="00F06858" w:rsidRPr="001A69F6">
              <w:t>n</w:t>
            </w:r>
            <w:bookmarkEnd w:id="8"/>
            <w:r w:rsidR="00310BBC" w:rsidRPr="001A69F6">
              <w:t xml:space="preserve"> </w:t>
            </w:r>
            <w:r w:rsidR="00310BBC" w:rsidRPr="001A69F6">
              <w:rPr>
                <w:b w:val="0"/>
              </w:rPr>
              <w:t>(in 20</w:t>
            </w:r>
            <w:r w:rsidR="00E0313E" w:rsidRPr="001A69F6">
              <w:rPr>
                <w:b w:val="0"/>
              </w:rPr>
              <w:t>19</w:t>
            </w:r>
            <w:r w:rsidR="00310BBC" w:rsidRPr="001A69F6">
              <w:rPr>
                <w:b w:val="0"/>
              </w:rPr>
              <w:t xml:space="preserve"> prices)</w:t>
            </w:r>
          </w:p>
        </w:tc>
      </w:tr>
      <w:tr w:rsidR="00DE39C4" w:rsidRPr="001A69F6" w14:paraId="03DC0428" w14:textId="77777777" w:rsidTr="00667252">
        <w:tblPrEx>
          <w:tblBorders>
            <w:insideV w:val="none" w:sz="0" w:space="0" w:color="auto"/>
          </w:tblBorders>
        </w:tblPrEx>
        <w:trPr>
          <w:trHeight w:hRule="exact" w:val="571"/>
        </w:trPr>
        <w:tc>
          <w:tcPr>
            <w:tcW w:w="1961" w:type="dxa"/>
            <w:tcBorders>
              <w:top w:val="single" w:sz="4" w:space="0" w:color="auto"/>
              <w:bottom w:val="single" w:sz="4" w:space="0" w:color="auto"/>
              <w:right w:val="single" w:sz="4" w:space="0" w:color="auto"/>
            </w:tcBorders>
            <w:shd w:val="clear" w:color="auto" w:fill="E0E0E0"/>
            <w:vAlign w:val="center"/>
          </w:tcPr>
          <w:p w14:paraId="77FF69E8" w14:textId="77777777" w:rsidR="00DE39C4" w:rsidRPr="001A69F6" w:rsidRDefault="00DE39C4" w:rsidP="006A0557">
            <w:pPr>
              <w:pStyle w:val="IATableLabel"/>
              <w:spacing w:before="0" w:after="0"/>
            </w:pPr>
            <w:r w:rsidRPr="001A69F6">
              <w:t>Total Net Present Social Value</w:t>
            </w:r>
          </w:p>
        </w:tc>
        <w:tc>
          <w:tcPr>
            <w:tcW w:w="2240" w:type="dxa"/>
            <w:tcBorders>
              <w:top w:val="single" w:sz="4" w:space="0" w:color="auto"/>
              <w:bottom w:val="single" w:sz="4" w:space="0" w:color="auto"/>
              <w:right w:val="single" w:sz="4" w:space="0" w:color="auto"/>
            </w:tcBorders>
            <w:shd w:val="clear" w:color="auto" w:fill="E0E0E0"/>
            <w:vAlign w:val="center"/>
          </w:tcPr>
          <w:p w14:paraId="1C8EF39A" w14:textId="77777777" w:rsidR="00DE39C4" w:rsidRPr="001A69F6" w:rsidRDefault="00DE39C4" w:rsidP="006A0557">
            <w:pPr>
              <w:pStyle w:val="IATableLabel"/>
              <w:spacing w:before="0" w:after="0"/>
            </w:pPr>
            <w:r w:rsidRPr="001A69F6">
              <w:t>Business Net Present Value</w:t>
            </w:r>
          </w:p>
        </w:tc>
        <w:tc>
          <w:tcPr>
            <w:tcW w:w="2801" w:type="dxa"/>
            <w:gridSpan w:val="2"/>
            <w:tcBorders>
              <w:top w:val="single" w:sz="4" w:space="0" w:color="auto"/>
              <w:bottom w:val="single" w:sz="4" w:space="0" w:color="auto"/>
              <w:right w:val="single" w:sz="4" w:space="0" w:color="auto"/>
            </w:tcBorders>
            <w:shd w:val="clear" w:color="auto" w:fill="E0E0E0"/>
            <w:vAlign w:val="center"/>
          </w:tcPr>
          <w:p w14:paraId="33241A69" w14:textId="178D4C49" w:rsidR="00DE39C4" w:rsidRPr="001A69F6" w:rsidRDefault="00DE39C4" w:rsidP="006C6483">
            <w:pPr>
              <w:pStyle w:val="IATableLabel"/>
              <w:spacing w:before="0" w:after="0"/>
            </w:pPr>
            <w:r w:rsidRPr="001A69F6">
              <w:t xml:space="preserve">Net cost to business per year </w:t>
            </w:r>
          </w:p>
        </w:tc>
        <w:tc>
          <w:tcPr>
            <w:tcW w:w="3195" w:type="dxa"/>
            <w:tcBorders>
              <w:top w:val="single" w:sz="4" w:space="0" w:color="auto"/>
              <w:left w:val="single" w:sz="4" w:space="0" w:color="auto"/>
              <w:bottom w:val="single" w:sz="4" w:space="0" w:color="auto"/>
            </w:tcBorders>
            <w:shd w:val="clear" w:color="auto" w:fill="E0E0E0"/>
            <w:vAlign w:val="center"/>
          </w:tcPr>
          <w:p w14:paraId="0B160238" w14:textId="77777777" w:rsidR="00DE39C4" w:rsidRPr="001A69F6" w:rsidRDefault="00DE39C4" w:rsidP="00000766">
            <w:pPr>
              <w:pStyle w:val="IATableLabel"/>
              <w:spacing w:before="0" w:after="0"/>
            </w:pPr>
            <w:r w:rsidRPr="001A69F6">
              <w:t>Business Impact Target Status</w:t>
            </w:r>
          </w:p>
          <w:p w14:paraId="665FCA2D" w14:textId="5ACAD1CC" w:rsidR="00DE39C4" w:rsidRPr="001A69F6" w:rsidRDefault="00CF47B8" w:rsidP="008369A3">
            <w:pPr>
              <w:pStyle w:val="IAIOPrefMQ"/>
            </w:pPr>
            <w:r w:rsidRPr="001A69F6">
              <w:fldChar w:fldCharType="begin">
                <w:ffData>
                  <w:name w:val="IAPrefMQ"/>
                  <w:enabled/>
                  <w:calcOnExit w:val="0"/>
                  <w:ddList>
                    <w:listEntry w:val="Qualifying provision"/>
                    <w:listEntry w:val="Non qualifying provision"/>
                    <w:listEntry w:val="Not a regulatory provision"/>
                  </w:ddList>
                </w:ffData>
              </w:fldChar>
            </w:r>
            <w:bookmarkStart w:id="9" w:name="IAPrefMQ"/>
            <w:r w:rsidRPr="001A69F6">
              <w:instrText xml:space="preserve"> FORMDROPDOWN </w:instrText>
            </w:r>
            <w:r w:rsidR="006905F3">
              <w:fldChar w:fldCharType="separate"/>
            </w:r>
            <w:r w:rsidRPr="001A69F6">
              <w:fldChar w:fldCharType="end"/>
            </w:r>
            <w:bookmarkEnd w:id="9"/>
          </w:p>
        </w:tc>
      </w:tr>
      <w:tr w:rsidR="00DE39C4" w:rsidRPr="001A69F6" w14:paraId="557E95FF" w14:textId="77777777" w:rsidTr="00667252">
        <w:tblPrEx>
          <w:tblBorders>
            <w:insideV w:val="none" w:sz="0" w:space="0" w:color="auto"/>
          </w:tblBorders>
        </w:tblPrEx>
        <w:trPr>
          <w:trHeight w:hRule="exact" w:val="340"/>
        </w:trPr>
        <w:tc>
          <w:tcPr>
            <w:tcW w:w="1961" w:type="dxa"/>
            <w:tcBorders>
              <w:top w:val="single" w:sz="4" w:space="0" w:color="auto"/>
              <w:bottom w:val="single" w:sz="4" w:space="0" w:color="auto"/>
              <w:right w:val="single" w:sz="4" w:space="0" w:color="auto"/>
            </w:tcBorders>
            <w:shd w:val="clear" w:color="auto" w:fill="E0E0E0"/>
            <w:vAlign w:val="center"/>
          </w:tcPr>
          <w:p w14:paraId="2A9823E9" w14:textId="60E9B9F2" w:rsidR="00DE39C4" w:rsidRPr="001A69F6" w:rsidRDefault="0006510A" w:rsidP="008369A3">
            <w:pPr>
              <w:pStyle w:val="IAIIOTNPV"/>
            </w:pPr>
            <w:r w:rsidRPr="001A69F6">
              <w:t>£</w:t>
            </w:r>
            <w:r w:rsidR="00B966F9" w:rsidRPr="001A69F6">
              <w:t>-</w:t>
            </w:r>
            <w:r w:rsidR="00595A48" w:rsidRPr="001A69F6">
              <w:t>22</w:t>
            </w:r>
            <w:r w:rsidR="00B966F9" w:rsidRPr="001A69F6">
              <w:t>.</w:t>
            </w:r>
            <w:r w:rsidR="00595A48" w:rsidRPr="001A69F6">
              <w:t>6</w:t>
            </w:r>
            <w:r w:rsidR="00547E58" w:rsidRPr="001A69F6">
              <w:t>m</w:t>
            </w:r>
            <w:r w:rsidR="00BA5D80" w:rsidRPr="001A69F6">
              <w:t>*</w:t>
            </w:r>
          </w:p>
        </w:tc>
        <w:tc>
          <w:tcPr>
            <w:tcW w:w="2240" w:type="dxa"/>
            <w:tcBorders>
              <w:top w:val="single" w:sz="4" w:space="0" w:color="auto"/>
              <w:bottom w:val="single" w:sz="4" w:space="0" w:color="auto"/>
              <w:right w:val="single" w:sz="4" w:space="0" w:color="auto"/>
            </w:tcBorders>
            <w:shd w:val="clear" w:color="auto" w:fill="E0E0E0"/>
            <w:vAlign w:val="center"/>
          </w:tcPr>
          <w:p w14:paraId="29A67005" w14:textId="196ED005" w:rsidR="00DE39C4" w:rsidRPr="001A69F6" w:rsidRDefault="0006510A" w:rsidP="008369A3">
            <w:pPr>
              <w:pStyle w:val="IAIOBNPV"/>
            </w:pPr>
            <w:r w:rsidRPr="001A69F6">
              <w:t>£</w:t>
            </w:r>
            <w:r w:rsidR="00392A32" w:rsidRPr="001A69F6">
              <w:t>-30.6</w:t>
            </w:r>
            <w:r w:rsidR="00BA5D80" w:rsidRPr="001A69F6">
              <w:t>m*</w:t>
            </w:r>
          </w:p>
        </w:tc>
        <w:tc>
          <w:tcPr>
            <w:tcW w:w="2801" w:type="dxa"/>
            <w:gridSpan w:val="2"/>
            <w:tcBorders>
              <w:top w:val="single" w:sz="4" w:space="0" w:color="auto"/>
              <w:bottom w:val="single" w:sz="4" w:space="0" w:color="auto"/>
              <w:right w:val="single" w:sz="4" w:space="0" w:color="auto"/>
            </w:tcBorders>
            <w:shd w:val="clear" w:color="auto" w:fill="E0E0E0"/>
            <w:vAlign w:val="center"/>
          </w:tcPr>
          <w:p w14:paraId="71244981" w14:textId="55AF5783" w:rsidR="00DE39C4" w:rsidRPr="001A69F6" w:rsidRDefault="003275E6" w:rsidP="008369A3">
            <w:pPr>
              <w:pStyle w:val="IAIONCTBPY"/>
            </w:pPr>
            <w:r w:rsidRPr="001A69F6">
              <w:t>£</w:t>
            </w:r>
            <w:r w:rsidR="002531D2" w:rsidRPr="001A69F6">
              <w:t>3</w:t>
            </w:r>
            <w:r w:rsidRPr="001A69F6">
              <w:t>.</w:t>
            </w:r>
            <w:r w:rsidR="00392A32" w:rsidRPr="001A69F6">
              <w:t>6</w:t>
            </w:r>
            <w:r w:rsidRPr="001A69F6">
              <w:t>m</w:t>
            </w:r>
            <w:r w:rsidR="00BA5D80" w:rsidRPr="001A69F6">
              <w:t>*</w:t>
            </w:r>
          </w:p>
        </w:tc>
        <w:tc>
          <w:tcPr>
            <w:tcW w:w="3195" w:type="dxa"/>
            <w:tcBorders>
              <w:top w:val="single" w:sz="4" w:space="0" w:color="auto"/>
              <w:bottom w:val="single" w:sz="4" w:space="0" w:color="auto"/>
            </w:tcBorders>
            <w:vAlign w:val="center"/>
          </w:tcPr>
          <w:p w14:paraId="1824C3F7" w14:textId="65D9652C" w:rsidR="00DE39C4" w:rsidRPr="001A69F6" w:rsidRDefault="008D03E4" w:rsidP="00CF47B8">
            <w:pPr>
              <w:pStyle w:val="IAIOPrefMQ"/>
              <w:ind w:left="0"/>
            </w:pPr>
            <w:r w:rsidRPr="001A69F6">
              <w:t xml:space="preserve"> </w:t>
            </w:r>
            <w:r w:rsidR="003275E6" w:rsidRPr="001A69F6">
              <w:t>£</w:t>
            </w:r>
            <w:r w:rsidR="00392A32" w:rsidRPr="001A69F6">
              <w:t>17</w:t>
            </w:r>
            <w:r w:rsidR="002531D2" w:rsidRPr="001A69F6">
              <w:t>.</w:t>
            </w:r>
            <w:r w:rsidR="00430B7A" w:rsidRPr="001A69F6">
              <w:t>8</w:t>
            </w:r>
            <w:r w:rsidR="003275E6" w:rsidRPr="001A69F6">
              <w:t>m</w:t>
            </w:r>
            <w:r w:rsidR="00BA5D80" w:rsidRPr="001A69F6">
              <w:t>*</w:t>
            </w:r>
            <w:r w:rsidR="0022194F" w:rsidRPr="001A69F6">
              <w:rPr>
                <w:rStyle w:val="FootnoteReference"/>
                <w:color w:val="FFFFFF" w:themeColor="background1"/>
              </w:rPr>
              <w:footnoteReference w:id="2"/>
            </w:r>
          </w:p>
        </w:tc>
      </w:tr>
      <w:tr w:rsidR="007208D9" w:rsidRPr="001A69F6" w14:paraId="696EFFCC" w14:textId="77777777" w:rsidTr="00667252">
        <w:tblPrEx>
          <w:tblBorders>
            <w:insideV w:val="none" w:sz="0" w:space="0" w:color="auto"/>
          </w:tblBorders>
        </w:tblPrEx>
        <w:trPr>
          <w:trHeight w:hRule="exact" w:val="4809"/>
        </w:trPr>
        <w:tc>
          <w:tcPr>
            <w:tcW w:w="10197" w:type="dxa"/>
            <w:gridSpan w:val="5"/>
            <w:tcBorders>
              <w:top w:val="single" w:sz="4" w:space="0" w:color="auto"/>
              <w:bottom w:val="single" w:sz="4" w:space="0" w:color="auto"/>
            </w:tcBorders>
          </w:tcPr>
          <w:p w14:paraId="744D4B79" w14:textId="6AF1EC8A" w:rsidR="007208D9" w:rsidRPr="001A69F6" w:rsidRDefault="00686F5E" w:rsidP="008369A3">
            <w:pPr>
              <w:pStyle w:val="IAIOQ1"/>
            </w:pPr>
            <w:bookmarkStart w:id="10" w:name="Summary1"/>
            <w:r w:rsidRPr="001A69F6">
              <w:t>What is the problem under consideration? Why is government intervention necessary?</w:t>
            </w:r>
            <w:bookmarkEnd w:id="10"/>
          </w:p>
          <w:p w14:paraId="5B5F20CF" w14:textId="77777777" w:rsidR="00531974" w:rsidRPr="001A69F6" w:rsidRDefault="000D0F7F" w:rsidP="0007695E">
            <w:pPr>
              <w:pStyle w:val="IATableLines"/>
            </w:pPr>
            <w:r w:rsidRPr="001A69F6">
              <w:t xml:space="preserve">BIS/EHRC research found that 77% of mothers </w:t>
            </w:r>
            <w:r w:rsidR="005F72DC" w:rsidRPr="001A69F6">
              <w:t>had experienced at least one discriminatory</w:t>
            </w:r>
            <w:r w:rsidR="00BF7DCC" w:rsidRPr="001A69F6">
              <w:t>/</w:t>
            </w:r>
            <w:r w:rsidR="005F72DC" w:rsidRPr="001A69F6">
              <w:t>possibly discriminatory experience</w:t>
            </w:r>
            <w:r w:rsidR="00A45600" w:rsidRPr="001A69F6">
              <w:t xml:space="preserve"> in work</w:t>
            </w:r>
            <w:r w:rsidR="00FF2FA6" w:rsidRPr="001A69F6">
              <w:t>, and 11% of mothers felt forced to leave their job</w:t>
            </w:r>
            <w:r w:rsidR="0037394A" w:rsidRPr="001A69F6">
              <w:t xml:space="preserve">. </w:t>
            </w:r>
            <w:r w:rsidR="006C18D0" w:rsidRPr="001A69F6">
              <w:t>A Women and Equalities Select Committee (WESC) inquiry</w:t>
            </w:r>
            <w:r w:rsidR="00A01C6D" w:rsidRPr="001A69F6">
              <w:t xml:space="preserve"> concluded that there were unacceptable levels of discrimination</w:t>
            </w:r>
            <w:r w:rsidR="008C2369" w:rsidRPr="001A69F6">
              <w:t xml:space="preserve"> in the workplace</w:t>
            </w:r>
            <w:r w:rsidR="00454282" w:rsidRPr="001A69F6">
              <w:t>,</w:t>
            </w:r>
            <w:r w:rsidR="00A01C6D" w:rsidRPr="001A69F6">
              <w:t xml:space="preserve"> </w:t>
            </w:r>
            <w:r w:rsidR="00C76F10" w:rsidRPr="001A69F6">
              <w:t xml:space="preserve">including </w:t>
            </w:r>
            <w:r w:rsidR="00A01C6D" w:rsidRPr="001A69F6">
              <w:t xml:space="preserve">significant issues </w:t>
            </w:r>
            <w:r w:rsidR="006E1180" w:rsidRPr="001A69F6">
              <w:t>when mothers returned to work</w:t>
            </w:r>
            <w:r w:rsidR="00403A1C" w:rsidRPr="001A69F6">
              <w:t xml:space="preserve">. One form </w:t>
            </w:r>
            <w:r w:rsidR="005E6B8B" w:rsidRPr="001A69F6">
              <w:t>this discrimination can take</w:t>
            </w:r>
            <w:r w:rsidR="00A86E7E" w:rsidRPr="001A69F6">
              <w:t xml:space="preserve"> is employers </w:t>
            </w:r>
            <w:r w:rsidR="00044F18" w:rsidRPr="001A69F6">
              <w:t xml:space="preserve">making women redundant when they are </w:t>
            </w:r>
            <w:r w:rsidR="00A85B7C" w:rsidRPr="001A69F6">
              <w:t>pregnant</w:t>
            </w:r>
            <w:r w:rsidR="00406EA9" w:rsidRPr="001A69F6">
              <w:t>, on maternity leave or when they return to work</w:t>
            </w:r>
            <w:r w:rsidR="00F4067D" w:rsidRPr="001A69F6">
              <w:t>.</w:t>
            </w:r>
            <w:r w:rsidR="006C18D0" w:rsidRPr="001A69F6">
              <w:t xml:space="preserve"> </w:t>
            </w:r>
          </w:p>
          <w:p w14:paraId="52970EB1" w14:textId="77777777" w:rsidR="007F69CC" w:rsidRPr="001A69F6" w:rsidRDefault="007F69CC" w:rsidP="0007695E">
            <w:pPr>
              <w:pStyle w:val="IATableLines"/>
            </w:pPr>
          </w:p>
          <w:p w14:paraId="286FD505" w14:textId="77777777" w:rsidR="007F69CC" w:rsidRPr="001A69F6" w:rsidRDefault="007F69CC" w:rsidP="007F69CC">
            <w:pPr>
              <w:pStyle w:val="IATableLines"/>
            </w:pPr>
            <w:r w:rsidRPr="001A69F6">
              <w:t xml:space="preserve">Currently women on maternity leave have some additional limited protection from redundancy above other affected employees.  Their employer is required to offer them an alternative suitable role, not just invite them to apply (as for other affected employees).  </w:t>
            </w:r>
          </w:p>
          <w:p w14:paraId="654BFA81" w14:textId="77777777" w:rsidR="007F69CC" w:rsidRPr="001A69F6" w:rsidRDefault="007F69CC" w:rsidP="007F69CC">
            <w:pPr>
              <w:pStyle w:val="IATableLines"/>
            </w:pPr>
          </w:p>
          <w:p w14:paraId="54555A1D" w14:textId="22F1B843" w:rsidR="00E75380" w:rsidRPr="001A69F6" w:rsidRDefault="007F69CC" w:rsidP="007F69CC">
            <w:pPr>
              <w:pStyle w:val="IATableLines"/>
            </w:pPr>
            <w:r w:rsidRPr="001A69F6">
              <w:t>However</w:t>
            </w:r>
            <w:r w:rsidR="00A04849">
              <w:t>,</w:t>
            </w:r>
            <w:r w:rsidRPr="001A69F6">
              <w:t xml:space="preserve"> the existing legislation is complex (with protections afforded by Equality Act 2010, the Employment Rights Act 1996 and MAPLE 1999).  And current provision do</w:t>
            </w:r>
            <w:r w:rsidR="0048708D" w:rsidRPr="001A69F6">
              <w:t>es</w:t>
            </w:r>
            <w:r w:rsidRPr="001A69F6">
              <w:t xml:space="preserve"> not offer any additional protection during pregnancy itself or the return to work period.  Government intervention is required to (i) simpl</w:t>
            </w:r>
            <w:r w:rsidR="005068ED" w:rsidRPr="001A69F6">
              <w:t>ify</w:t>
            </w:r>
            <w:r w:rsidRPr="001A69F6">
              <w:t xml:space="preserve"> arrangements so they are better understood by employers and employees, and (ii) extend the protected period so pregnant women and those who have recently returned to work have safeguards against redundancy (as one possible form of discrimination) during these vulnerable periods.</w:t>
            </w:r>
          </w:p>
        </w:tc>
      </w:tr>
    </w:tbl>
    <w:p w14:paraId="62581936" w14:textId="77777777" w:rsidR="007208D9" w:rsidRPr="001A69F6" w:rsidRDefault="007208D9" w:rsidP="007208D9">
      <w:pPr>
        <w:pStyle w:val="IASpacer"/>
      </w:pPr>
    </w:p>
    <w:tbl>
      <w:tblPr>
        <w:tblW w:w="5008" w:type="pct"/>
        <w:tblInd w:w="-137"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10211"/>
      </w:tblGrid>
      <w:tr w:rsidR="007208D9" w:rsidRPr="001A69F6" w14:paraId="07B34A21" w14:textId="77777777" w:rsidTr="00275ED7">
        <w:trPr>
          <w:trHeight w:hRule="exact" w:val="6353"/>
        </w:trPr>
        <w:tc>
          <w:tcPr>
            <w:tcW w:w="10211" w:type="dxa"/>
            <w:tcBorders>
              <w:top w:val="single" w:sz="4" w:space="0" w:color="auto"/>
              <w:bottom w:val="single" w:sz="4" w:space="0" w:color="auto"/>
            </w:tcBorders>
          </w:tcPr>
          <w:p w14:paraId="73340FF9" w14:textId="49313514" w:rsidR="001C1249" w:rsidRPr="001A69F6" w:rsidRDefault="00686F5E" w:rsidP="008A447B">
            <w:pPr>
              <w:pStyle w:val="IAIOQ2"/>
            </w:pPr>
            <w:bookmarkStart w:id="11" w:name="Summary2"/>
            <w:r w:rsidRPr="001A69F6">
              <w:lastRenderedPageBreak/>
              <w:t>What are the policy objectives and the intended effects?</w:t>
            </w:r>
            <w:bookmarkEnd w:id="11"/>
          </w:p>
          <w:p w14:paraId="4335B24B" w14:textId="37295A7C" w:rsidR="7A975D56" w:rsidRPr="001A69F6" w:rsidRDefault="00283EA3" w:rsidP="001F18BF">
            <w:pPr>
              <w:pStyle w:val="Default"/>
              <w:spacing w:after="120"/>
              <w:rPr>
                <w:sz w:val="22"/>
                <w:szCs w:val="22"/>
              </w:rPr>
            </w:pPr>
            <w:r w:rsidRPr="001A69F6">
              <w:rPr>
                <w:bCs/>
                <w:sz w:val="22"/>
                <w:szCs w:val="22"/>
              </w:rPr>
              <w:t>T</w:t>
            </w:r>
            <w:r w:rsidRPr="001A69F6">
              <w:rPr>
                <w:bCs/>
                <w:sz w:val="22"/>
                <w:szCs w:val="22"/>
                <w:lang w:val="uz-Cyrl-UZ"/>
              </w:rPr>
              <w:t xml:space="preserve">he key objective of this policy is to </w:t>
            </w:r>
            <w:r w:rsidRPr="001A69F6">
              <w:rPr>
                <w:bCs/>
                <w:sz w:val="22"/>
                <w:szCs w:val="22"/>
              </w:rPr>
              <w:t xml:space="preserve">improve the redundancy protection afforded to </w:t>
            </w:r>
            <w:r w:rsidRPr="001A69F6">
              <w:rPr>
                <w:bCs/>
                <w:sz w:val="22"/>
                <w:szCs w:val="22"/>
                <w:lang w:val="uz-Cyrl-UZ"/>
              </w:rPr>
              <w:t xml:space="preserve">pregnant women and new </w:t>
            </w:r>
            <w:r w:rsidRPr="001A69F6">
              <w:rPr>
                <w:bCs/>
                <w:sz w:val="22"/>
                <w:szCs w:val="22"/>
              </w:rPr>
              <w:t xml:space="preserve">parents by extending existing </w:t>
            </w:r>
            <w:r w:rsidR="7C2A8AA5" w:rsidRPr="001A69F6">
              <w:rPr>
                <w:sz w:val="22"/>
                <w:szCs w:val="22"/>
              </w:rPr>
              <w:t>protections</w:t>
            </w:r>
            <w:r w:rsidRPr="001A69F6">
              <w:rPr>
                <w:bCs/>
                <w:sz w:val="22"/>
                <w:szCs w:val="22"/>
              </w:rPr>
              <w:t xml:space="preserve"> </w:t>
            </w:r>
            <w:r w:rsidR="00C97E19" w:rsidRPr="001A69F6">
              <w:rPr>
                <w:bCs/>
                <w:sz w:val="22"/>
                <w:szCs w:val="22"/>
              </w:rPr>
              <w:t>available while on certain forms of family leave into pregnancy and for a period of return to work.</w:t>
            </w:r>
            <w:r w:rsidR="001F18BF" w:rsidRPr="001A69F6">
              <w:rPr>
                <w:bCs/>
                <w:sz w:val="22"/>
                <w:szCs w:val="22"/>
              </w:rPr>
              <w:t xml:space="preserve">  By doing so, we expect that:</w:t>
            </w:r>
          </w:p>
          <w:p w14:paraId="2EE8B52B" w14:textId="4A70594B" w:rsidR="001C235F" w:rsidRPr="001A69F6" w:rsidRDefault="001C235F" w:rsidP="00CB7EA5">
            <w:pPr>
              <w:pStyle w:val="ListParagraph"/>
              <w:numPr>
                <w:ilvl w:val="0"/>
                <w:numId w:val="136"/>
              </w:numPr>
              <w:rPr>
                <w:rFonts w:cs="Arial"/>
                <w:sz w:val="22"/>
                <w:szCs w:val="22"/>
                <w:lang w:eastAsia="en-GB"/>
              </w:rPr>
            </w:pPr>
            <w:r w:rsidRPr="001A69F6">
              <w:rPr>
                <w:sz w:val="22"/>
                <w:szCs w:val="22"/>
                <w:lang w:eastAsia="en-GB"/>
              </w:rPr>
              <w:t xml:space="preserve">Pregnant women will, for the first time, benefit from the additional protection of being at the </w:t>
            </w:r>
            <w:r w:rsidR="00EB5C9A" w:rsidRPr="001A69F6">
              <w:rPr>
                <w:sz w:val="22"/>
                <w:szCs w:val="22"/>
                <w:lang w:eastAsia="en-GB"/>
              </w:rPr>
              <w:t>“</w:t>
            </w:r>
            <w:r w:rsidRPr="001A69F6">
              <w:rPr>
                <w:sz w:val="22"/>
                <w:szCs w:val="22"/>
                <w:lang w:eastAsia="en-GB"/>
              </w:rPr>
              <w:t>front of the queue</w:t>
            </w:r>
            <w:r w:rsidR="00EB5C9A" w:rsidRPr="001A69F6">
              <w:rPr>
                <w:sz w:val="22"/>
                <w:szCs w:val="22"/>
                <w:lang w:eastAsia="en-GB"/>
              </w:rPr>
              <w:t>”</w:t>
            </w:r>
            <w:r w:rsidRPr="001A69F6">
              <w:rPr>
                <w:sz w:val="22"/>
                <w:szCs w:val="22"/>
                <w:lang w:eastAsia="en-GB"/>
              </w:rPr>
              <w:t xml:space="preserve"> when it comes to filling any remaining jobs in any redundancy situation</w:t>
            </w:r>
            <w:r w:rsidR="003E5AB6" w:rsidRPr="001A69F6">
              <w:rPr>
                <w:sz w:val="22"/>
                <w:szCs w:val="22"/>
                <w:lang w:eastAsia="en-GB"/>
              </w:rPr>
              <w:t xml:space="preserve"> – because their employer will be required to offer them a suitable vacancy (not just invite them to apply for one)</w:t>
            </w:r>
            <w:r w:rsidRPr="001A69F6">
              <w:rPr>
                <w:sz w:val="22"/>
                <w:szCs w:val="22"/>
                <w:lang w:eastAsia="en-GB"/>
              </w:rPr>
              <w:t>.</w:t>
            </w:r>
          </w:p>
          <w:p w14:paraId="307AFB4E" w14:textId="02D2D9ED" w:rsidR="001C235F" w:rsidRPr="001A69F6" w:rsidRDefault="001C235F" w:rsidP="00CB7EA5">
            <w:pPr>
              <w:pStyle w:val="ListParagraph"/>
              <w:numPr>
                <w:ilvl w:val="0"/>
                <w:numId w:val="136"/>
              </w:numPr>
              <w:rPr>
                <w:rFonts w:cs="Arial"/>
                <w:sz w:val="22"/>
                <w:szCs w:val="22"/>
                <w:lang w:eastAsia="en-GB"/>
              </w:rPr>
            </w:pPr>
            <w:r w:rsidRPr="001A69F6">
              <w:rPr>
                <w:sz w:val="22"/>
                <w:szCs w:val="22"/>
                <w:lang w:eastAsia="en-GB"/>
              </w:rPr>
              <w:t>New parents returning to work after a</w:t>
            </w:r>
            <w:r w:rsidR="000B3855" w:rsidRPr="001A69F6">
              <w:rPr>
                <w:sz w:val="22"/>
                <w:szCs w:val="22"/>
                <w:lang w:eastAsia="en-GB"/>
              </w:rPr>
              <w:t>n agreed</w:t>
            </w:r>
            <w:r w:rsidRPr="001A69F6">
              <w:rPr>
                <w:sz w:val="22"/>
                <w:szCs w:val="22"/>
                <w:lang w:eastAsia="en-GB"/>
              </w:rPr>
              <w:t xml:space="preserve"> period of leav</w:t>
            </w:r>
            <w:r w:rsidR="000B3855" w:rsidRPr="001A69F6">
              <w:rPr>
                <w:sz w:val="22"/>
                <w:szCs w:val="22"/>
                <w:lang w:eastAsia="en-GB"/>
              </w:rPr>
              <w:t>e (to be defined)</w:t>
            </w:r>
            <w:r w:rsidRPr="001A69F6">
              <w:rPr>
                <w:sz w:val="22"/>
                <w:szCs w:val="22"/>
                <w:lang w:eastAsia="en-GB"/>
              </w:rPr>
              <w:t xml:space="preserve"> will receive the same additional </w:t>
            </w:r>
            <w:r w:rsidR="00A04849" w:rsidRPr="00A04849">
              <w:rPr>
                <w:sz w:val="22"/>
                <w:szCs w:val="22"/>
                <w:lang w:eastAsia="en-GB"/>
              </w:rPr>
              <w:t>protection</w:t>
            </w:r>
            <w:r w:rsidRPr="00A04849">
              <w:rPr>
                <w:sz w:val="22"/>
                <w:szCs w:val="22"/>
                <w:lang w:eastAsia="en-GB"/>
              </w:rPr>
              <w:t>.</w:t>
            </w:r>
          </w:p>
          <w:p w14:paraId="79079A27" w14:textId="1C2C7FEA" w:rsidR="001C235F" w:rsidRPr="001A69F6" w:rsidRDefault="001C235F" w:rsidP="00CB7EA5">
            <w:pPr>
              <w:pStyle w:val="ListParagraph"/>
              <w:numPr>
                <w:ilvl w:val="0"/>
                <w:numId w:val="136"/>
              </w:numPr>
              <w:rPr>
                <w:rFonts w:cs="Arial"/>
                <w:sz w:val="22"/>
                <w:szCs w:val="22"/>
                <w:lang w:eastAsia="en-GB"/>
              </w:rPr>
            </w:pPr>
            <w:r w:rsidRPr="001A69F6">
              <w:rPr>
                <w:sz w:val="22"/>
                <w:szCs w:val="22"/>
                <w:lang w:eastAsia="en-GB"/>
              </w:rPr>
              <w:t xml:space="preserve">This will challenge the perception that pregnant women and new parents should be first in line in a redundancy </w:t>
            </w:r>
            <w:r w:rsidRPr="001A69F6">
              <w:rPr>
                <w:rFonts w:cs="Arial"/>
                <w:sz w:val="22"/>
                <w:szCs w:val="22"/>
                <w:lang w:eastAsia="en-GB"/>
              </w:rPr>
              <w:t>situation</w:t>
            </w:r>
            <w:r w:rsidRPr="001A69F6">
              <w:rPr>
                <w:sz w:val="22"/>
                <w:szCs w:val="22"/>
                <w:lang w:eastAsia="en-GB"/>
              </w:rPr>
              <w:t>. In so doing, discrimination against pregnant women and new parents returning to work will become less pervasive in the workplace</w:t>
            </w:r>
            <w:r w:rsidR="007C056C" w:rsidRPr="001A69F6">
              <w:rPr>
                <w:sz w:val="22"/>
                <w:szCs w:val="22"/>
                <w:lang w:eastAsia="en-GB"/>
              </w:rPr>
              <w:t>.</w:t>
            </w:r>
          </w:p>
          <w:p w14:paraId="33B1BA90" w14:textId="77777777" w:rsidR="001C235F" w:rsidRPr="001A69F6" w:rsidRDefault="001C235F" w:rsidP="00CB7EA5">
            <w:pPr>
              <w:pStyle w:val="ListParagraph"/>
              <w:numPr>
                <w:ilvl w:val="0"/>
                <w:numId w:val="136"/>
              </w:numPr>
              <w:rPr>
                <w:rFonts w:cs="Arial"/>
                <w:sz w:val="22"/>
                <w:szCs w:val="22"/>
                <w:lang w:eastAsia="en-GB"/>
              </w:rPr>
            </w:pPr>
            <w:r w:rsidRPr="001A69F6">
              <w:rPr>
                <w:sz w:val="22"/>
                <w:szCs w:val="22"/>
                <w:lang w:eastAsia="en-GB"/>
              </w:rPr>
              <w:t>There will be a lower incidence of redundancies of pregnant women and new parents upon their return to work as employers are required to offer them (not just invite them to apply for) any suitable remaining roles.</w:t>
            </w:r>
          </w:p>
          <w:p w14:paraId="0C750B94" w14:textId="3F8A2505" w:rsidR="007F4FD7" w:rsidRPr="001A69F6" w:rsidRDefault="007F4FD7" w:rsidP="007F4FD7">
            <w:pPr>
              <w:pStyle w:val="ListParagraph"/>
              <w:numPr>
                <w:ilvl w:val="0"/>
                <w:numId w:val="136"/>
              </w:numPr>
              <w:rPr>
                <w:rFonts w:cs="Arial"/>
                <w:sz w:val="22"/>
                <w:szCs w:val="22"/>
                <w:lang w:eastAsia="en-GB"/>
              </w:rPr>
            </w:pPr>
            <w:r w:rsidRPr="001A69F6">
              <w:rPr>
                <w:rFonts w:cs="Arial"/>
                <w:sz w:val="22"/>
                <w:szCs w:val="22"/>
                <w:lang w:eastAsia="en-GB"/>
              </w:rPr>
              <w:t>Individuals will better understand their rights</w:t>
            </w:r>
            <w:r w:rsidR="00A04849">
              <w:rPr>
                <w:rFonts w:cs="Arial"/>
                <w:sz w:val="22"/>
                <w:szCs w:val="22"/>
                <w:lang w:eastAsia="en-GB"/>
              </w:rPr>
              <w:t xml:space="preserve"> </w:t>
            </w:r>
            <w:r w:rsidRPr="001A69F6">
              <w:rPr>
                <w:rFonts w:cs="Arial"/>
                <w:sz w:val="22"/>
                <w:szCs w:val="22"/>
                <w:lang w:eastAsia="en-GB"/>
              </w:rPr>
              <w:t xml:space="preserve">and find it easier to exercise </w:t>
            </w:r>
            <w:r w:rsidRPr="00A04849">
              <w:rPr>
                <w:rFonts w:cs="Arial"/>
                <w:sz w:val="22"/>
                <w:szCs w:val="22"/>
                <w:lang w:eastAsia="en-GB"/>
              </w:rPr>
              <w:t>them</w:t>
            </w:r>
            <w:r w:rsidRPr="00286344">
              <w:rPr>
                <w:rFonts w:cs="Arial"/>
                <w:b/>
                <w:bCs/>
                <w:color w:val="FF0000"/>
                <w:sz w:val="22"/>
                <w:szCs w:val="22"/>
                <w:lang w:eastAsia="en-GB"/>
              </w:rPr>
              <w:t xml:space="preserve"> </w:t>
            </w:r>
            <w:r w:rsidRPr="001A69F6">
              <w:rPr>
                <w:rFonts w:cs="Arial"/>
                <w:sz w:val="22"/>
                <w:szCs w:val="22"/>
                <w:lang w:eastAsia="en-GB"/>
              </w:rPr>
              <w:t>if any unlawful discrimination occurs as the redundancy protection will apply consistently from pregnancy through to a return to work period</w:t>
            </w:r>
            <w:r w:rsidR="002377E8" w:rsidRPr="001A69F6">
              <w:rPr>
                <w:rFonts w:cs="Arial"/>
                <w:sz w:val="22"/>
                <w:szCs w:val="22"/>
                <w:lang w:eastAsia="en-GB"/>
              </w:rPr>
              <w:t>.</w:t>
            </w:r>
            <w:r w:rsidRPr="001A69F6">
              <w:rPr>
                <w:rFonts w:cs="Arial"/>
                <w:sz w:val="22"/>
                <w:szCs w:val="22"/>
                <w:lang w:eastAsia="en-GB"/>
              </w:rPr>
              <w:t xml:space="preserve"> </w:t>
            </w:r>
          </w:p>
          <w:p w14:paraId="0149E797" w14:textId="6FCE1E1D" w:rsidR="007F4FD7" w:rsidRPr="001A69F6" w:rsidRDefault="007F4FD7" w:rsidP="007F4FD7">
            <w:pPr>
              <w:pStyle w:val="ListParagraph"/>
              <w:numPr>
                <w:ilvl w:val="0"/>
                <w:numId w:val="136"/>
              </w:numPr>
              <w:rPr>
                <w:rFonts w:cs="Arial"/>
                <w:sz w:val="22"/>
                <w:szCs w:val="22"/>
                <w:lang w:eastAsia="en-GB"/>
              </w:rPr>
            </w:pPr>
            <w:r w:rsidRPr="001A69F6">
              <w:rPr>
                <w:rFonts w:cs="Arial"/>
                <w:sz w:val="22"/>
                <w:szCs w:val="22"/>
                <w:lang w:eastAsia="en-GB"/>
              </w:rPr>
              <w:t>Businesses are aware of their obligations, and of their employees’ rights around unlawful discrimination. Greater consistency of redundancy protection for parents from pregnancy through to a return to work will make it easier for employers to understand and comply with their obligations</w:t>
            </w:r>
            <w:r w:rsidR="00A04849">
              <w:rPr>
                <w:rFonts w:cs="Arial"/>
                <w:sz w:val="22"/>
                <w:szCs w:val="22"/>
                <w:lang w:eastAsia="en-GB"/>
              </w:rPr>
              <w:t>.</w:t>
            </w:r>
          </w:p>
          <w:p w14:paraId="0BA5005E" w14:textId="77777777" w:rsidR="00797149" w:rsidRPr="001A69F6" w:rsidRDefault="00797149" w:rsidP="00332DC0">
            <w:pPr>
              <w:pStyle w:val="ListParagraph"/>
              <w:rPr>
                <w:rFonts w:cs="Arial"/>
                <w:sz w:val="20"/>
                <w:szCs w:val="20"/>
                <w:lang w:eastAsia="en-GB"/>
              </w:rPr>
            </w:pPr>
          </w:p>
          <w:p w14:paraId="4F95CCC2" w14:textId="77777777" w:rsidR="00207D34" w:rsidRPr="001A69F6" w:rsidRDefault="00207D34" w:rsidP="00275ED7">
            <w:pPr>
              <w:pStyle w:val="IATableLines"/>
              <w:ind w:left="0"/>
            </w:pPr>
          </w:p>
          <w:p w14:paraId="485E5205" w14:textId="77777777" w:rsidR="00FC5DBE" w:rsidRPr="001A69F6" w:rsidRDefault="00FC5DBE" w:rsidP="00E82A56">
            <w:pPr>
              <w:pStyle w:val="IATableLines"/>
            </w:pPr>
          </w:p>
          <w:p w14:paraId="79FD5BAF" w14:textId="124DA923" w:rsidR="00FC5DBE" w:rsidRPr="001A69F6" w:rsidRDefault="00FC5DBE" w:rsidP="00E82A56">
            <w:pPr>
              <w:pStyle w:val="IATableLines"/>
            </w:pPr>
          </w:p>
        </w:tc>
      </w:tr>
    </w:tbl>
    <w:p w14:paraId="042F89B7" w14:textId="77777777" w:rsidR="007208D9" w:rsidRPr="001A69F6" w:rsidRDefault="007208D9" w:rsidP="007208D9">
      <w:pPr>
        <w:pStyle w:val="IASpacer"/>
      </w:pPr>
    </w:p>
    <w:tbl>
      <w:tblPr>
        <w:tblW w:w="5067" w:type="pct"/>
        <w:tblInd w:w="-137"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10332"/>
      </w:tblGrid>
      <w:tr w:rsidR="00686F5E" w:rsidRPr="001A69F6" w14:paraId="2AF63F02" w14:textId="77777777" w:rsidTr="00950571">
        <w:trPr>
          <w:trHeight w:hRule="exact" w:val="2862"/>
        </w:trPr>
        <w:tc>
          <w:tcPr>
            <w:tcW w:w="10352" w:type="dxa"/>
            <w:tcBorders>
              <w:top w:val="single" w:sz="4" w:space="0" w:color="auto"/>
              <w:bottom w:val="single" w:sz="4" w:space="0" w:color="auto"/>
            </w:tcBorders>
          </w:tcPr>
          <w:p w14:paraId="2EC2EE06" w14:textId="77777777" w:rsidR="00686F5E" w:rsidRPr="001A69F6" w:rsidRDefault="00686F5E" w:rsidP="008369A3">
            <w:pPr>
              <w:pStyle w:val="IAIOQ3"/>
            </w:pPr>
            <w:bookmarkStart w:id="12" w:name="IAIOQ3"/>
            <w:bookmarkStart w:id="13" w:name="Summary3"/>
            <w:r w:rsidRPr="001A69F6">
              <w:t>What policy options have been considered</w:t>
            </w:r>
            <w:r w:rsidR="005D6EA8" w:rsidRPr="001A69F6">
              <w:t>, including any alternatives to regulation</w:t>
            </w:r>
            <w:r w:rsidRPr="001A69F6">
              <w:t>? Please justify preferred option (further details in Evidence Base)</w:t>
            </w:r>
            <w:bookmarkEnd w:id="12"/>
          </w:p>
          <w:p w14:paraId="61C18F0C" w14:textId="77777777" w:rsidR="00D50283" w:rsidRPr="001A69F6" w:rsidRDefault="008A447B">
            <w:pPr>
              <w:pStyle w:val="IATableLines"/>
            </w:pPr>
            <w:r w:rsidRPr="001A69F6">
              <w:t xml:space="preserve">Option 1: Do Nothing </w:t>
            </w:r>
          </w:p>
          <w:p w14:paraId="6E52E453" w14:textId="77777777" w:rsidR="008A447B" w:rsidRPr="001A69F6" w:rsidRDefault="008A447B">
            <w:pPr>
              <w:pStyle w:val="IATableLines"/>
            </w:pPr>
          </w:p>
          <w:p w14:paraId="302AB48A" w14:textId="77777777" w:rsidR="008A447B" w:rsidRPr="001A69F6" w:rsidRDefault="008A447B">
            <w:pPr>
              <w:pStyle w:val="IATableLines"/>
            </w:pPr>
            <w:r w:rsidRPr="001A69F6">
              <w:t xml:space="preserve">Option 2 : A non-legislative option that provides more effective advice and guidance to encourage employers to </w:t>
            </w:r>
            <w:r w:rsidR="00505A59" w:rsidRPr="001A69F6">
              <w:t xml:space="preserve">recognise </w:t>
            </w:r>
            <w:r w:rsidR="00D70C75" w:rsidRPr="001A69F6">
              <w:t xml:space="preserve">and address </w:t>
            </w:r>
            <w:r w:rsidR="00505A59" w:rsidRPr="001A69F6">
              <w:t>discrimination against pregnant women and new parent</w:t>
            </w:r>
            <w:r w:rsidR="00D70C75" w:rsidRPr="001A69F6">
              <w:t>s in the workplace</w:t>
            </w:r>
          </w:p>
          <w:p w14:paraId="13BEADAD" w14:textId="77777777" w:rsidR="00D70C75" w:rsidRPr="001A69F6" w:rsidRDefault="00D70C75">
            <w:pPr>
              <w:pStyle w:val="IATableLines"/>
            </w:pPr>
          </w:p>
          <w:p w14:paraId="07322D08" w14:textId="252462A5" w:rsidR="00D70C75" w:rsidRPr="001A69F6" w:rsidRDefault="00D70C75">
            <w:pPr>
              <w:pStyle w:val="IATableLines"/>
            </w:pPr>
            <w:r w:rsidRPr="001A69F6">
              <w:t xml:space="preserve">Option 3 (preferred): Extend redundancy protections </w:t>
            </w:r>
            <w:r w:rsidR="000F77F2" w:rsidRPr="001A69F6">
              <w:t xml:space="preserve">afforded under </w:t>
            </w:r>
            <w:r w:rsidR="00F14FDA" w:rsidRPr="001A69F6">
              <w:t xml:space="preserve">MAPLE 199 regulations beyond the maternity/adoption/shared parental leave period to pregnant women and those returning from maternity/adoption/shared parental leave for a </w:t>
            </w:r>
            <w:r w:rsidR="00F50A2C" w:rsidRPr="001A69F6">
              <w:t>blanket period of 18 months</w:t>
            </w:r>
            <w:r w:rsidR="00066311" w:rsidRPr="001A69F6">
              <w:t xml:space="preserve"> from chil</w:t>
            </w:r>
            <w:r w:rsidR="0017599C" w:rsidRPr="001A69F6">
              <w:t>d’s</w:t>
            </w:r>
            <w:r w:rsidR="00066311" w:rsidRPr="001A69F6">
              <w:t xml:space="preserve"> birth</w:t>
            </w:r>
            <w:r w:rsidR="00AE1BF7" w:rsidRPr="001A69F6">
              <w:t xml:space="preserve">. </w:t>
            </w:r>
            <w:r w:rsidR="00F14FDA" w:rsidRPr="001A69F6">
              <w:t xml:space="preserve"> </w:t>
            </w:r>
          </w:p>
        </w:tc>
      </w:tr>
    </w:tbl>
    <w:p w14:paraId="43DC04EC" w14:textId="77777777" w:rsidR="00686F5E" w:rsidRPr="001A69F6" w:rsidRDefault="00686F5E">
      <w:pPr>
        <w:pStyle w:val="IASpacer2"/>
      </w:pPr>
    </w:p>
    <w:tbl>
      <w:tblPr>
        <w:tblW w:w="5067"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0332"/>
      </w:tblGrid>
      <w:tr w:rsidR="00720FFE" w:rsidRPr="001A69F6" w14:paraId="53C97780" w14:textId="77777777" w:rsidTr="00950571">
        <w:tc>
          <w:tcPr>
            <w:tcW w:w="5000" w:type="pct"/>
          </w:tcPr>
          <w:p w14:paraId="6AB5995D" w14:textId="6D192387" w:rsidR="00720FFE" w:rsidRPr="001A69F6" w:rsidRDefault="00720FFE" w:rsidP="00332B05">
            <w:pPr>
              <w:pStyle w:val="IATableLabel"/>
              <w:rPr>
                <w:b w:val="0"/>
                <w:sz w:val="22"/>
                <w:szCs w:val="22"/>
              </w:rPr>
            </w:pPr>
            <w:r w:rsidRPr="001A69F6">
              <w:t xml:space="preserve">Will the policy be reviewed?  </w:t>
            </w:r>
            <w:r w:rsidRPr="001A69F6">
              <w:rPr>
                <w:b w:val="0"/>
                <w:sz w:val="22"/>
                <w:szCs w:val="22"/>
              </w:rPr>
              <w:t xml:space="preserve">It </w:t>
            </w:r>
            <w:r w:rsidR="00BC15DD" w:rsidRPr="001A69F6">
              <w:rPr>
                <w:rStyle w:val="IAIOPolicyReviewChar"/>
              </w:rPr>
              <w:t>will</w:t>
            </w:r>
            <w:r w:rsidRPr="001A69F6">
              <w:rPr>
                <w:b w:val="0"/>
                <w:sz w:val="22"/>
                <w:szCs w:val="22"/>
              </w:rPr>
              <w:t xml:space="preserve"> be reviewed.</w:t>
            </w:r>
            <w:r w:rsidRPr="001A69F6">
              <w:rPr>
                <w:sz w:val="22"/>
                <w:szCs w:val="22"/>
              </w:rPr>
              <w:t xml:space="preserve"> </w:t>
            </w:r>
            <w:r w:rsidRPr="001A69F6">
              <w:t xml:space="preserve"> If applicable, set review date:  </w:t>
            </w:r>
            <w:r w:rsidR="000C3FE2" w:rsidRPr="001A69F6">
              <w:rPr>
                <w:rStyle w:val="IAIOReviewYearChar"/>
                <w:szCs w:val="22"/>
              </w:rPr>
              <w:t>Da</w:t>
            </w:r>
            <w:r w:rsidR="000C3FE2" w:rsidRPr="001A69F6">
              <w:rPr>
                <w:rStyle w:val="IAIOReviewYearChar"/>
              </w:rPr>
              <w:t>te to be confirmed w</w:t>
            </w:r>
            <w:r w:rsidR="00991656" w:rsidRPr="001A69F6">
              <w:rPr>
                <w:rStyle w:val="IAIOReviewYearChar"/>
                <w:szCs w:val="22"/>
              </w:rPr>
              <w:t>hen the</w:t>
            </w:r>
            <w:r w:rsidR="000C3FE2" w:rsidRPr="001A69F6">
              <w:rPr>
                <w:rStyle w:val="IAIOReviewYearChar"/>
                <w:szCs w:val="22"/>
              </w:rPr>
              <w:t xml:space="preserve"> secondary legislation is laid.</w:t>
            </w:r>
          </w:p>
        </w:tc>
      </w:tr>
    </w:tbl>
    <w:p w14:paraId="72FA46DC" w14:textId="77777777" w:rsidR="007E190E" w:rsidRPr="001A69F6" w:rsidRDefault="007E190E" w:rsidP="007E190E">
      <w:pPr>
        <w:rPr>
          <w:vanish/>
        </w:rPr>
      </w:pPr>
      <w:bookmarkStart w:id="14" w:name="Summary4"/>
      <w:bookmarkEnd w:id="13"/>
    </w:p>
    <w:tbl>
      <w:tblPr>
        <w:tblW w:w="5000"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6318"/>
        <w:gridCol w:w="1087"/>
        <w:gridCol w:w="852"/>
        <w:gridCol w:w="343"/>
        <w:gridCol w:w="626"/>
        <w:gridCol w:w="969"/>
      </w:tblGrid>
      <w:tr w:rsidR="006656EC" w:rsidRPr="001A69F6" w14:paraId="49671DB3" w14:textId="77777777" w:rsidTr="00347039">
        <w:trPr>
          <w:trHeight w:hRule="exact" w:val="340"/>
        </w:trPr>
        <w:tc>
          <w:tcPr>
            <w:tcW w:w="7419" w:type="dxa"/>
            <w:gridSpan w:val="2"/>
            <w:shd w:val="clear" w:color="auto" w:fill="E0E0E0"/>
            <w:vAlign w:val="center"/>
          </w:tcPr>
          <w:p w14:paraId="067D4C34" w14:textId="77777777" w:rsidR="006656EC" w:rsidRPr="001A69F6" w:rsidRDefault="006656EC" w:rsidP="006A0557">
            <w:pPr>
              <w:pStyle w:val="IATableText"/>
              <w:spacing w:before="0" w:after="0"/>
              <w:rPr>
                <w:sz w:val="20"/>
              </w:rPr>
            </w:pPr>
            <w:r w:rsidRPr="001A69F6">
              <w:rPr>
                <w:iCs/>
                <w:sz w:val="20"/>
              </w:rPr>
              <w:t>Does implementation go beyond minimum EU requirements?</w:t>
            </w:r>
          </w:p>
        </w:tc>
        <w:tc>
          <w:tcPr>
            <w:tcW w:w="2796" w:type="dxa"/>
            <w:gridSpan w:val="4"/>
            <w:shd w:val="clear" w:color="auto" w:fill="E0E0E0"/>
            <w:vAlign w:val="center"/>
          </w:tcPr>
          <w:p w14:paraId="0FE1181F" w14:textId="35551E03" w:rsidR="006656EC" w:rsidRPr="001A69F6" w:rsidRDefault="00A56F4D" w:rsidP="00F91F5A">
            <w:pPr>
              <w:pStyle w:val="IAIOCheckEU"/>
            </w:pPr>
            <w:r w:rsidRPr="001A69F6">
              <w:t>No</w:t>
            </w:r>
          </w:p>
        </w:tc>
      </w:tr>
      <w:tr w:rsidR="002306B7" w:rsidRPr="001A69F6" w14:paraId="4DE31000" w14:textId="77777777" w:rsidTr="00347039">
        <w:trPr>
          <w:trHeight w:hRule="exact" w:val="340"/>
        </w:trPr>
        <w:tc>
          <w:tcPr>
            <w:tcW w:w="7419" w:type="dxa"/>
            <w:gridSpan w:val="2"/>
            <w:shd w:val="clear" w:color="auto" w:fill="E0E0E0"/>
            <w:vAlign w:val="center"/>
          </w:tcPr>
          <w:p w14:paraId="28194195" w14:textId="2E59AAFB" w:rsidR="002306B7" w:rsidRPr="001A69F6" w:rsidRDefault="0026604F" w:rsidP="002306B7">
            <w:pPr>
              <w:pStyle w:val="IATableText"/>
              <w:spacing w:before="0" w:after="0"/>
              <w:rPr>
                <w:iCs/>
                <w:sz w:val="20"/>
              </w:rPr>
            </w:pPr>
            <w:r w:rsidRPr="001A69F6">
              <w:rPr>
                <w:iCs/>
                <w:sz w:val="20"/>
              </w:rPr>
              <w:t xml:space="preserve">Is this measure likely to impact on </w:t>
            </w:r>
            <w:r w:rsidR="00430D68" w:rsidRPr="001A69F6">
              <w:rPr>
                <w:iCs/>
                <w:sz w:val="20"/>
              </w:rPr>
              <w:t xml:space="preserve">international </w:t>
            </w:r>
            <w:r w:rsidRPr="001A69F6">
              <w:rPr>
                <w:iCs/>
                <w:sz w:val="20"/>
              </w:rPr>
              <w:t xml:space="preserve">trade </w:t>
            </w:r>
            <w:r w:rsidR="00F4080E" w:rsidRPr="001A69F6">
              <w:rPr>
                <w:iCs/>
                <w:sz w:val="20"/>
              </w:rPr>
              <w:t>and</w:t>
            </w:r>
            <w:r w:rsidR="00A76ACC" w:rsidRPr="001A69F6">
              <w:rPr>
                <w:iCs/>
                <w:sz w:val="20"/>
              </w:rPr>
              <w:t xml:space="preserve"> investment?</w:t>
            </w:r>
            <w:r w:rsidR="00FF160F" w:rsidRPr="001A69F6">
              <w:rPr>
                <w:iCs/>
                <w:sz w:val="20"/>
              </w:rPr>
              <w:t xml:space="preserve"> </w:t>
            </w:r>
          </w:p>
        </w:tc>
        <w:tc>
          <w:tcPr>
            <w:tcW w:w="2796" w:type="dxa"/>
            <w:gridSpan w:val="4"/>
            <w:shd w:val="clear" w:color="auto" w:fill="E0E0E0"/>
            <w:vAlign w:val="center"/>
          </w:tcPr>
          <w:p w14:paraId="6BF5C067" w14:textId="4EEE8F56" w:rsidR="002306B7" w:rsidRPr="001A69F6" w:rsidRDefault="008879A0" w:rsidP="002306B7">
            <w:pPr>
              <w:pStyle w:val="IAIOCheckEU"/>
            </w:pPr>
            <w:r w:rsidRPr="001A69F6">
              <w:t>No</w:t>
            </w:r>
          </w:p>
        </w:tc>
      </w:tr>
      <w:tr w:rsidR="00AD5620" w:rsidRPr="001A69F6" w14:paraId="0FB4156D" w14:textId="77777777" w:rsidTr="00347039">
        <w:trPr>
          <w:trHeight w:val="460"/>
        </w:trPr>
        <w:tc>
          <w:tcPr>
            <w:tcW w:w="6330" w:type="dxa"/>
            <w:shd w:val="clear" w:color="auto" w:fill="E0E0E0"/>
            <w:vAlign w:val="center"/>
          </w:tcPr>
          <w:p w14:paraId="13EB3DF6" w14:textId="77777777" w:rsidR="00AD5620" w:rsidRPr="001A69F6" w:rsidRDefault="00AD5620" w:rsidP="00AD5620">
            <w:pPr>
              <w:pStyle w:val="IATableLines"/>
              <w:rPr>
                <w:b/>
                <w:color w:val="000000"/>
                <w:sz w:val="20"/>
              </w:rPr>
            </w:pPr>
            <w:r w:rsidRPr="001A69F6">
              <w:rPr>
                <w:rFonts w:cs="Arial"/>
                <w:sz w:val="20"/>
              </w:rPr>
              <w:t>Are any of these organisations in scope?</w:t>
            </w:r>
          </w:p>
        </w:tc>
        <w:tc>
          <w:tcPr>
            <w:tcW w:w="1089" w:type="dxa"/>
            <w:shd w:val="clear" w:color="auto" w:fill="E0E0E0"/>
            <w:vAlign w:val="center"/>
          </w:tcPr>
          <w:p w14:paraId="58FA0B8D" w14:textId="77777777" w:rsidR="00AD5620" w:rsidRPr="001A69F6" w:rsidRDefault="00AD5620" w:rsidP="00AD5620">
            <w:pPr>
              <w:pStyle w:val="IATableLines"/>
              <w:rPr>
                <w:rStyle w:val="IAIOCheckMicroChar"/>
                <w:b w:val="0"/>
                <w:sz w:val="20"/>
              </w:rPr>
            </w:pPr>
            <w:r w:rsidRPr="001A69F6">
              <w:rPr>
                <w:b/>
                <w:color w:val="000000"/>
                <w:sz w:val="20"/>
              </w:rPr>
              <w:t>Micro</w:t>
            </w:r>
          </w:p>
          <w:p w14:paraId="42B4C95A" w14:textId="6512C027" w:rsidR="00FA0394" w:rsidRPr="001A69F6" w:rsidRDefault="00FA0394" w:rsidP="00AD5620">
            <w:pPr>
              <w:pStyle w:val="IATableLines"/>
              <w:rPr>
                <w:b/>
                <w:color w:val="000000"/>
                <w:sz w:val="20"/>
              </w:rPr>
            </w:pPr>
            <w:r w:rsidRPr="001A69F6">
              <w:rPr>
                <w:rStyle w:val="IAIOCheckMicroChar"/>
                <w:b w:val="0"/>
              </w:rPr>
              <w:t>Yes</w:t>
            </w:r>
          </w:p>
        </w:tc>
        <w:tc>
          <w:tcPr>
            <w:tcW w:w="854" w:type="dxa"/>
            <w:shd w:val="clear" w:color="auto" w:fill="E0E0E0"/>
            <w:vAlign w:val="center"/>
          </w:tcPr>
          <w:p w14:paraId="51872205" w14:textId="77777777" w:rsidR="00AD5620" w:rsidRPr="001A69F6" w:rsidRDefault="00AD5620" w:rsidP="00AD5620">
            <w:pPr>
              <w:pStyle w:val="IATableLines"/>
              <w:rPr>
                <w:b/>
                <w:color w:val="000000"/>
                <w:sz w:val="20"/>
              </w:rPr>
            </w:pPr>
            <w:r w:rsidRPr="001A69F6">
              <w:rPr>
                <w:b/>
                <w:color w:val="000000"/>
                <w:sz w:val="20"/>
              </w:rPr>
              <w:t>Smal</w:t>
            </w:r>
            <w:bookmarkStart w:id="15" w:name="IACheckSmall"/>
            <w:r w:rsidR="00FA0394" w:rsidRPr="001A69F6">
              <w:rPr>
                <w:b/>
                <w:color w:val="000000"/>
                <w:sz w:val="20"/>
              </w:rPr>
              <w:t>l</w:t>
            </w:r>
            <w:bookmarkEnd w:id="15"/>
          </w:p>
          <w:p w14:paraId="2C9D6A5F" w14:textId="62E8D65F" w:rsidR="00FA0394" w:rsidRPr="001A69F6" w:rsidRDefault="00FA0394" w:rsidP="00AD5620">
            <w:pPr>
              <w:pStyle w:val="IATableLines"/>
              <w:rPr>
                <w:bCs/>
                <w:color w:val="000000"/>
                <w:sz w:val="20"/>
              </w:rPr>
            </w:pPr>
            <w:r w:rsidRPr="001A69F6">
              <w:rPr>
                <w:bCs/>
                <w:color w:val="000000"/>
                <w:sz w:val="20"/>
              </w:rPr>
              <w:t>Yes</w:t>
            </w:r>
          </w:p>
        </w:tc>
        <w:tc>
          <w:tcPr>
            <w:tcW w:w="971" w:type="dxa"/>
            <w:gridSpan w:val="2"/>
            <w:shd w:val="clear" w:color="auto" w:fill="E0E0E0"/>
            <w:vAlign w:val="center"/>
          </w:tcPr>
          <w:p w14:paraId="4275B85E" w14:textId="77777777" w:rsidR="00AD5620" w:rsidRPr="001A69F6" w:rsidRDefault="00AD5620" w:rsidP="00AD5620">
            <w:pPr>
              <w:pStyle w:val="IATableLines"/>
              <w:rPr>
                <w:rStyle w:val="IAIOCheckMediumChar"/>
                <w:b w:val="0"/>
              </w:rPr>
            </w:pPr>
            <w:r w:rsidRPr="001A69F6">
              <w:rPr>
                <w:b/>
                <w:color w:val="000000"/>
                <w:sz w:val="20"/>
              </w:rPr>
              <w:t>Medium</w:t>
            </w:r>
          </w:p>
          <w:p w14:paraId="2E068ED6" w14:textId="15D3F590" w:rsidR="00FA0394" w:rsidRPr="001A69F6" w:rsidRDefault="00FA0394" w:rsidP="00AD5620">
            <w:pPr>
              <w:pStyle w:val="IATableLines"/>
              <w:rPr>
                <w:b/>
                <w:color w:val="000000"/>
                <w:sz w:val="20"/>
              </w:rPr>
            </w:pPr>
            <w:r w:rsidRPr="001A69F6">
              <w:rPr>
                <w:rStyle w:val="IAIOCheckMediumChar"/>
                <w:b w:val="0"/>
              </w:rPr>
              <w:t>Yes</w:t>
            </w:r>
          </w:p>
        </w:tc>
        <w:tc>
          <w:tcPr>
            <w:tcW w:w="971" w:type="dxa"/>
            <w:shd w:val="clear" w:color="auto" w:fill="E0E0E0"/>
            <w:vAlign w:val="center"/>
          </w:tcPr>
          <w:p w14:paraId="0F60E702" w14:textId="77777777" w:rsidR="00AD5620" w:rsidRPr="001A69F6" w:rsidRDefault="00AD5620" w:rsidP="00AD5620">
            <w:pPr>
              <w:pStyle w:val="IATableLines"/>
              <w:rPr>
                <w:rStyle w:val="IAIOCheckLargeChar"/>
                <w:b w:val="0"/>
              </w:rPr>
            </w:pPr>
            <w:r w:rsidRPr="001A69F6">
              <w:rPr>
                <w:b/>
                <w:color w:val="000000"/>
                <w:sz w:val="20"/>
              </w:rPr>
              <w:t>Large</w:t>
            </w:r>
          </w:p>
          <w:p w14:paraId="4CA276CB" w14:textId="46973AEA" w:rsidR="00FA0394" w:rsidRPr="001A69F6" w:rsidRDefault="00FA0394" w:rsidP="00AD5620">
            <w:pPr>
              <w:pStyle w:val="IATableLines"/>
              <w:rPr>
                <w:b/>
                <w:color w:val="000000"/>
                <w:sz w:val="20"/>
              </w:rPr>
            </w:pPr>
            <w:r w:rsidRPr="001A69F6">
              <w:rPr>
                <w:rStyle w:val="IAIOCheckLargeChar"/>
                <w:b w:val="0"/>
              </w:rPr>
              <w:t>Yes</w:t>
            </w:r>
          </w:p>
        </w:tc>
      </w:tr>
      <w:tr w:rsidR="00AD5620" w:rsidRPr="001A69F6" w14:paraId="55B7B56B" w14:textId="77777777" w:rsidTr="00347039">
        <w:trPr>
          <w:trHeight w:hRule="exact" w:val="567"/>
        </w:trPr>
        <w:tc>
          <w:tcPr>
            <w:tcW w:w="7419" w:type="dxa"/>
            <w:gridSpan w:val="2"/>
            <w:shd w:val="clear" w:color="auto" w:fill="E0E0E0"/>
            <w:vAlign w:val="center"/>
          </w:tcPr>
          <w:p w14:paraId="0AA6BB9C" w14:textId="77777777" w:rsidR="00AD5620" w:rsidRPr="001A69F6" w:rsidRDefault="00AD5620" w:rsidP="00AD5620">
            <w:pPr>
              <w:pStyle w:val="IATableText"/>
              <w:spacing w:before="0" w:after="0"/>
              <w:rPr>
                <w:rFonts w:eastAsia="Times New Roman"/>
                <w:sz w:val="16"/>
                <w:szCs w:val="16"/>
              </w:rPr>
            </w:pPr>
            <w:r w:rsidRPr="001A69F6">
              <w:rPr>
                <w:rFonts w:cs="Arial"/>
                <w:sz w:val="20"/>
              </w:rPr>
              <w:t>What is the CO</w:t>
            </w:r>
            <w:r w:rsidRPr="001A69F6">
              <w:rPr>
                <w:rFonts w:cs="Arial"/>
                <w:sz w:val="20"/>
                <w:vertAlign w:val="subscript"/>
              </w:rPr>
              <w:t>2</w:t>
            </w:r>
            <w:r w:rsidRPr="001A69F6">
              <w:rPr>
                <w:rFonts w:cs="Arial"/>
                <w:sz w:val="20"/>
              </w:rPr>
              <w:t xml:space="preserve"> equivalent change in greenhouse gas emissions? </w:t>
            </w:r>
            <w:r w:rsidRPr="001A69F6">
              <w:rPr>
                <w:rFonts w:cs="Arial"/>
                <w:sz w:val="20"/>
              </w:rPr>
              <w:br/>
              <w:t>(Million tonnes CO</w:t>
            </w:r>
            <w:r w:rsidRPr="001A69F6">
              <w:rPr>
                <w:rFonts w:cs="Arial"/>
                <w:sz w:val="20"/>
                <w:vertAlign w:val="subscript"/>
              </w:rPr>
              <w:t>2</w:t>
            </w:r>
            <w:r w:rsidRPr="001A69F6">
              <w:rPr>
                <w:rFonts w:cs="Arial"/>
                <w:sz w:val="20"/>
              </w:rPr>
              <w:t xml:space="preserve"> equivalent)</w:t>
            </w:r>
            <w:r w:rsidRPr="001A69F6">
              <w:rPr>
                <w:spacing w:val="0"/>
                <w:sz w:val="18"/>
              </w:rPr>
              <w:t xml:space="preserve">  </w:t>
            </w:r>
          </w:p>
        </w:tc>
        <w:tc>
          <w:tcPr>
            <w:tcW w:w="1198" w:type="dxa"/>
            <w:gridSpan w:val="2"/>
            <w:shd w:val="clear" w:color="auto" w:fill="E0E0E0"/>
          </w:tcPr>
          <w:p w14:paraId="39780E50" w14:textId="0D9897A1" w:rsidR="00AD5620" w:rsidRPr="001A69F6" w:rsidRDefault="00AD5620" w:rsidP="00AD5620">
            <w:pPr>
              <w:pStyle w:val="IATableLabel"/>
            </w:pPr>
            <w:r w:rsidRPr="001A69F6">
              <w:t xml:space="preserve">Traded:   </w:t>
            </w:r>
            <w:r w:rsidRPr="001A69F6">
              <w:br/>
            </w:r>
            <w:r w:rsidR="00A56F4D" w:rsidRPr="001A69F6">
              <w:rPr>
                <w:rStyle w:val="IAIOCO2TradedChar"/>
                <w:sz w:val="20"/>
              </w:rPr>
              <w:t>N/A</w:t>
            </w:r>
          </w:p>
        </w:tc>
        <w:tc>
          <w:tcPr>
            <w:tcW w:w="1598" w:type="dxa"/>
            <w:gridSpan w:val="2"/>
            <w:shd w:val="clear" w:color="auto" w:fill="E0E0E0"/>
          </w:tcPr>
          <w:p w14:paraId="4DC9E735" w14:textId="431D34E1" w:rsidR="00AD5620" w:rsidRPr="001A69F6" w:rsidRDefault="00AD5620" w:rsidP="00AD5620">
            <w:pPr>
              <w:pStyle w:val="IATableLabel"/>
            </w:pPr>
            <w:r w:rsidRPr="001A69F6">
              <w:t xml:space="preserve">Non-traded:   </w:t>
            </w:r>
            <w:r w:rsidRPr="001A69F6">
              <w:br/>
            </w:r>
            <w:bookmarkStart w:id="16" w:name="IACO2NonTraded"/>
            <w:r w:rsidRPr="001A69F6">
              <w:rPr>
                <w:rStyle w:val="IAIOCO2TradedChar"/>
                <w:sz w:val="20"/>
              </w:rPr>
              <w:fldChar w:fldCharType="begin">
                <w:ffData>
                  <w:name w:val="IACO2NonTraded"/>
                  <w:enabled/>
                  <w:calcOnExit w:val="0"/>
                  <w:textInput>
                    <w:maxLength w:val="8"/>
                  </w:textInput>
                </w:ffData>
              </w:fldChar>
            </w:r>
            <w:r w:rsidRPr="001A69F6">
              <w:rPr>
                <w:rStyle w:val="IAIOCO2TradedChar"/>
                <w:sz w:val="20"/>
              </w:rPr>
              <w:instrText xml:space="preserve"> FORMTEXT </w:instrText>
            </w:r>
            <w:r w:rsidRPr="001A69F6">
              <w:rPr>
                <w:rStyle w:val="IAIOCO2TradedChar"/>
                <w:sz w:val="20"/>
              </w:rPr>
            </w:r>
            <w:r w:rsidRPr="001A69F6">
              <w:rPr>
                <w:rStyle w:val="IAIOCO2TradedChar"/>
                <w:sz w:val="20"/>
              </w:rPr>
              <w:fldChar w:fldCharType="separate"/>
            </w:r>
            <w:r w:rsidRPr="001A69F6">
              <w:rPr>
                <w:rStyle w:val="IAIOCO2TradedChar"/>
                <w:noProof/>
                <w:sz w:val="20"/>
              </w:rPr>
              <w:t> </w:t>
            </w:r>
            <w:r w:rsidRPr="001A69F6">
              <w:rPr>
                <w:rStyle w:val="IAIOCO2TradedChar"/>
                <w:noProof/>
                <w:sz w:val="20"/>
              </w:rPr>
              <w:t> </w:t>
            </w:r>
            <w:r w:rsidRPr="001A69F6">
              <w:rPr>
                <w:rStyle w:val="IAIOCO2TradedChar"/>
                <w:noProof/>
                <w:sz w:val="20"/>
              </w:rPr>
              <w:t> </w:t>
            </w:r>
            <w:r w:rsidRPr="001A69F6">
              <w:rPr>
                <w:rStyle w:val="IAIOCO2TradedChar"/>
                <w:noProof/>
                <w:sz w:val="20"/>
              </w:rPr>
              <w:t> </w:t>
            </w:r>
            <w:r w:rsidRPr="001A69F6">
              <w:rPr>
                <w:rStyle w:val="IAIOCO2TradedChar"/>
                <w:noProof/>
                <w:sz w:val="20"/>
              </w:rPr>
              <w:t> </w:t>
            </w:r>
            <w:r w:rsidRPr="001A69F6">
              <w:rPr>
                <w:rStyle w:val="IAIOCO2TradedChar"/>
                <w:sz w:val="20"/>
              </w:rPr>
              <w:fldChar w:fldCharType="end"/>
            </w:r>
            <w:bookmarkEnd w:id="16"/>
            <w:r w:rsidR="00A56F4D" w:rsidRPr="001A69F6">
              <w:rPr>
                <w:rStyle w:val="IAIOCO2TradedChar"/>
                <w:sz w:val="20"/>
              </w:rPr>
              <w:t>N/A</w:t>
            </w:r>
          </w:p>
        </w:tc>
      </w:tr>
    </w:tbl>
    <w:p w14:paraId="03B7A98F" w14:textId="77777777" w:rsidR="00452B35" w:rsidRPr="001A69F6" w:rsidRDefault="00452B35">
      <w:pPr>
        <w:pStyle w:val="IASign-off"/>
        <w:rPr>
          <w:sz w:val="20"/>
        </w:rPr>
      </w:pPr>
      <w:bookmarkStart w:id="17" w:name="SignOfftext"/>
      <w:bookmarkEnd w:id="14"/>
      <w:r w:rsidRPr="001A69F6">
        <w:rPr>
          <w:sz w:val="20"/>
        </w:rPr>
        <w:t>I have read the Impact Assessment and I am satisfied that, given the available evidence, it represents a reasonable view of the likely costs, benefits and impact of the leading options.</w:t>
      </w:r>
    </w:p>
    <w:tbl>
      <w:tblPr>
        <w:tblW w:w="5000" w:type="pct"/>
        <w:tblLayout w:type="fixed"/>
        <w:tblCellMar>
          <w:left w:w="0" w:type="dxa"/>
          <w:right w:w="0" w:type="dxa"/>
        </w:tblCellMar>
        <w:tblLook w:val="0000" w:firstRow="0" w:lastRow="0" w:firstColumn="0" w:lastColumn="0" w:noHBand="0" w:noVBand="0"/>
      </w:tblPr>
      <w:tblGrid>
        <w:gridCol w:w="4797"/>
        <w:gridCol w:w="2291"/>
        <w:gridCol w:w="1276"/>
        <w:gridCol w:w="1841"/>
      </w:tblGrid>
      <w:tr w:rsidR="00452B35" w:rsidRPr="001A69F6" w14:paraId="35748F33" w14:textId="77777777" w:rsidTr="008B0B60">
        <w:trPr>
          <w:trHeight w:hRule="exact" w:val="767"/>
        </w:trPr>
        <w:tc>
          <w:tcPr>
            <w:tcW w:w="2350" w:type="pct"/>
            <w:vAlign w:val="bottom"/>
          </w:tcPr>
          <w:p w14:paraId="37F084B4" w14:textId="51663898" w:rsidR="00452B35" w:rsidRPr="001A69F6" w:rsidRDefault="00452B35" w:rsidP="00A94548">
            <w:pPr>
              <w:pStyle w:val="IASignature"/>
              <w:tabs>
                <w:tab w:val="clear" w:pos="6804"/>
                <w:tab w:val="left" w:leader="dot" w:pos="7380"/>
              </w:tabs>
            </w:pPr>
            <w:r w:rsidRPr="001A69F6">
              <w:t>Signed by</w:t>
            </w:r>
            <w:r w:rsidR="00E16B30" w:rsidRPr="001A69F6">
              <w:rPr>
                <w:szCs w:val="22"/>
              </w:rPr>
              <w:t xml:space="preserve"> Jane Hunt MP, Parliamentary Under-Secretary of State at the Department for Business, Energy and Industrial Strategy:</w:t>
            </w:r>
          </w:p>
        </w:tc>
        <w:tc>
          <w:tcPr>
            <w:tcW w:w="1122" w:type="pct"/>
            <w:tcBorders>
              <w:bottom w:val="dashSmallGap" w:sz="4" w:space="0" w:color="auto"/>
            </w:tcBorders>
            <w:vAlign w:val="bottom"/>
          </w:tcPr>
          <w:p w14:paraId="211FB83F" w14:textId="67879A64" w:rsidR="00452B35" w:rsidRPr="001A69F6" w:rsidRDefault="00E16B30" w:rsidP="00C13EF0">
            <w:pPr>
              <w:pStyle w:val="IAIOtextSign"/>
            </w:pPr>
            <w:r w:rsidRPr="001A69F6">
              <w:rPr>
                <w:rFonts w:eastAsia="SimSun"/>
                <w:noProof/>
                <w:spacing w:val="-5"/>
                <w:sz w:val="22"/>
                <w:szCs w:val="22"/>
                <w:lang w:eastAsia="zh-CN"/>
              </w:rPr>
              <w:drawing>
                <wp:inline distT="0" distB="0" distL="0" distR="0" wp14:anchorId="583ADC2C" wp14:editId="651D68C3">
                  <wp:extent cx="568960" cy="5029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8960" cy="502920"/>
                          </a:xfrm>
                          <a:prstGeom prst="rect">
                            <a:avLst/>
                          </a:prstGeom>
                          <a:noFill/>
                          <a:ln>
                            <a:noFill/>
                          </a:ln>
                        </pic:spPr>
                      </pic:pic>
                    </a:graphicData>
                  </a:graphic>
                </wp:inline>
              </w:drawing>
            </w:r>
          </w:p>
        </w:tc>
        <w:tc>
          <w:tcPr>
            <w:tcW w:w="625" w:type="pct"/>
            <w:vAlign w:val="bottom"/>
          </w:tcPr>
          <w:p w14:paraId="58EC0DF8" w14:textId="77777777" w:rsidR="00452B35" w:rsidRPr="001A69F6" w:rsidRDefault="00452B35" w:rsidP="00C13EF0">
            <w:pPr>
              <w:pStyle w:val="IASignature"/>
              <w:tabs>
                <w:tab w:val="clear" w:pos="6804"/>
                <w:tab w:val="left" w:leader="dot" w:pos="7380"/>
              </w:tabs>
            </w:pPr>
            <w:r w:rsidRPr="001A69F6">
              <w:t> Date:</w:t>
            </w:r>
          </w:p>
        </w:tc>
        <w:tc>
          <w:tcPr>
            <w:tcW w:w="902" w:type="pct"/>
            <w:tcBorders>
              <w:bottom w:val="dashSmallGap" w:sz="4" w:space="0" w:color="auto"/>
            </w:tcBorders>
            <w:vAlign w:val="bottom"/>
          </w:tcPr>
          <w:p w14:paraId="72E0CF10" w14:textId="2BA0C9C8" w:rsidR="00452B35" w:rsidRPr="001A69F6" w:rsidRDefault="00E16B30" w:rsidP="00C13EF0">
            <w:pPr>
              <w:pStyle w:val="IAIOSigDate"/>
            </w:pPr>
            <w:bookmarkStart w:id="18" w:name="SigDate"/>
            <w:r w:rsidRPr="001A69F6">
              <w:t>31/08/2022</w:t>
            </w:r>
            <w:r w:rsidR="00452B35" w:rsidRPr="001A69F6">
              <w:fldChar w:fldCharType="begin">
                <w:ffData>
                  <w:name w:val="SigDate"/>
                  <w:enabled/>
                  <w:calcOnExit w:val="0"/>
                  <w:textInput/>
                </w:ffData>
              </w:fldChar>
            </w:r>
            <w:r w:rsidR="00452B35" w:rsidRPr="001A69F6">
              <w:instrText xml:space="preserve"> FORMTEXT </w:instrText>
            </w:r>
            <w:r w:rsidR="00452B35" w:rsidRPr="001A69F6">
              <w:fldChar w:fldCharType="separate"/>
            </w:r>
            <w:r w:rsidR="00C03042" w:rsidRPr="001A69F6">
              <w:t xml:space="preserve"> </w:t>
            </w:r>
            <w:r w:rsidR="00452B35" w:rsidRPr="001A69F6">
              <w:fldChar w:fldCharType="end"/>
            </w:r>
            <w:bookmarkEnd w:id="18"/>
          </w:p>
        </w:tc>
      </w:tr>
      <w:bookmarkEnd w:id="17"/>
    </w:tbl>
    <w:p w14:paraId="53A67111" w14:textId="77777777" w:rsidR="00F1328C" w:rsidRPr="001A69F6" w:rsidRDefault="00F1328C" w:rsidP="005A3880">
      <w:pPr>
        <w:pStyle w:val="Heading1"/>
        <w:spacing w:before="0"/>
        <w:sectPr w:rsidR="00F1328C" w:rsidRPr="001A69F6" w:rsidSect="007E5F1C">
          <w:headerReference w:type="even" r:id="rId12"/>
          <w:headerReference w:type="default" r:id="rId13"/>
          <w:footerReference w:type="even" r:id="rId14"/>
          <w:footerReference w:type="default" r:id="rId15"/>
          <w:headerReference w:type="first" r:id="rId16"/>
          <w:footerReference w:type="first" r:id="rId17"/>
          <w:footnotePr>
            <w:numRestart w:val="eachSect"/>
          </w:footnotePr>
          <w:type w:val="continuous"/>
          <w:pgSz w:w="11907" w:h="16840" w:code="9"/>
          <w:pgMar w:top="680" w:right="851" w:bottom="680" w:left="851" w:header="284" w:footer="284" w:gutter="0"/>
          <w:cols w:space="708"/>
          <w:docGrid w:linePitch="360"/>
        </w:sectPr>
      </w:pPr>
    </w:p>
    <w:p w14:paraId="334C7557" w14:textId="3C9E64C6" w:rsidR="001844B6" w:rsidRPr="001A69F6" w:rsidRDefault="001844B6" w:rsidP="005A3880">
      <w:pPr>
        <w:pStyle w:val="Heading1"/>
        <w:spacing w:before="0"/>
      </w:pPr>
      <w:r w:rsidRPr="001A69F6">
        <w:lastRenderedPageBreak/>
        <w:t>Summary: Analysis &amp; Evidence</w:t>
      </w:r>
      <w:r w:rsidRPr="001A69F6">
        <w:tab/>
      </w:r>
      <w:r w:rsidRPr="001A69F6">
        <w:rPr>
          <w:rFonts w:ascii="Arial" w:hAnsi="Arial"/>
          <w:b w:val="0"/>
          <w:bCs w:val="0"/>
        </w:rPr>
        <w:t xml:space="preserve">Policy Option </w:t>
      </w:r>
      <w:r w:rsidR="00AE7566" w:rsidRPr="001A69F6">
        <w:rPr>
          <w:rFonts w:ascii="Arial" w:hAnsi="Arial"/>
          <w:b w:val="0"/>
          <w:bCs w:val="0"/>
        </w:rPr>
        <w:t>3</w:t>
      </w:r>
    </w:p>
    <w:p w14:paraId="173E4E1E" w14:textId="77777777" w:rsidR="001844B6" w:rsidRPr="001A69F6" w:rsidRDefault="001844B6" w:rsidP="005A3880">
      <w:pPr>
        <w:pStyle w:val="IAHeadLabel"/>
        <w:spacing w:before="50"/>
      </w:pPr>
      <w:r w:rsidRPr="001A69F6">
        <w:t xml:space="preserve">Description:  </w:t>
      </w:r>
      <w:bookmarkStart w:id="19" w:name="Text70"/>
      <w:r w:rsidR="0071468E" w:rsidRPr="001A69F6">
        <w:rPr>
          <w:rStyle w:val="IAPODescriptionCharChar"/>
        </w:rPr>
        <w:fldChar w:fldCharType="begin">
          <w:ffData>
            <w:name w:val="Text70"/>
            <w:enabled/>
            <w:calcOnExit w:val="0"/>
            <w:textInput>
              <w:maxLength w:val="230"/>
            </w:textInput>
          </w:ffData>
        </w:fldChar>
      </w:r>
      <w:r w:rsidR="0071468E" w:rsidRPr="001A69F6">
        <w:rPr>
          <w:rStyle w:val="IAPODescriptionCharChar"/>
        </w:rPr>
        <w:instrText xml:space="preserve"> FORMTEXT </w:instrText>
      </w:r>
      <w:r w:rsidR="0071468E" w:rsidRPr="001A69F6">
        <w:rPr>
          <w:rStyle w:val="IAPODescriptionCharChar"/>
        </w:rPr>
      </w:r>
      <w:r w:rsidR="0071468E" w:rsidRPr="001A69F6">
        <w:rPr>
          <w:rStyle w:val="IAPODescriptionCharChar"/>
        </w:rPr>
        <w:fldChar w:fldCharType="separate"/>
      </w:r>
      <w:r w:rsidR="0071468E" w:rsidRPr="001A69F6">
        <w:rPr>
          <w:rStyle w:val="IAPODescriptionCharChar"/>
          <w:noProof/>
        </w:rPr>
        <w:t> </w:t>
      </w:r>
      <w:r w:rsidR="0071468E" w:rsidRPr="001A69F6">
        <w:rPr>
          <w:rStyle w:val="IAPODescriptionCharChar"/>
          <w:noProof/>
        </w:rPr>
        <w:t> </w:t>
      </w:r>
      <w:r w:rsidR="0071468E" w:rsidRPr="001A69F6">
        <w:rPr>
          <w:rStyle w:val="IAPODescriptionCharChar"/>
          <w:noProof/>
        </w:rPr>
        <w:t> </w:t>
      </w:r>
      <w:r w:rsidR="0071468E" w:rsidRPr="001A69F6">
        <w:rPr>
          <w:rStyle w:val="IAPODescriptionCharChar"/>
          <w:noProof/>
        </w:rPr>
        <w:t> </w:t>
      </w:r>
      <w:r w:rsidR="0071468E" w:rsidRPr="001A69F6">
        <w:rPr>
          <w:rStyle w:val="IAPODescriptionCharChar"/>
          <w:noProof/>
        </w:rPr>
        <w:t> </w:t>
      </w:r>
      <w:r w:rsidR="0071468E" w:rsidRPr="001A69F6">
        <w:rPr>
          <w:rStyle w:val="IAPODescriptionCharChar"/>
        </w:rPr>
        <w:fldChar w:fldCharType="end"/>
      </w:r>
      <w:bookmarkEnd w:id="19"/>
    </w:p>
    <w:p w14:paraId="4C47A1A0" w14:textId="77777777" w:rsidR="001844B6" w:rsidRPr="001A69F6" w:rsidRDefault="001844B6" w:rsidP="005A3880">
      <w:pPr>
        <w:pStyle w:val="IAHeadLabel"/>
        <w:spacing w:before="50"/>
      </w:pPr>
      <w:r w:rsidRPr="001A69F6">
        <w:t>FULL ECONOMIC ASSESSMENT</w:t>
      </w:r>
    </w:p>
    <w:tbl>
      <w:tblPr>
        <w:tblW w:w="5067" w:type="pct"/>
        <w:tblInd w:w="-1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1396"/>
        <w:gridCol w:w="1255"/>
        <w:gridCol w:w="1434"/>
        <w:gridCol w:w="1793"/>
        <w:gridCol w:w="1820"/>
        <w:gridCol w:w="2623"/>
      </w:tblGrid>
      <w:tr w:rsidR="001844B6" w:rsidRPr="001A69F6" w14:paraId="40269D48" w14:textId="77777777" w:rsidTr="00950571">
        <w:trPr>
          <w:trHeight w:hRule="exact" w:val="312"/>
        </w:trPr>
        <w:tc>
          <w:tcPr>
            <w:tcW w:w="1402" w:type="dxa"/>
            <w:vMerge w:val="restart"/>
          </w:tcPr>
          <w:p w14:paraId="5D7005E0" w14:textId="77777777" w:rsidR="0058024D" w:rsidRPr="001A69F6" w:rsidRDefault="001844B6" w:rsidP="005A3880">
            <w:pPr>
              <w:pStyle w:val="POPBY"/>
            </w:pPr>
            <w:r w:rsidRPr="001A69F6">
              <w:t xml:space="preserve">Price Base </w:t>
            </w:r>
          </w:p>
          <w:p w14:paraId="731050F6" w14:textId="4BC78259" w:rsidR="001844B6" w:rsidRPr="001A69F6" w:rsidRDefault="0058024D" w:rsidP="005A3880">
            <w:pPr>
              <w:pStyle w:val="POPBY"/>
            </w:pPr>
            <w:r w:rsidRPr="001A69F6">
              <w:t>202</w:t>
            </w:r>
            <w:r w:rsidR="002660BF" w:rsidRPr="001A69F6">
              <w:t>1</w:t>
            </w:r>
            <w:r w:rsidR="001844B6" w:rsidRPr="001A69F6">
              <w:t xml:space="preserve"> </w:t>
            </w:r>
            <w:r w:rsidR="001844B6" w:rsidRPr="001A69F6">
              <w:rPr>
                <w:b w:val="0"/>
              </w:rPr>
              <w:fldChar w:fldCharType="begin">
                <w:ffData>
                  <w:name w:val="Text55"/>
                  <w:enabled/>
                  <w:calcOnExit w:val="0"/>
                  <w:textInput>
                    <w:maxLength w:val="4"/>
                  </w:textInput>
                </w:ffData>
              </w:fldChar>
            </w:r>
            <w:r w:rsidR="001844B6" w:rsidRPr="001A69F6">
              <w:rPr>
                <w:b w:val="0"/>
              </w:rPr>
              <w:instrText xml:space="preserve"> FORMTEXT </w:instrText>
            </w:r>
            <w:r w:rsidR="001844B6" w:rsidRPr="001A69F6">
              <w:rPr>
                <w:b w:val="0"/>
              </w:rPr>
            </w:r>
            <w:r w:rsidR="001844B6" w:rsidRPr="001A69F6">
              <w:rPr>
                <w:b w:val="0"/>
              </w:rPr>
              <w:fldChar w:fldCharType="separate"/>
            </w:r>
            <w:r w:rsidR="001844B6" w:rsidRPr="001A69F6">
              <w:rPr>
                <w:b w:val="0"/>
                <w:noProof/>
              </w:rPr>
              <w:t> </w:t>
            </w:r>
            <w:r w:rsidR="001844B6" w:rsidRPr="001A69F6">
              <w:rPr>
                <w:b w:val="0"/>
                <w:noProof/>
              </w:rPr>
              <w:t> </w:t>
            </w:r>
            <w:r w:rsidR="001844B6" w:rsidRPr="001A69F6">
              <w:rPr>
                <w:b w:val="0"/>
                <w:noProof/>
              </w:rPr>
              <w:t> </w:t>
            </w:r>
            <w:r w:rsidR="001844B6" w:rsidRPr="001A69F6">
              <w:rPr>
                <w:b w:val="0"/>
                <w:noProof/>
              </w:rPr>
              <w:t> </w:t>
            </w:r>
            <w:r w:rsidR="001844B6" w:rsidRPr="001A69F6">
              <w:rPr>
                <w:b w:val="0"/>
              </w:rPr>
              <w:fldChar w:fldCharType="end"/>
            </w:r>
          </w:p>
        </w:tc>
        <w:tc>
          <w:tcPr>
            <w:tcW w:w="1260" w:type="dxa"/>
            <w:vMerge w:val="restart"/>
          </w:tcPr>
          <w:p w14:paraId="65762701" w14:textId="77777777" w:rsidR="0058024D" w:rsidRPr="001A69F6" w:rsidRDefault="001844B6" w:rsidP="005A3880">
            <w:pPr>
              <w:pStyle w:val="POPVBY"/>
            </w:pPr>
            <w:r w:rsidRPr="001A69F6">
              <w:t xml:space="preserve">PV Base </w:t>
            </w:r>
          </w:p>
          <w:p w14:paraId="53FEE567" w14:textId="4BB38090" w:rsidR="001844B6" w:rsidRPr="001A69F6" w:rsidRDefault="0058024D" w:rsidP="005A3880">
            <w:pPr>
              <w:pStyle w:val="POPVBY"/>
            </w:pPr>
            <w:r w:rsidRPr="001A69F6">
              <w:t>202</w:t>
            </w:r>
            <w:r w:rsidR="002660BF" w:rsidRPr="001A69F6">
              <w:t>4</w:t>
            </w:r>
            <w:r w:rsidR="001844B6" w:rsidRPr="001A69F6">
              <w:t xml:space="preserve">  </w:t>
            </w:r>
            <w:r w:rsidR="001844B6" w:rsidRPr="001A69F6">
              <w:rPr>
                <w:b w:val="0"/>
              </w:rPr>
              <w:fldChar w:fldCharType="begin">
                <w:ffData>
                  <w:name w:val="Text56"/>
                  <w:enabled/>
                  <w:calcOnExit w:val="0"/>
                  <w:textInput>
                    <w:maxLength w:val="4"/>
                  </w:textInput>
                </w:ffData>
              </w:fldChar>
            </w:r>
            <w:r w:rsidR="001844B6" w:rsidRPr="001A69F6">
              <w:rPr>
                <w:b w:val="0"/>
              </w:rPr>
              <w:instrText xml:space="preserve"> FORMTEXT </w:instrText>
            </w:r>
            <w:r w:rsidR="001844B6" w:rsidRPr="001A69F6">
              <w:rPr>
                <w:b w:val="0"/>
              </w:rPr>
            </w:r>
            <w:r w:rsidR="001844B6" w:rsidRPr="001A69F6">
              <w:rPr>
                <w:b w:val="0"/>
              </w:rPr>
              <w:fldChar w:fldCharType="separate"/>
            </w:r>
            <w:r w:rsidR="001844B6" w:rsidRPr="001A69F6">
              <w:rPr>
                <w:b w:val="0"/>
                <w:noProof/>
              </w:rPr>
              <w:t> </w:t>
            </w:r>
            <w:r w:rsidR="001844B6" w:rsidRPr="001A69F6">
              <w:rPr>
                <w:b w:val="0"/>
                <w:noProof/>
              </w:rPr>
              <w:t> </w:t>
            </w:r>
            <w:r w:rsidR="001844B6" w:rsidRPr="001A69F6">
              <w:rPr>
                <w:b w:val="0"/>
                <w:noProof/>
              </w:rPr>
              <w:t> </w:t>
            </w:r>
            <w:r w:rsidR="001844B6" w:rsidRPr="001A69F6">
              <w:rPr>
                <w:b w:val="0"/>
                <w:noProof/>
              </w:rPr>
              <w:t> </w:t>
            </w:r>
            <w:r w:rsidR="001844B6" w:rsidRPr="001A69F6">
              <w:rPr>
                <w:b w:val="0"/>
              </w:rPr>
              <w:fldChar w:fldCharType="end"/>
            </w:r>
          </w:p>
        </w:tc>
        <w:tc>
          <w:tcPr>
            <w:tcW w:w="1440" w:type="dxa"/>
            <w:vMerge w:val="restart"/>
            <w:tcBorders>
              <w:right w:val="single" w:sz="12" w:space="0" w:color="auto"/>
            </w:tcBorders>
          </w:tcPr>
          <w:p w14:paraId="74B379F4" w14:textId="6E2EBEFA" w:rsidR="001844B6" w:rsidRPr="001A69F6" w:rsidRDefault="001844B6" w:rsidP="005A3880">
            <w:pPr>
              <w:pStyle w:val="POTPY"/>
            </w:pPr>
            <w:r w:rsidRPr="001A69F6">
              <w:t xml:space="preserve">Time Period </w:t>
            </w:r>
            <w:r w:rsidR="0058024D" w:rsidRPr="001A69F6">
              <w:t>10</w:t>
            </w:r>
            <w:r w:rsidRPr="001A69F6">
              <w:t xml:space="preserve">  </w:t>
            </w:r>
            <w:r w:rsidRPr="001A69F6">
              <w:rPr>
                <w:b w:val="0"/>
              </w:rPr>
              <w:fldChar w:fldCharType="begin">
                <w:ffData>
                  <w:name w:val="Text57"/>
                  <w:enabled/>
                  <w:calcOnExit w:val="0"/>
                  <w:textInput>
                    <w:maxLength w:val="4"/>
                  </w:textInput>
                </w:ffData>
              </w:fldChar>
            </w:r>
            <w:r w:rsidRPr="001A69F6">
              <w:rPr>
                <w:b w:val="0"/>
              </w:rPr>
              <w:instrText xml:space="preserve"> FORMTEXT </w:instrText>
            </w:r>
            <w:r w:rsidRPr="001A69F6">
              <w:rPr>
                <w:b w:val="0"/>
              </w:rPr>
            </w:r>
            <w:r w:rsidRPr="001A69F6">
              <w:rPr>
                <w:b w:val="0"/>
              </w:rPr>
              <w:fldChar w:fldCharType="separate"/>
            </w:r>
            <w:r w:rsidRPr="001A69F6">
              <w:rPr>
                <w:b w:val="0"/>
                <w:noProof/>
              </w:rPr>
              <w:t> </w:t>
            </w:r>
            <w:r w:rsidRPr="001A69F6">
              <w:rPr>
                <w:b w:val="0"/>
                <w:noProof/>
              </w:rPr>
              <w:t> </w:t>
            </w:r>
            <w:r w:rsidRPr="001A69F6">
              <w:rPr>
                <w:b w:val="0"/>
                <w:noProof/>
              </w:rPr>
              <w:t> </w:t>
            </w:r>
            <w:r w:rsidRPr="001A69F6">
              <w:rPr>
                <w:b w:val="0"/>
                <w:noProof/>
              </w:rPr>
              <w:t> </w:t>
            </w:r>
            <w:r w:rsidRPr="001A69F6">
              <w:rPr>
                <w:b w:val="0"/>
              </w:rPr>
              <w:fldChar w:fldCharType="end"/>
            </w:r>
          </w:p>
        </w:tc>
        <w:tc>
          <w:tcPr>
            <w:tcW w:w="6260" w:type="dxa"/>
            <w:gridSpan w:val="3"/>
            <w:tcBorders>
              <w:top w:val="single" w:sz="12" w:space="0" w:color="auto"/>
              <w:left w:val="single" w:sz="12" w:space="0" w:color="auto"/>
              <w:right w:val="single" w:sz="12" w:space="0" w:color="auto"/>
            </w:tcBorders>
            <w:shd w:val="clear" w:color="auto" w:fill="FFFFFF"/>
          </w:tcPr>
          <w:p w14:paraId="245A882B" w14:textId="43C5C5B0" w:rsidR="001844B6" w:rsidRPr="001A69F6" w:rsidRDefault="001844B6" w:rsidP="007E190E">
            <w:pPr>
              <w:pStyle w:val="IATableLabel"/>
              <w:jc w:val="center"/>
            </w:pPr>
            <w:r w:rsidRPr="001A69F6">
              <w:t>Net Benefit (Present Value (PV)) (£</w:t>
            </w:r>
            <w:r w:rsidR="00B132A0" w:rsidRPr="001A69F6">
              <w:t>m</w:t>
            </w:r>
            <w:r w:rsidRPr="001A69F6">
              <w:t>)</w:t>
            </w:r>
          </w:p>
        </w:tc>
      </w:tr>
      <w:tr w:rsidR="001844B6" w:rsidRPr="001A69F6" w14:paraId="53A4C8BD" w14:textId="77777777" w:rsidTr="00950571">
        <w:trPr>
          <w:trHeight w:hRule="exact" w:val="340"/>
        </w:trPr>
        <w:tc>
          <w:tcPr>
            <w:tcW w:w="1402" w:type="dxa"/>
            <w:vMerge/>
          </w:tcPr>
          <w:p w14:paraId="246CADD2" w14:textId="77777777" w:rsidR="001844B6" w:rsidRPr="001A69F6" w:rsidRDefault="001844B6" w:rsidP="007E190E">
            <w:pPr>
              <w:pStyle w:val="IATableNotes"/>
              <w:ind w:left="0"/>
              <w:rPr>
                <w:b/>
                <w:sz w:val="20"/>
              </w:rPr>
            </w:pPr>
          </w:p>
        </w:tc>
        <w:tc>
          <w:tcPr>
            <w:tcW w:w="1260" w:type="dxa"/>
            <w:vMerge/>
          </w:tcPr>
          <w:p w14:paraId="785522E2" w14:textId="77777777" w:rsidR="001844B6" w:rsidRPr="001A69F6" w:rsidRDefault="001844B6" w:rsidP="007E190E">
            <w:pPr>
              <w:pStyle w:val="IATableNotes"/>
              <w:ind w:left="0"/>
              <w:rPr>
                <w:b/>
                <w:sz w:val="20"/>
              </w:rPr>
            </w:pPr>
          </w:p>
        </w:tc>
        <w:tc>
          <w:tcPr>
            <w:tcW w:w="1440" w:type="dxa"/>
            <w:vMerge/>
            <w:tcBorders>
              <w:right w:val="single" w:sz="12" w:space="0" w:color="auto"/>
            </w:tcBorders>
          </w:tcPr>
          <w:p w14:paraId="752830E2" w14:textId="77777777" w:rsidR="001844B6" w:rsidRPr="001A69F6" w:rsidRDefault="001844B6" w:rsidP="007E190E">
            <w:pPr>
              <w:pStyle w:val="IATableNotes"/>
              <w:ind w:left="0"/>
              <w:rPr>
                <w:b/>
                <w:sz w:val="20"/>
              </w:rPr>
            </w:pPr>
          </w:p>
        </w:tc>
        <w:tc>
          <w:tcPr>
            <w:tcW w:w="1800" w:type="dxa"/>
            <w:tcBorders>
              <w:left w:val="single" w:sz="12" w:space="0" w:color="auto"/>
              <w:bottom w:val="single" w:sz="12" w:space="0" w:color="auto"/>
            </w:tcBorders>
          </w:tcPr>
          <w:p w14:paraId="21E846D0" w14:textId="162F6652" w:rsidR="001844B6" w:rsidRPr="001A69F6" w:rsidRDefault="001844B6" w:rsidP="005A3880">
            <w:pPr>
              <w:pStyle w:val="IATableLabel"/>
              <w:rPr>
                <w:bCs/>
              </w:rPr>
            </w:pPr>
            <w:r w:rsidRPr="001A69F6">
              <w:t>Low:</w:t>
            </w:r>
            <w:r w:rsidR="00BC1BDC" w:rsidRPr="001A69F6">
              <w:t xml:space="preserve"> </w:t>
            </w:r>
          </w:p>
        </w:tc>
        <w:tc>
          <w:tcPr>
            <w:tcW w:w="1827" w:type="dxa"/>
            <w:tcBorders>
              <w:bottom w:val="single" w:sz="12" w:space="0" w:color="auto"/>
              <w:right w:val="single" w:sz="12" w:space="0" w:color="auto"/>
            </w:tcBorders>
          </w:tcPr>
          <w:p w14:paraId="66F16503" w14:textId="6AA5E5EA" w:rsidR="001844B6" w:rsidRPr="001A69F6" w:rsidRDefault="001844B6" w:rsidP="005A3880">
            <w:pPr>
              <w:pStyle w:val="IATableLabel"/>
              <w:rPr>
                <w:rFonts w:cs="Arial"/>
                <w:bCs/>
                <w:szCs w:val="18"/>
              </w:rPr>
            </w:pPr>
            <w:r w:rsidRPr="001A69F6">
              <w:t>High:</w:t>
            </w:r>
            <w:r w:rsidR="00BC1BDC" w:rsidRPr="001A69F6">
              <w:t xml:space="preserve"> </w:t>
            </w:r>
          </w:p>
        </w:tc>
        <w:tc>
          <w:tcPr>
            <w:tcW w:w="2633" w:type="dxa"/>
            <w:tcBorders>
              <w:top w:val="single" w:sz="12" w:space="0" w:color="auto"/>
              <w:left w:val="single" w:sz="12" w:space="0" w:color="auto"/>
              <w:bottom w:val="single" w:sz="12" w:space="0" w:color="auto"/>
              <w:right w:val="single" w:sz="12" w:space="0" w:color="auto"/>
            </w:tcBorders>
            <w:shd w:val="clear" w:color="auto" w:fill="FFFFFF"/>
          </w:tcPr>
          <w:p w14:paraId="55BD20EB" w14:textId="07524B44" w:rsidR="001844B6" w:rsidRPr="001A69F6" w:rsidRDefault="001844B6" w:rsidP="005A3880">
            <w:pPr>
              <w:pStyle w:val="IATableLabel"/>
              <w:rPr>
                <w:szCs w:val="18"/>
              </w:rPr>
            </w:pPr>
            <w:r w:rsidRPr="001A69F6">
              <w:t xml:space="preserve">Best Estimate: </w:t>
            </w:r>
            <w:r w:rsidR="00F02F04" w:rsidRPr="001A69F6">
              <w:t>£</w:t>
            </w:r>
            <w:r w:rsidR="00310319" w:rsidRPr="001A69F6">
              <w:t>-</w:t>
            </w:r>
            <w:r w:rsidR="0058545B" w:rsidRPr="001A69F6">
              <w:t>22</w:t>
            </w:r>
            <w:r w:rsidR="00310319" w:rsidRPr="001A69F6">
              <w:t>.</w:t>
            </w:r>
            <w:r w:rsidR="0058545B" w:rsidRPr="001A69F6">
              <w:t>6</w:t>
            </w:r>
            <w:r w:rsidR="00841239" w:rsidRPr="001A69F6">
              <w:t>m</w:t>
            </w:r>
            <w:r w:rsidR="003A4234" w:rsidRPr="001A69F6">
              <w:t>*</w:t>
            </w:r>
          </w:p>
        </w:tc>
      </w:tr>
    </w:tbl>
    <w:p w14:paraId="73B5CDAE" w14:textId="77777777" w:rsidR="001844B6" w:rsidRPr="001A69F6" w:rsidRDefault="001844B6" w:rsidP="005A3880">
      <w:pPr>
        <w:pStyle w:val="IASpacer"/>
      </w:pPr>
    </w:p>
    <w:tbl>
      <w:tblPr>
        <w:tblW w:w="5062" w:type="pct"/>
        <w:tblInd w:w="-12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0" w:type="dxa"/>
          <w:right w:w="0" w:type="dxa"/>
        </w:tblCellMar>
        <w:tblLook w:val="01E0" w:firstRow="1" w:lastRow="1" w:firstColumn="1" w:lastColumn="1" w:noHBand="0" w:noVBand="0"/>
      </w:tblPr>
      <w:tblGrid>
        <w:gridCol w:w="2110"/>
        <w:gridCol w:w="1938"/>
        <w:gridCol w:w="785"/>
        <w:gridCol w:w="2848"/>
        <w:gridCol w:w="1765"/>
        <w:gridCol w:w="855"/>
      </w:tblGrid>
      <w:tr w:rsidR="001844B6" w:rsidRPr="001A69F6" w14:paraId="61FD520F" w14:textId="77777777" w:rsidTr="00950571">
        <w:trPr>
          <w:trHeight w:hRule="exact" w:val="567"/>
        </w:trPr>
        <w:tc>
          <w:tcPr>
            <w:tcW w:w="2122" w:type="dxa"/>
            <w:tcBorders>
              <w:top w:val="single" w:sz="12" w:space="0" w:color="auto"/>
            </w:tcBorders>
            <w:shd w:val="clear" w:color="auto" w:fill="FFFFFF"/>
          </w:tcPr>
          <w:p w14:paraId="20A06FF1" w14:textId="77777777" w:rsidR="001844B6" w:rsidRPr="001A69F6" w:rsidRDefault="001844B6" w:rsidP="005A3880">
            <w:pPr>
              <w:pStyle w:val="IATableLabel"/>
              <w:rPr>
                <w:sz w:val="24"/>
                <w:szCs w:val="24"/>
              </w:rPr>
            </w:pPr>
            <w:r w:rsidRPr="001A69F6">
              <w:rPr>
                <w:sz w:val="24"/>
                <w:szCs w:val="24"/>
              </w:rPr>
              <w:t>COSTS (£m)</w:t>
            </w:r>
          </w:p>
        </w:tc>
        <w:tc>
          <w:tcPr>
            <w:tcW w:w="2739" w:type="dxa"/>
            <w:gridSpan w:val="2"/>
            <w:tcBorders>
              <w:top w:val="single" w:sz="12" w:space="0" w:color="auto"/>
            </w:tcBorders>
          </w:tcPr>
          <w:p w14:paraId="45F34166" w14:textId="77777777" w:rsidR="001844B6" w:rsidRPr="001A69F6" w:rsidRDefault="001844B6" w:rsidP="007E190E">
            <w:pPr>
              <w:pStyle w:val="IATableLabel"/>
              <w:tabs>
                <w:tab w:val="right" w:pos="1800"/>
                <w:tab w:val="center" w:pos="2340"/>
              </w:tabs>
              <w:jc w:val="right"/>
            </w:pPr>
            <w:r w:rsidRPr="001A69F6">
              <w:t xml:space="preserve">Total Transition </w:t>
            </w:r>
            <w:r w:rsidRPr="001A69F6">
              <w:br/>
            </w:r>
            <w:r w:rsidRPr="001A69F6">
              <w:tab/>
            </w:r>
            <w:r w:rsidRPr="001A69F6">
              <w:rPr>
                <w:b w:val="0"/>
                <w:sz w:val="18"/>
                <w:szCs w:val="18"/>
              </w:rPr>
              <w:t>(Constant Price)</w:t>
            </w:r>
            <w:r w:rsidRPr="001A69F6">
              <w:tab/>
            </w:r>
            <w:r w:rsidRPr="001A69F6">
              <w:rPr>
                <w:b w:val="0"/>
                <w:sz w:val="18"/>
                <w:szCs w:val="18"/>
              </w:rPr>
              <w:t>Yea</w:t>
            </w:r>
            <w:r w:rsidRPr="001A69F6">
              <w:rPr>
                <w:b w:val="0"/>
                <w:bCs/>
                <w:sz w:val="18"/>
                <w:szCs w:val="18"/>
              </w:rPr>
              <w:t>r</w:t>
            </w:r>
            <w:r w:rsidRPr="001A69F6">
              <w:rPr>
                <w:b w:val="0"/>
                <w:sz w:val="18"/>
                <w:szCs w:val="18"/>
              </w:rPr>
              <w:t>s</w:t>
            </w:r>
          </w:p>
          <w:p w14:paraId="2020BF85" w14:textId="77777777" w:rsidR="001844B6" w:rsidRPr="001A69F6" w:rsidRDefault="001844B6" w:rsidP="007E190E">
            <w:pPr>
              <w:pStyle w:val="IATableLabel"/>
              <w:jc w:val="right"/>
            </w:pPr>
            <w:r w:rsidRPr="001A69F6">
              <w:br/>
            </w:r>
          </w:p>
        </w:tc>
        <w:tc>
          <w:tcPr>
            <w:tcW w:w="2865" w:type="dxa"/>
            <w:tcBorders>
              <w:top w:val="single" w:sz="12" w:space="0" w:color="auto"/>
              <w:right w:val="single" w:sz="12" w:space="0" w:color="auto"/>
            </w:tcBorders>
          </w:tcPr>
          <w:p w14:paraId="23602683" w14:textId="77777777" w:rsidR="001844B6" w:rsidRPr="001A69F6" w:rsidRDefault="001844B6" w:rsidP="007E190E">
            <w:pPr>
              <w:pStyle w:val="IATableLabel"/>
              <w:jc w:val="right"/>
              <w:rPr>
                <w:rFonts w:cs="Arial"/>
                <w:bCs/>
              </w:rPr>
            </w:pPr>
            <w:r w:rsidRPr="001A69F6">
              <w:t xml:space="preserve">Average Annual </w:t>
            </w:r>
            <w:r w:rsidRPr="001A69F6">
              <w:br/>
            </w:r>
            <w:r w:rsidRPr="001A69F6">
              <w:rPr>
                <w:b w:val="0"/>
                <w:sz w:val="18"/>
                <w:szCs w:val="18"/>
              </w:rPr>
              <w:t xml:space="preserve">(excl. Transition) </w:t>
            </w:r>
            <w:r w:rsidRPr="001A69F6">
              <w:rPr>
                <w:rFonts w:cs="Arial"/>
                <w:b w:val="0"/>
                <w:bCs/>
                <w:sz w:val="18"/>
                <w:szCs w:val="18"/>
              </w:rPr>
              <w:t>(Constant Price)</w:t>
            </w:r>
          </w:p>
        </w:tc>
        <w:tc>
          <w:tcPr>
            <w:tcW w:w="2636" w:type="dxa"/>
            <w:gridSpan w:val="2"/>
            <w:tcBorders>
              <w:top w:val="single" w:sz="12" w:space="0" w:color="auto"/>
              <w:left w:val="single" w:sz="12" w:space="0" w:color="auto"/>
            </w:tcBorders>
          </w:tcPr>
          <w:p w14:paraId="3AB23739" w14:textId="77777777" w:rsidR="001844B6" w:rsidRPr="001A69F6" w:rsidRDefault="001844B6" w:rsidP="007E190E">
            <w:pPr>
              <w:pStyle w:val="IATableLabel"/>
              <w:jc w:val="right"/>
            </w:pPr>
            <w:r w:rsidRPr="001A69F6">
              <w:t>Total Cost</w:t>
            </w:r>
            <w:r w:rsidRPr="001A69F6">
              <w:rPr>
                <w:b w:val="0"/>
                <w:sz w:val="18"/>
                <w:szCs w:val="18"/>
              </w:rPr>
              <w:t xml:space="preserve"> </w:t>
            </w:r>
            <w:r w:rsidRPr="001A69F6">
              <w:rPr>
                <w:b w:val="0"/>
                <w:sz w:val="18"/>
                <w:szCs w:val="18"/>
              </w:rPr>
              <w:br/>
              <w:t>(Present Value)</w:t>
            </w:r>
          </w:p>
        </w:tc>
      </w:tr>
      <w:tr w:rsidR="001844B6" w:rsidRPr="001A69F6" w14:paraId="4458011D" w14:textId="77777777" w:rsidTr="00950571">
        <w:trPr>
          <w:trHeight w:hRule="exact" w:val="348"/>
        </w:trPr>
        <w:tc>
          <w:tcPr>
            <w:tcW w:w="2122" w:type="dxa"/>
            <w:vAlign w:val="center"/>
          </w:tcPr>
          <w:p w14:paraId="4E41E6CF" w14:textId="77777777" w:rsidR="001844B6" w:rsidRPr="001A69F6" w:rsidRDefault="001844B6" w:rsidP="005A3880">
            <w:pPr>
              <w:pStyle w:val="IATableLabel"/>
            </w:pPr>
            <w:r w:rsidRPr="001A69F6">
              <w:t xml:space="preserve">Low </w:t>
            </w:r>
          </w:p>
        </w:tc>
        <w:tc>
          <w:tcPr>
            <w:tcW w:w="1949" w:type="dxa"/>
            <w:vAlign w:val="center"/>
          </w:tcPr>
          <w:p w14:paraId="5140797A" w14:textId="119244F1" w:rsidR="001844B6" w:rsidRPr="001A69F6" w:rsidRDefault="001844B6" w:rsidP="005A3880">
            <w:pPr>
              <w:pStyle w:val="POTTCostsLow"/>
              <w:rPr>
                <w:sz w:val="20"/>
              </w:rPr>
            </w:pPr>
          </w:p>
        </w:tc>
        <w:tc>
          <w:tcPr>
            <w:tcW w:w="790" w:type="dxa"/>
            <w:vMerge w:val="restart"/>
            <w:vAlign w:val="center"/>
          </w:tcPr>
          <w:p w14:paraId="318114D6" w14:textId="77777777" w:rsidR="001844B6" w:rsidRPr="001A69F6" w:rsidRDefault="001844B6" w:rsidP="005A3880">
            <w:pPr>
              <w:pStyle w:val="POTTCostsYear"/>
              <w:rPr>
                <w:sz w:val="20"/>
                <w:szCs w:val="20"/>
              </w:rPr>
            </w:pPr>
            <w:r w:rsidRPr="001A69F6">
              <w:rPr>
                <w:sz w:val="20"/>
                <w:szCs w:val="20"/>
              </w:rPr>
              <w:fldChar w:fldCharType="begin">
                <w:ffData>
                  <w:name w:val="Text48"/>
                  <w:enabled/>
                  <w:calcOnExit w:val="0"/>
                  <w:textInput>
                    <w:maxLength w:val="3"/>
                  </w:textInput>
                </w:ffData>
              </w:fldChar>
            </w:r>
            <w:r w:rsidRPr="001A69F6">
              <w:rPr>
                <w:sz w:val="20"/>
                <w:szCs w:val="20"/>
              </w:rPr>
              <w:instrText xml:space="preserve"> FORMTEXT </w:instrText>
            </w:r>
            <w:r w:rsidRPr="001A69F6">
              <w:rPr>
                <w:sz w:val="20"/>
                <w:szCs w:val="20"/>
              </w:rPr>
            </w:r>
            <w:r w:rsidRPr="001A69F6">
              <w:rPr>
                <w:sz w:val="20"/>
                <w:szCs w:val="20"/>
              </w:rPr>
              <w:fldChar w:fldCharType="separate"/>
            </w:r>
            <w:r w:rsidRPr="001A69F6">
              <w:rPr>
                <w:noProof/>
                <w:sz w:val="20"/>
                <w:szCs w:val="20"/>
              </w:rPr>
              <w:t> </w:t>
            </w:r>
            <w:r w:rsidRPr="001A69F6">
              <w:rPr>
                <w:noProof/>
                <w:sz w:val="20"/>
                <w:szCs w:val="20"/>
              </w:rPr>
              <w:t> </w:t>
            </w:r>
            <w:r w:rsidRPr="001A69F6">
              <w:rPr>
                <w:noProof/>
                <w:sz w:val="20"/>
                <w:szCs w:val="20"/>
              </w:rPr>
              <w:t> </w:t>
            </w:r>
            <w:r w:rsidRPr="001A69F6">
              <w:rPr>
                <w:sz w:val="20"/>
                <w:szCs w:val="20"/>
              </w:rPr>
              <w:fldChar w:fldCharType="end"/>
            </w:r>
          </w:p>
        </w:tc>
        <w:tc>
          <w:tcPr>
            <w:tcW w:w="2865" w:type="dxa"/>
            <w:tcBorders>
              <w:right w:val="single" w:sz="12" w:space="0" w:color="auto"/>
            </w:tcBorders>
            <w:vAlign w:val="center"/>
          </w:tcPr>
          <w:p w14:paraId="40093593" w14:textId="77904B72" w:rsidR="001844B6" w:rsidRPr="001A69F6" w:rsidRDefault="001844B6" w:rsidP="00EC6C40">
            <w:pPr>
              <w:pStyle w:val="POAACostsLow"/>
              <w:rPr>
                <w:sz w:val="20"/>
              </w:rPr>
            </w:pPr>
          </w:p>
        </w:tc>
        <w:tc>
          <w:tcPr>
            <w:tcW w:w="2636" w:type="dxa"/>
            <w:gridSpan w:val="2"/>
            <w:tcBorders>
              <w:left w:val="single" w:sz="12" w:space="0" w:color="auto"/>
            </w:tcBorders>
            <w:vAlign w:val="center"/>
          </w:tcPr>
          <w:p w14:paraId="3C592E75" w14:textId="7E089FD4" w:rsidR="001844B6" w:rsidRPr="001A69F6" w:rsidRDefault="001844B6" w:rsidP="00EC6C40">
            <w:pPr>
              <w:pStyle w:val="POTCCostsLow"/>
              <w:rPr>
                <w:sz w:val="20"/>
              </w:rPr>
            </w:pPr>
          </w:p>
        </w:tc>
      </w:tr>
      <w:tr w:rsidR="001844B6" w:rsidRPr="001A69F6" w14:paraId="2A188929" w14:textId="77777777" w:rsidTr="00950571">
        <w:trPr>
          <w:trHeight w:hRule="exact" w:val="348"/>
        </w:trPr>
        <w:tc>
          <w:tcPr>
            <w:tcW w:w="2122" w:type="dxa"/>
            <w:tcBorders>
              <w:bottom w:val="single" w:sz="12" w:space="0" w:color="auto"/>
            </w:tcBorders>
            <w:vAlign w:val="center"/>
          </w:tcPr>
          <w:p w14:paraId="7F2FA1BA" w14:textId="77777777" w:rsidR="001844B6" w:rsidRPr="001A69F6" w:rsidRDefault="001844B6" w:rsidP="005A3880">
            <w:pPr>
              <w:pStyle w:val="IATableLabel"/>
            </w:pPr>
            <w:r w:rsidRPr="001A69F6">
              <w:t xml:space="preserve">High </w:t>
            </w:r>
          </w:p>
        </w:tc>
        <w:tc>
          <w:tcPr>
            <w:tcW w:w="1949" w:type="dxa"/>
            <w:tcBorders>
              <w:bottom w:val="single" w:sz="12" w:space="0" w:color="auto"/>
            </w:tcBorders>
            <w:vAlign w:val="center"/>
          </w:tcPr>
          <w:p w14:paraId="615C67DC" w14:textId="6AF2AD28" w:rsidR="001844B6" w:rsidRPr="001A69F6" w:rsidRDefault="001844B6" w:rsidP="005A3880">
            <w:pPr>
              <w:pStyle w:val="POTTCostsHigh"/>
              <w:rPr>
                <w:sz w:val="20"/>
              </w:rPr>
            </w:pPr>
          </w:p>
        </w:tc>
        <w:tc>
          <w:tcPr>
            <w:tcW w:w="790" w:type="dxa"/>
            <w:vMerge/>
            <w:shd w:val="clear" w:color="auto" w:fill="FFFFFF"/>
            <w:vAlign w:val="center"/>
          </w:tcPr>
          <w:p w14:paraId="3109568A" w14:textId="77777777" w:rsidR="001844B6" w:rsidRPr="001A69F6" w:rsidRDefault="001844B6" w:rsidP="007E190E">
            <w:pPr>
              <w:pStyle w:val="IATableText"/>
              <w:jc w:val="right"/>
              <w:rPr>
                <w:sz w:val="20"/>
              </w:rPr>
            </w:pPr>
          </w:p>
        </w:tc>
        <w:tc>
          <w:tcPr>
            <w:tcW w:w="2865" w:type="dxa"/>
            <w:tcBorders>
              <w:bottom w:val="single" w:sz="12" w:space="0" w:color="auto"/>
              <w:right w:val="single" w:sz="12" w:space="0" w:color="auto"/>
            </w:tcBorders>
            <w:vAlign w:val="center"/>
          </w:tcPr>
          <w:p w14:paraId="4E49AA06" w14:textId="75AB4ED8" w:rsidR="001844B6" w:rsidRPr="001A69F6" w:rsidRDefault="001844B6" w:rsidP="00EC6C40">
            <w:pPr>
              <w:pStyle w:val="POAACostsHigh"/>
              <w:rPr>
                <w:sz w:val="20"/>
              </w:rPr>
            </w:pPr>
          </w:p>
        </w:tc>
        <w:tc>
          <w:tcPr>
            <w:tcW w:w="2636" w:type="dxa"/>
            <w:gridSpan w:val="2"/>
            <w:tcBorders>
              <w:left w:val="single" w:sz="12" w:space="0" w:color="auto"/>
              <w:bottom w:val="single" w:sz="12" w:space="0" w:color="auto"/>
            </w:tcBorders>
            <w:vAlign w:val="center"/>
          </w:tcPr>
          <w:p w14:paraId="7B0C835D" w14:textId="2BE88825" w:rsidR="001844B6" w:rsidRPr="001A69F6" w:rsidRDefault="001844B6" w:rsidP="00EC6C40">
            <w:pPr>
              <w:pStyle w:val="POTCCostsHigh"/>
              <w:rPr>
                <w:sz w:val="20"/>
              </w:rPr>
            </w:pPr>
          </w:p>
        </w:tc>
      </w:tr>
      <w:tr w:rsidR="001844B6" w:rsidRPr="001A69F6" w14:paraId="63E1E9EE" w14:textId="77777777" w:rsidTr="00950571">
        <w:trPr>
          <w:trHeight w:hRule="exact" w:val="348"/>
        </w:trPr>
        <w:tc>
          <w:tcPr>
            <w:tcW w:w="2122" w:type="dxa"/>
            <w:tcBorders>
              <w:top w:val="single" w:sz="12" w:space="0" w:color="auto"/>
              <w:bottom w:val="single" w:sz="12" w:space="0" w:color="auto"/>
              <w:right w:val="single" w:sz="12" w:space="0" w:color="auto"/>
            </w:tcBorders>
            <w:shd w:val="clear" w:color="auto" w:fill="FFFFFF"/>
            <w:vAlign w:val="center"/>
          </w:tcPr>
          <w:p w14:paraId="0A52C5D6" w14:textId="77777777" w:rsidR="001844B6" w:rsidRPr="001A69F6" w:rsidRDefault="001844B6" w:rsidP="005A3880">
            <w:pPr>
              <w:pStyle w:val="IATableLabel"/>
            </w:pPr>
            <w:r w:rsidRPr="001A69F6">
              <w:t>Best Estimate</w:t>
            </w:r>
          </w:p>
          <w:p w14:paraId="247C5159" w14:textId="77777777" w:rsidR="001844B6" w:rsidRPr="001A69F6" w:rsidRDefault="001844B6" w:rsidP="007E190E">
            <w:pPr>
              <w:pStyle w:val="IATableNotes"/>
              <w:spacing w:beforeLines="40" w:before="96"/>
              <w:ind w:left="0" w:right="-22"/>
              <w:jc w:val="center"/>
              <w:rPr>
                <w:rFonts w:cs="Arial"/>
                <w:b/>
                <w:sz w:val="20"/>
              </w:rPr>
            </w:pPr>
          </w:p>
        </w:tc>
        <w:tc>
          <w:tcPr>
            <w:tcW w:w="1949" w:type="dxa"/>
            <w:tcBorders>
              <w:top w:val="single" w:sz="12" w:space="0" w:color="auto"/>
              <w:left w:val="single" w:sz="12" w:space="0" w:color="auto"/>
              <w:bottom w:val="single" w:sz="12" w:space="0" w:color="auto"/>
              <w:right w:val="single" w:sz="12" w:space="0" w:color="auto"/>
            </w:tcBorders>
            <w:shd w:val="clear" w:color="auto" w:fill="FFFFFF"/>
            <w:vAlign w:val="center"/>
          </w:tcPr>
          <w:p w14:paraId="50499C6C" w14:textId="07EDF9CB" w:rsidR="001844B6" w:rsidRPr="001A69F6" w:rsidRDefault="00297DEA" w:rsidP="005A3880">
            <w:pPr>
              <w:pStyle w:val="POTTCostsBest"/>
              <w:rPr>
                <w:sz w:val="20"/>
              </w:rPr>
            </w:pPr>
            <w:r w:rsidRPr="001A69F6">
              <w:rPr>
                <w:sz w:val="20"/>
              </w:rPr>
              <w:t>£</w:t>
            </w:r>
            <w:r w:rsidR="00EC6C40" w:rsidRPr="001A69F6">
              <w:rPr>
                <w:sz w:val="20"/>
              </w:rPr>
              <w:t>25.</w:t>
            </w:r>
            <w:r w:rsidR="00BC1BDC" w:rsidRPr="001A69F6">
              <w:rPr>
                <w:sz w:val="20"/>
              </w:rPr>
              <w:t>5</w:t>
            </w:r>
            <w:r w:rsidRPr="001A69F6">
              <w:rPr>
                <w:sz w:val="20"/>
              </w:rPr>
              <w:t>m</w:t>
            </w:r>
            <w:r w:rsidR="003A4234" w:rsidRPr="001A69F6">
              <w:rPr>
                <w:sz w:val="20"/>
              </w:rPr>
              <w:t>*</w:t>
            </w:r>
          </w:p>
        </w:tc>
        <w:tc>
          <w:tcPr>
            <w:tcW w:w="790" w:type="dxa"/>
            <w:vMerge/>
            <w:tcBorders>
              <w:left w:val="single" w:sz="12" w:space="0" w:color="auto"/>
              <w:right w:val="single" w:sz="12" w:space="0" w:color="auto"/>
            </w:tcBorders>
            <w:shd w:val="clear" w:color="auto" w:fill="FFFFFF"/>
            <w:vAlign w:val="center"/>
          </w:tcPr>
          <w:p w14:paraId="3302B3F3" w14:textId="77777777" w:rsidR="001844B6" w:rsidRPr="001A69F6" w:rsidRDefault="001844B6" w:rsidP="007E190E">
            <w:pPr>
              <w:pStyle w:val="IATableText"/>
              <w:jc w:val="right"/>
              <w:rPr>
                <w:sz w:val="20"/>
              </w:rPr>
            </w:pPr>
          </w:p>
        </w:tc>
        <w:tc>
          <w:tcPr>
            <w:tcW w:w="2865" w:type="dxa"/>
            <w:tcBorders>
              <w:top w:val="single" w:sz="12" w:space="0" w:color="auto"/>
              <w:left w:val="single" w:sz="12" w:space="0" w:color="auto"/>
              <w:bottom w:val="single" w:sz="12" w:space="0" w:color="auto"/>
              <w:right w:val="single" w:sz="12" w:space="0" w:color="auto"/>
            </w:tcBorders>
            <w:shd w:val="clear" w:color="auto" w:fill="FFFFFF"/>
            <w:vAlign w:val="center"/>
          </w:tcPr>
          <w:p w14:paraId="09BE4D85" w14:textId="11BF0F03" w:rsidR="001844B6" w:rsidRPr="001A69F6" w:rsidRDefault="00297DEA" w:rsidP="00EC6C40">
            <w:pPr>
              <w:pStyle w:val="POAACostsBest"/>
              <w:rPr>
                <w:sz w:val="20"/>
              </w:rPr>
            </w:pPr>
            <w:r w:rsidRPr="001A69F6">
              <w:rPr>
                <w:sz w:val="20"/>
              </w:rPr>
              <w:t>£</w:t>
            </w:r>
            <w:r w:rsidR="00BC1BDC" w:rsidRPr="001A69F6">
              <w:rPr>
                <w:sz w:val="20"/>
              </w:rPr>
              <w:t>1</w:t>
            </w:r>
            <w:r w:rsidR="00CB30FC" w:rsidRPr="001A69F6">
              <w:rPr>
                <w:sz w:val="20"/>
              </w:rPr>
              <w:t>5</w:t>
            </w:r>
            <w:r w:rsidR="00502F20" w:rsidRPr="001A69F6">
              <w:rPr>
                <w:sz w:val="20"/>
              </w:rPr>
              <w:t>.</w:t>
            </w:r>
            <w:r w:rsidR="00CB30FC" w:rsidRPr="001A69F6">
              <w:rPr>
                <w:sz w:val="20"/>
              </w:rPr>
              <w:t>1</w:t>
            </w:r>
            <w:r w:rsidRPr="001A69F6">
              <w:rPr>
                <w:sz w:val="20"/>
              </w:rPr>
              <w:t>m</w:t>
            </w:r>
            <w:r w:rsidR="003A4234" w:rsidRPr="001A69F6">
              <w:rPr>
                <w:sz w:val="20"/>
              </w:rPr>
              <w:t>*</w:t>
            </w:r>
          </w:p>
        </w:tc>
        <w:tc>
          <w:tcPr>
            <w:tcW w:w="2636" w:type="dxa"/>
            <w:gridSpan w:val="2"/>
            <w:tcBorders>
              <w:top w:val="single" w:sz="12" w:space="0" w:color="auto"/>
              <w:left w:val="single" w:sz="12" w:space="0" w:color="auto"/>
              <w:bottom w:val="single" w:sz="12" w:space="0" w:color="auto"/>
            </w:tcBorders>
            <w:shd w:val="clear" w:color="auto" w:fill="FFFFFF"/>
            <w:vAlign w:val="center"/>
          </w:tcPr>
          <w:p w14:paraId="64B08B6E" w14:textId="00117F95" w:rsidR="001844B6" w:rsidRPr="001A69F6" w:rsidRDefault="00297DEA" w:rsidP="00EC6C40">
            <w:pPr>
              <w:pStyle w:val="POTCCostsBest"/>
              <w:rPr>
                <w:sz w:val="20"/>
              </w:rPr>
            </w:pPr>
            <w:r w:rsidRPr="001A69F6">
              <w:rPr>
                <w:sz w:val="20"/>
              </w:rPr>
              <w:t>£</w:t>
            </w:r>
            <w:r w:rsidR="00F06765" w:rsidRPr="001A69F6">
              <w:rPr>
                <w:sz w:val="20"/>
              </w:rPr>
              <w:t>1</w:t>
            </w:r>
            <w:r w:rsidR="0058545B" w:rsidRPr="001A69F6">
              <w:rPr>
                <w:sz w:val="20"/>
              </w:rPr>
              <w:t>55</w:t>
            </w:r>
            <w:r w:rsidR="00522D5B" w:rsidRPr="001A69F6">
              <w:rPr>
                <w:sz w:val="20"/>
              </w:rPr>
              <w:t>.</w:t>
            </w:r>
            <w:r w:rsidR="0058545B" w:rsidRPr="001A69F6">
              <w:rPr>
                <w:sz w:val="20"/>
              </w:rPr>
              <w:t>6</w:t>
            </w:r>
            <w:r w:rsidR="00B12840" w:rsidRPr="001A69F6">
              <w:rPr>
                <w:sz w:val="20"/>
              </w:rPr>
              <w:t>m</w:t>
            </w:r>
            <w:r w:rsidR="003A4234" w:rsidRPr="001A69F6">
              <w:rPr>
                <w:sz w:val="20"/>
              </w:rPr>
              <w:t>*</w:t>
            </w:r>
          </w:p>
        </w:tc>
      </w:tr>
      <w:tr w:rsidR="001844B6" w:rsidRPr="001A69F6" w14:paraId="5ADDE4DC" w14:textId="77777777" w:rsidTr="006D05E2">
        <w:trPr>
          <w:trHeight w:hRule="exact" w:val="1344"/>
        </w:trPr>
        <w:tc>
          <w:tcPr>
            <w:tcW w:w="10362" w:type="dxa"/>
            <w:gridSpan w:val="6"/>
          </w:tcPr>
          <w:p w14:paraId="6CD829AC" w14:textId="77777777" w:rsidR="001844B6" w:rsidRPr="001A69F6" w:rsidRDefault="001844B6" w:rsidP="005A3880">
            <w:pPr>
              <w:pStyle w:val="IAPOQ1"/>
              <w:rPr>
                <w:szCs w:val="22"/>
              </w:rPr>
            </w:pPr>
            <w:r w:rsidRPr="001A69F6">
              <w:t xml:space="preserve">Description and scale of key monetised costs by ‘main affected groups’ </w:t>
            </w:r>
          </w:p>
          <w:p w14:paraId="66970808" w14:textId="62F8AA70" w:rsidR="000570B9" w:rsidRPr="001A69F6" w:rsidRDefault="000570B9" w:rsidP="007B136D">
            <w:pPr>
              <w:pStyle w:val="IAPOA1"/>
            </w:pPr>
            <w:r w:rsidRPr="001A69F6">
              <w:t>One-off costs (best estimates): Business - Familiarisation costs of £</w:t>
            </w:r>
            <w:r w:rsidR="00FA0AC1" w:rsidRPr="001A69F6">
              <w:t>30.</w:t>
            </w:r>
            <w:r w:rsidR="006B2D46" w:rsidRPr="001A69F6">
              <w:t>4</w:t>
            </w:r>
            <w:r w:rsidRPr="001A69F6">
              <w:t xml:space="preserve">m </w:t>
            </w:r>
          </w:p>
          <w:p w14:paraId="043DA789" w14:textId="692749CD" w:rsidR="00DB066F" w:rsidRPr="001A69F6" w:rsidRDefault="000570B9" w:rsidP="005A3880">
            <w:pPr>
              <w:pStyle w:val="IAPOA1"/>
            </w:pPr>
            <w:r w:rsidRPr="001A69F6">
              <w:t>Recurring annual costs (best estimates):</w:t>
            </w:r>
            <w:r w:rsidR="00A47DC6" w:rsidRPr="001A69F6">
              <w:t xml:space="preserve"> Business - </w:t>
            </w:r>
            <w:r w:rsidR="00724440" w:rsidRPr="001A69F6">
              <w:t>C</w:t>
            </w:r>
            <w:r w:rsidR="001F74D5" w:rsidRPr="001A69F6">
              <w:t xml:space="preserve">ontribution to </w:t>
            </w:r>
            <w:r w:rsidR="00420960" w:rsidRPr="001A69F6">
              <w:t>Statutory Maternity Pay</w:t>
            </w:r>
            <w:r w:rsidR="007B136D" w:rsidRPr="001A69F6">
              <w:t xml:space="preserve"> (SMP)</w:t>
            </w:r>
            <w:r w:rsidR="00724440" w:rsidRPr="001A69F6">
              <w:t xml:space="preserve"> of £</w:t>
            </w:r>
            <w:r w:rsidR="00F265BD" w:rsidRPr="001A69F6">
              <w:t>0.9m</w:t>
            </w:r>
            <w:r w:rsidR="007B136D" w:rsidRPr="001A69F6">
              <w:t xml:space="preserve">. </w:t>
            </w:r>
          </w:p>
          <w:p w14:paraId="16A00262" w14:textId="1C913190" w:rsidR="000570B9" w:rsidRPr="001A69F6" w:rsidRDefault="007B136D" w:rsidP="005A3880">
            <w:pPr>
              <w:pStyle w:val="IAPOA1"/>
            </w:pPr>
            <w:r w:rsidRPr="001A69F6">
              <w:t xml:space="preserve">Exchequer </w:t>
            </w:r>
            <w:r w:rsidR="00212E04" w:rsidRPr="001A69F6">
              <w:t xml:space="preserve">– </w:t>
            </w:r>
            <w:r w:rsidR="00B9070C" w:rsidRPr="001A69F6">
              <w:t xml:space="preserve">Additional </w:t>
            </w:r>
            <w:r w:rsidR="00212E04" w:rsidRPr="001A69F6">
              <w:t>Statutory Maternity Pay</w:t>
            </w:r>
            <w:r w:rsidR="00CC070E" w:rsidRPr="001A69F6">
              <w:t xml:space="preserve"> </w:t>
            </w:r>
            <w:r w:rsidR="00B9070C" w:rsidRPr="001A69F6">
              <w:t>of</w:t>
            </w:r>
            <w:r w:rsidRPr="001A69F6">
              <w:t xml:space="preserve"> £</w:t>
            </w:r>
            <w:r w:rsidR="00727B96" w:rsidRPr="001A69F6">
              <w:t>1</w:t>
            </w:r>
            <w:r w:rsidR="008A34DB" w:rsidRPr="001A69F6">
              <w:t>7</w:t>
            </w:r>
            <w:r w:rsidR="00727B96" w:rsidRPr="001A69F6">
              <w:t>.</w:t>
            </w:r>
            <w:r w:rsidR="00984577" w:rsidRPr="001A69F6">
              <w:t>1</w:t>
            </w:r>
            <w:r w:rsidR="00730A2A" w:rsidRPr="001A69F6">
              <w:t>m</w:t>
            </w:r>
          </w:p>
          <w:p w14:paraId="3275391B" w14:textId="77777777" w:rsidR="007B136D" w:rsidRPr="001A69F6" w:rsidRDefault="007B136D" w:rsidP="005A3880">
            <w:pPr>
              <w:pStyle w:val="IAPOA1"/>
            </w:pPr>
          </w:p>
          <w:p w14:paraId="3BC3A000" w14:textId="2D1EEE12" w:rsidR="000570B9" w:rsidRPr="001A69F6" w:rsidRDefault="000570B9" w:rsidP="005A3880">
            <w:pPr>
              <w:pStyle w:val="IAPOA1"/>
            </w:pPr>
          </w:p>
        </w:tc>
      </w:tr>
      <w:tr w:rsidR="001844B6" w:rsidRPr="001A69F6" w14:paraId="6C705C06" w14:textId="77777777" w:rsidTr="006D05E2">
        <w:trPr>
          <w:trHeight w:hRule="exact" w:val="1122"/>
        </w:trPr>
        <w:tc>
          <w:tcPr>
            <w:tcW w:w="10362" w:type="dxa"/>
            <w:gridSpan w:val="6"/>
            <w:tcBorders>
              <w:bottom w:val="single" w:sz="12" w:space="0" w:color="auto"/>
            </w:tcBorders>
          </w:tcPr>
          <w:p w14:paraId="0DA1A2FE" w14:textId="77777777" w:rsidR="001844B6" w:rsidRPr="001A69F6" w:rsidRDefault="001844B6" w:rsidP="005A3880">
            <w:pPr>
              <w:pStyle w:val="IAPOQ2"/>
              <w:rPr>
                <w:szCs w:val="22"/>
              </w:rPr>
            </w:pPr>
            <w:r w:rsidRPr="001A69F6">
              <w:t xml:space="preserve">Other key non-monetised costs by ‘main affected groups’ </w:t>
            </w:r>
          </w:p>
          <w:p w14:paraId="0CF6A04D" w14:textId="3FCBD68E" w:rsidR="001844B6" w:rsidRPr="001A69F6" w:rsidRDefault="00B9070C" w:rsidP="005A3880">
            <w:pPr>
              <w:pStyle w:val="IAPOA2"/>
              <w:rPr>
                <w:szCs w:val="22"/>
              </w:rPr>
            </w:pPr>
            <w:r w:rsidRPr="001A69F6">
              <w:rPr>
                <w:szCs w:val="22"/>
              </w:rPr>
              <w:t>Labour costs of retain</w:t>
            </w:r>
            <w:r w:rsidR="006D05E2" w:rsidRPr="001A69F6">
              <w:rPr>
                <w:szCs w:val="22"/>
              </w:rPr>
              <w:t>ing</w:t>
            </w:r>
            <w:r w:rsidRPr="001A69F6">
              <w:rPr>
                <w:szCs w:val="22"/>
              </w:rPr>
              <w:t xml:space="preserve"> workers </w:t>
            </w:r>
            <w:r w:rsidR="006D05E2" w:rsidRPr="001A69F6">
              <w:rPr>
                <w:szCs w:val="22"/>
              </w:rPr>
              <w:t xml:space="preserve">that businesses would otherwise make redundant </w:t>
            </w:r>
            <w:r w:rsidR="00FD675E" w:rsidRPr="001A69F6">
              <w:rPr>
                <w:szCs w:val="22"/>
              </w:rPr>
              <w:t>are based on a number of theoretical assumptions that are not robust enough to be included in the main</w:t>
            </w:r>
            <w:r w:rsidR="006D05E2" w:rsidRPr="001A69F6">
              <w:rPr>
                <w:szCs w:val="22"/>
              </w:rPr>
              <w:t xml:space="preserve"> economic </w:t>
            </w:r>
            <w:r w:rsidR="00A04849" w:rsidRPr="00A04849">
              <w:rPr>
                <w:szCs w:val="22"/>
              </w:rPr>
              <w:t>assessment</w:t>
            </w:r>
            <w:r w:rsidR="00FD675E" w:rsidRPr="001A69F6">
              <w:rPr>
                <w:szCs w:val="22"/>
              </w:rPr>
              <w:t xml:space="preserve"> </w:t>
            </w:r>
            <w:r w:rsidR="00A31738" w:rsidRPr="001A69F6">
              <w:rPr>
                <w:szCs w:val="22"/>
              </w:rPr>
              <w:t>–</w:t>
            </w:r>
            <w:r w:rsidR="006D05E2" w:rsidRPr="001A69F6">
              <w:rPr>
                <w:szCs w:val="22"/>
              </w:rPr>
              <w:t xml:space="preserve"> see </w:t>
            </w:r>
            <w:r w:rsidR="00A31738" w:rsidRPr="001A69F6">
              <w:rPr>
                <w:szCs w:val="22"/>
              </w:rPr>
              <w:t xml:space="preserve">Annex </w:t>
            </w:r>
            <w:r w:rsidR="00E17465" w:rsidRPr="001A69F6">
              <w:rPr>
                <w:szCs w:val="22"/>
              </w:rPr>
              <w:t>B</w:t>
            </w:r>
            <w:r w:rsidR="00A31738" w:rsidRPr="001A69F6">
              <w:rPr>
                <w:szCs w:val="22"/>
              </w:rPr>
              <w:t>.</w:t>
            </w:r>
          </w:p>
        </w:tc>
      </w:tr>
      <w:tr w:rsidR="001844B6" w:rsidRPr="001A69F6" w14:paraId="238F2CEA" w14:textId="77777777" w:rsidTr="00950571">
        <w:trPr>
          <w:trHeight w:hRule="exact" w:val="567"/>
        </w:trPr>
        <w:tc>
          <w:tcPr>
            <w:tcW w:w="2122" w:type="dxa"/>
            <w:shd w:val="clear" w:color="auto" w:fill="FFFFFF"/>
          </w:tcPr>
          <w:p w14:paraId="2D8738E8" w14:textId="703ABBAA" w:rsidR="001844B6" w:rsidRPr="001A69F6" w:rsidRDefault="001844B6" w:rsidP="005A3880">
            <w:pPr>
              <w:pStyle w:val="IATableLabel"/>
              <w:rPr>
                <w:sz w:val="24"/>
                <w:szCs w:val="24"/>
              </w:rPr>
            </w:pPr>
            <w:r w:rsidRPr="001A69F6">
              <w:rPr>
                <w:sz w:val="24"/>
                <w:szCs w:val="24"/>
              </w:rPr>
              <w:t xml:space="preserve">BENEFITS </w:t>
            </w:r>
            <w:r w:rsidR="00B21702" w:rsidRPr="001A69F6">
              <w:rPr>
                <w:sz w:val="24"/>
                <w:szCs w:val="24"/>
              </w:rPr>
              <w:t>(</w:t>
            </w:r>
            <w:r w:rsidRPr="001A69F6">
              <w:rPr>
                <w:sz w:val="24"/>
                <w:szCs w:val="24"/>
              </w:rPr>
              <w:t>£m)</w:t>
            </w:r>
          </w:p>
        </w:tc>
        <w:tc>
          <w:tcPr>
            <w:tcW w:w="2739" w:type="dxa"/>
            <w:gridSpan w:val="2"/>
            <w:tcBorders>
              <w:top w:val="single" w:sz="12" w:space="0" w:color="auto"/>
            </w:tcBorders>
          </w:tcPr>
          <w:p w14:paraId="379EF752" w14:textId="77777777" w:rsidR="001844B6" w:rsidRPr="001A69F6" w:rsidRDefault="001844B6" w:rsidP="007E190E">
            <w:pPr>
              <w:pStyle w:val="IATableLabel"/>
              <w:tabs>
                <w:tab w:val="right" w:pos="1797"/>
                <w:tab w:val="center" w:pos="2340"/>
              </w:tabs>
              <w:jc w:val="right"/>
            </w:pPr>
            <w:r w:rsidRPr="001A69F6">
              <w:t xml:space="preserve">Total Transition </w:t>
            </w:r>
            <w:r w:rsidRPr="001A69F6">
              <w:br/>
            </w:r>
            <w:r w:rsidRPr="001A69F6">
              <w:tab/>
            </w:r>
            <w:r w:rsidRPr="001A69F6">
              <w:rPr>
                <w:b w:val="0"/>
                <w:sz w:val="18"/>
                <w:szCs w:val="18"/>
              </w:rPr>
              <w:t>(Constant Price)</w:t>
            </w:r>
            <w:r w:rsidRPr="001A69F6">
              <w:tab/>
            </w:r>
            <w:r w:rsidRPr="001A69F6">
              <w:rPr>
                <w:b w:val="0"/>
                <w:sz w:val="18"/>
                <w:szCs w:val="18"/>
              </w:rPr>
              <w:t>Yea</w:t>
            </w:r>
            <w:r w:rsidRPr="001A69F6">
              <w:rPr>
                <w:b w:val="0"/>
                <w:bCs/>
                <w:sz w:val="18"/>
                <w:szCs w:val="18"/>
              </w:rPr>
              <w:t>r</w:t>
            </w:r>
            <w:r w:rsidRPr="001A69F6">
              <w:rPr>
                <w:b w:val="0"/>
                <w:sz w:val="18"/>
                <w:szCs w:val="18"/>
              </w:rPr>
              <w:t>s</w:t>
            </w:r>
          </w:p>
          <w:p w14:paraId="6882D2DD" w14:textId="77777777" w:rsidR="001844B6" w:rsidRPr="001A69F6" w:rsidRDefault="001844B6" w:rsidP="007E190E">
            <w:pPr>
              <w:pStyle w:val="IATableLabel"/>
              <w:jc w:val="right"/>
            </w:pPr>
            <w:r w:rsidRPr="001A69F6">
              <w:br/>
            </w:r>
          </w:p>
        </w:tc>
        <w:tc>
          <w:tcPr>
            <w:tcW w:w="2865" w:type="dxa"/>
            <w:tcBorders>
              <w:right w:val="single" w:sz="12" w:space="0" w:color="auto"/>
            </w:tcBorders>
          </w:tcPr>
          <w:p w14:paraId="7DE04C76" w14:textId="77777777" w:rsidR="001844B6" w:rsidRPr="001A69F6" w:rsidRDefault="001844B6" w:rsidP="007E190E">
            <w:pPr>
              <w:pStyle w:val="IATableLabel"/>
              <w:jc w:val="right"/>
              <w:rPr>
                <w:rFonts w:cs="Arial"/>
                <w:bCs/>
              </w:rPr>
            </w:pPr>
            <w:r w:rsidRPr="001A69F6">
              <w:t xml:space="preserve">Average Annual </w:t>
            </w:r>
            <w:r w:rsidRPr="001A69F6">
              <w:br/>
            </w:r>
            <w:r w:rsidRPr="001A69F6">
              <w:rPr>
                <w:b w:val="0"/>
                <w:sz w:val="18"/>
                <w:szCs w:val="18"/>
              </w:rPr>
              <w:t xml:space="preserve">(excl. Transition) </w:t>
            </w:r>
            <w:r w:rsidRPr="001A69F6">
              <w:rPr>
                <w:rFonts w:cs="Arial"/>
                <w:b w:val="0"/>
                <w:bCs/>
                <w:sz w:val="18"/>
                <w:szCs w:val="18"/>
              </w:rPr>
              <w:t>(Constant Price)</w:t>
            </w:r>
          </w:p>
        </w:tc>
        <w:tc>
          <w:tcPr>
            <w:tcW w:w="2636" w:type="dxa"/>
            <w:gridSpan w:val="2"/>
            <w:tcBorders>
              <w:top w:val="single" w:sz="12" w:space="0" w:color="auto"/>
              <w:left w:val="single" w:sz="12" w:space="0" w:color="auto"/>
            </w:tcBorders>
          </w:tcPr>
          <w:p w14:paraId="20E24574" w14:textId="77777777" w:rsidR="001844B6" w:rsidRPr="001A69F6" w:rsidRDefault="001844B6" w:rsidP="007E190E">
            <w:pPr>
              <w:pStyle w:val="IATableLabel"/>
              <w:jc w:val="right"/>
            </w:pPr>
            <w:r w:rsidRPr="001A69F6">
              <w:t>Total Benefit</w:t>
            </w:r>
            <w:r w:rsidRPr="001A69F6">
              <w:rPr>
                <w:b w:val="0"/>
                <w:sz w:val="18"/>
                <w:szCs w:val="18"/>
              </w:rPr>
              <w:t xml:space="preserve"> </w:t>
            </w:r>
            <w:r w:rsidRPr="001A69F6">
              <w:rPr>
                <w:b w:val="0"/>
                <w:sz w:val="18"/>
                <w:szCs w:val="18"/>
              </w:rPr>
              <w:br/>
              <w:t>(Present Value)</w:t>
            </w:r>
          </w:p>
        </w:tc>
      </w:tr>
      <w:tr w:rsidR="001844B6" w:rsidRPr="001A69F6" w14:paraId="4F133AA6" w14:textId="77777777" w:rsidTr="00950571">
        <w:trPr>
          <w:trHeight w:hRule="exact" w:val="348"/>
        </w:trPr>
        <w:tc>
          <w:tcPr>
            <w:tcW w:w="2122" w:type="dxa"/>
            <w:vAlign w:val="center"/>
          </w:tcPr>
          <w:p w14:paraId="46BAC235" w14:textId="77777777" w:rsidR="001844B6" w:rsidRPr="001A69F6" w:rsidRDefault="001844B6" w:rsidP="005A3880">
            <w:pPr>
              <w:pStyle w:val="IATableLabel"/>
            </w:pPr>
            <w:r w:rsidRPr="001A69F6">
              <w:t xml:space="preserve">Low </w:t>
            </w:r>
          </w:p>
        </w:tc>
        <w:tc>
          <w:tcPr>
            <w:tcW w:w="1949" w:type="dxa"/>
            <w:vAlign w:val="center"/>
          </w:tcPr>
          <w:p w14:paraId="05B943C0" w14:textId="51D3C1F5" w:rsidR="001844B6" w:rsidRPr="001A69F6" w:rsidRDefault="001844B6" w:rsidP="005A3880">
            <w:pPr>
              <w:pStyle w:val="POTTBenLow"/>
              <w:rPr>
                <w:sz w:val="20"/>
              </w:rPr>
            </w:pPr>
          </w:p>
        </w:tc>
        <w:tc>
          <w:tcPr>
            <w:tcW w:w="790" w:type="dxa"/>
            <w:vMerge w:val="restart"/>
            <w:vAlign w:val="center"/>
          </w:tcPr>
          <w:p w14:paraId="2F68BDB8" w14:textId="2C1F8F93" w:rsidR="001844B6" w:rsidRPr="001A69F6" w:rsidRDefault="001844B6" w:rsidP="007E190E">
            <w:pPr>
              <w:pStyle w:val="IATableText"/>
              <w:jc w:val="center"/>
              <w:rPr>
                <w:sz w:val="20"/>
              </w:rPr>
            </w:pPr>
          </w:p>
        </w:tc>
        <w:tc>
          <w:tcPr>
            <w:tcW w:w="2865" w:type="dxa"/>
            <w:tcBorders>
              <w:right w:val="single" w:sz="12" w:space="0" w:color="auto"/>
            </w:tcBorders>
            <w:vAlign w:val="center"/>
          </w:tcPr>
          <w:p w14:paraId="604312AF" w14:textId="20E92AE6" w:rsidR="001844B6" w:rsidRPr="001A69F6" w:rsidRDefault="001844B6" w:rsidP="005A3880">
            <w:pPr>
              <w:pStyle w:val="POAABenLow"/>
              <w:rPr>
                <w:sz w:val="20"/>
              </w:rPr>
            </w:pPr>
          </w:p>
        </w:tc>
        <w:tc>
          <w:tcPr>
            <w:tcW w:w="2636" w:type="dxa"/>
            <w:gridSpan w:val="2"/>
            <w:tcBorders>
              <w:left w:val="single" w:sz="12" w:space="0" w:color="auto"/>
            </w:tcBorders>
            <w:vAlign w:val="center"/>
          </w:tcPr>
          <w:p w14:paraId="0830B16C" w14:textId="1D8DD9B1" w:rsidR="001844B6" w:rsidRPr="001A69F6" w:rsidRDefault="001844B6" w:rsidP="005A3880">
            <w:pPr>
              <w:pStyle w:val="POTBBenLow"/>
              <w:rPr>
                <w:sz w:val="20"/>
              </w:rPr>
            </w:pPr>
          </w:p>
        </w:tc>
      </w:tr>
      <w:tr w:rsidR="001844B6" w:rsidRPr="001A69F6" w14:paraId="7EDA2791" w14:textId="77777777" w:rsidTr="00950571">
        <w:trPr>
          <w:trHeight w:hRule="exact" w:val="348"/>
        </w:trPr>
        <w:tc>
          <w:tcPr>
            <w:tcW w:w="2122" w:type="dxa"/>
            <w:tcBorders>
              <w:bottom w:val="single" w:sz="12" w:space="0" w:color="auto"/>
            </w:tcBorders>
            <w:vAlign w:val="center"/>
          </w:tcPr>
          <w:p w14:paraId="2FBDD7E9" w14:textId="77777777" w:rsidR="001844B6" w:rsidRPr="001A69F6" w:rsidRDefault="001844B6" w:rsidP="005A3880">
            <w:pPr>
              <w:pStyle w:val="IATableLabel"/>
            </w:pPr>
            <w:r w:rsidRPr="001A69F6">
              <w:t xml:space="preserve">High </w:t>
            </w:r>
          </w:p>
        </w:tc>
        <w:tc>
          <w:tcPr>
            <w:tcW w:w="1949" w:type="dxa"/>
            <w:tcBorders>
              <w:bottom w:val="single" w:sz="12" w:space="0" w:color="auto"/>
            </w:tcBorders>
            <w:vAlign w:val="center"/>
          </w:tcPr>
          <w:p w14:paraId="2110C4D0" w14:textId="6DFD0A3B" w:rsidR="001844B6" w:rsidRPr="001A69F6" w:rsidRDefault="001844B6" w:rsidP="005A3880">
            <w:pPr>
              <w:pStyle w:val="POTTBenHigh"/>
              <w:rPr>
                <w:sz w:val="20"/>
              </w:rPr>
            </w:pPr>
          </w:p>
        </w:tc>
        <w:tc>
          <w:tcPr>
            <w:tcW w:w="790" w:type="dxa"/>
            <w:vMerge/>
            <w:shd w:val="clear" w:color="auto" w:fill="FFFFFF"/>
            <w:vAlign w:val="center"/>
          </w:tcPr>
          <w:p w14:paraId="1B5B17C3" w14:textId="77777777" w:rsidR="001844B6" w:rsidRPr="001A69F6" w:rsidRDefault="001844B6" w:rsidP="007E190E">
            <w:pPr>
              <w:pStyle w:val="IATableText"/>
              <w:jc w:val="right"/>
              <w:rPr>
                <w:sz w:val="20"/>
              </w:rPr>
            </w:pPr>
          </w:p>
        </w:tc>
        <w:tc>
          <w:tcPr>
            <w:tcW w:w="2865" w:type="dxa"/>
            <w:tcBorders>
              <w:bottom w:val="single" w:sz="12" w:space="0" w:color="auto"/>
              <w:right w:val="single" w:sz="12" w:space="0" w:color="auto"/>
            </w:tcBorders>
            <w:vAlign w:val="center"/>
          </w:tcPr>
          <w:p w14:paraId="10AB5029" w14:textId="43C4BFC0" w:rsidR="001844B6" w:rsidRPr="001A69F6" w:rsidRDefault="001844B6" w:rsidP="005A3880">
            <w:pPr>
              <w:pStyle w:val="POAABenHigh"/>
              <w:rPr>
                <w:sz w:val="20"/>
              </w:rPr>
            </w:pPr>
          </w:p>
        </w:tc>
        <w:tc>
          <w:tcPr>
            <w:tcW w:w="2636" w:type="dxa"/>
            <w:gridSpan w:val="2"/>
            <w:tcBorders>
              <w:left w:val="single" w:sz="12" w:space="0" w:color="auto"/>
              <w:bottom w:val="single" w:sz="12" w:space="0" w:color="auto"/>
            </w:tcBorders>
            <w:vAlign w:val="center"/>
          </w:tcPr>
          <w:p w14:paraId="172EF0D7" w14:textId="65E52028" w:rsidR="001844B6" w:rsidRPr="001A69F6" w:rsidRDefault="001844B6" w:rsidP="005A3880">
            <w:pPr>
              <w:pStyle w:val="POTBBenHigh"/>
              <w:rPr>
                <w:sz w:val="20"/>
              </w:rPr>
            </w:pPr>
          </w:p>
        </w:tc>
      </w:tr>
      <w:tr w:rsidR="001844B6" w:rsidRPr="001A69F6" w14:paraId="20B66F08" w14:textId="77777777" w:rsidTr="00950571">
        <w:trPr>
          <w:trHeight w:hRule="exact" w:val="348"/>
        </w:trPr>
        <w:tc>
          <w:tcPr>
            <w:tcW w:w="2122" w:type="dxa"/>
            <w:tcBorders>
              <w:top w:val="single" w:sz="12" w:space="0" w:color="auto"/>
              <w:bottom w:val="single" w:sz="12" w:space="0" w:color="auto"/>
              <w:right w:val="single" w:sz="12" w:space="0" w:color="auto"/>
            </w:tcBorders>
            <w:shd w:val="clear" w:color="auto" w:fill="FFFFFF"/>
            <w:vAlign w:val="center"/>
          </w:tcPr>
          <w:p w14:paraId="122CE01D" w14:textId="77777777" w:rsidR="001844B6" w:rsidRPr="001A69F6" w:rsidRDefault="001844B6" w:rsidP="005A3880">
            <w:pPr>
              <w:pStyle w:val="IATableLabel"/>
            </w:pPr>
            <w:r w:rsidRPr="001A69F6">
              <w:t>Best Estimate</w:t>
            </w:r>
          </w:p>
          <w:p w14:paraId="5E9E6484" w14:textId="77777777" w:rsidR="001844B6" w:rsidRPr="001A69F6" w:rsidRDefault="001844B6" w:rsidP="007E190E">
            <w:pPr>
              <w:pStyle w:val="IATableNotes"/>
              <w:spacing w:beforeLines="40" w:before="96"/>
              <w:ind w:left="0" w:right="-22"/>
              <w:jc w:val="center"/>
              <w:rPr>
                <w:rFonts w:cs="Arial"/>
                <w:b/>
                <w:sz w:val="20"/>
              </w:rPr>
            </w:pPr>
          </w:p>
        </w:tc>
        <w:tc>
          <w:tcPr>
            <w:tcW w:w="1949" w:type="dxa"/>
            <w:tcBorders>
              <w:top w:val="single" w:sz="12" w:space="0" w:color="auto"/>
              <w:left w:val="single" w:sz="12" w:space="0" w:color="auto"/>
              <w:bottom w:val="single" w:sz="12" w:space="0" w:color="auto"/>
              <w:right w:val="single" w:sz="12" w:space="0" w:color="auto"/>
            </w:tcBorders>
            <w:shd w:val="clear" w:color="auto" w:fill="FFFFFF"/>
            <w:vAlign w:val="center"/>
          </w:tcPr>
          <w:p w14:paraId="7D830DB1" w14:textId="264976EB" w:rsidR="001844B6" w:rsidRPr="001A69F6" w:rsidRDefault="006502BF" w:rsidP="005A3880">
            <w:pPr>
              <w:pStyle w:val="POTTBenBest"/>
              <w:rPr>
                <w:sz w:val="20"/>
              </w:rPr>
            </w:pPr>
            <w:r w:rsidRPr="001A69F6">
              <w:rPr>
                <w:sz w:val="20"/>
              </w:rPr>
              <w:t>£0</w:t>
            </w:r>
            <w:r w:rsidR="005B5095" w:rsidRPr="001A69F6">
              <w:rPr>
                <w:sz w:val="20"/>
              </w:rPr>
              <w:t>.0</w:t>
            </w:r>
            <w:r w:rsidRPr="001A69F6">
              <w:rPr>
                <w:sz w:val="20"/>
              </w:rPr>
              <w:t>m</w:t>
            </w:r>
          </w:p>
        </w:tc>
        <w:tc>
          <w:tcPr>
            <w:tcW w:w="790" w:type="dxa"/>
            <w:vMerge/>
            <w:tcBorders>
              <w:left w:val="single" w:sz="12" w:space="0" w:color="auto"/>
              <w:right w:val="single" w:sz="12" w:space="0" w:color="auto"/>
            </w:tcBorders>
            <w:shd w:val="clear" w:color="auto" w:fill="FFFFFF"/>
            <w:vAlign w:val="center"/>
          </w:tcPr>
          <w:p w14:paraId="27B1352A" w14:textId="77777777" w:rsidR="001844B6" w:rsidRPr="001A69F6" w:rsidRDefault="001844B6" w:rsidP="007E190E">
            <w:pPr>
              <w:pStyle w:val="IATableText"/>
              <w:jc w:val="right"/>
              <w:rPr>
                <w:sz w:val="20"/>
              </w:rPr>
            </w:pPr>
          </w:p>
        </w:tc>
        <w:tc>
          <w:tcPr>
            <w:tcW w:w="2865" w:type="dxa"/>
            <w:tcBorders>
              <w:top w:val="single" w:sz="12" w:space="0" w:color="auto"/>
              <w:left w:val="single" w:sz="12" w:space="0" w:color="auto"/>
              <w:bottom w:val="single" w:sz="12" w:space="0" w:color="auto"/>
              <w:right w:val="single" w:sz="12" w:space="0" w:color="auto"/>
            </w:tcBorders>
            <w:shd w:val="clear" w:color="auto" w:fill="FFFFFF"/>
            <w:vAlign w:val="center"/>
          </w:tcPr>
          <w:p w14:paraId="54515B75" w14:textId="5EB9D916" w:rsidR="001844B6" w:rsidRPr="001A69F6" w:rsidRDefault="009B425D" w:rsidP="00116C79">
            <w:pPr>
              <w:pStyle w:val="POAABenBest"/>
              <w:rPr>
                <w:sz w:val="20"/>
              </w:rPr>
            </w:pPr>
            <w:r w:rsidRPr="001A69F6">
              <w:rPr>
                <w:sz w:val="20"/>
              </w:rPr>
              <w:t>£</w:t>
            </w:r>
            <w:r w:rsidR="00844DD8" w:rsidRPr="001A69F6">
              <w:rPr>
                <w:sz w:val="20"/>
              </w:rPr>
              <w:t>15</w:t>
            </w:r>
            <w:r w:rsidR="001C35EA" w:rsidRPr="001A69F6">
              <w:rPr>
                <w:sz w:val="20"/>
              </w:rPr>
              <w:t>.</w:t>
            </w:r>
            <w:r w:rsidR="00844DD8" w:rsidRPr="001A69F6">
              <w:rPr>
                <w:sz w:val="20"/>
              </w:rPr>
              <w:t>4</w:t>
            </w:r>
            <w:r w:rsidR="005649AF" w:rsidRPr="001A69F6">
              <w:rPr>
                <w:sz w:val="20"/>
              </w:rPr>
              <w:t>m</w:t>
            </w:r>
            <w:r w:rsidR="003A4234" w:rsidRPr="001A69F6">
              <w:rPr>
                <w:sz w:val="20"/>
              </w:rPr>
              <w:t>*</w:t>
            </w:r>
          </w:p>
        </w:tc>
        <w:tc>
          <w:tcPr>
            <w:tcW w:w="2636" w:type="dxa"/>
            <w:gridSpan w:val="2"/>
            <w:tcBorders>
              <w:top w:val="single" w:sz="12" w:space="0" w:color="auto"/>
              <w:left w:val="single" w:sz="12" w:space="0" w:color="auto"/>
              <w:bottom w:val="single" w:sz="12" w:space="0" w:color="auto"/>
            </w:tcBorders>
            <w:shd w:val="clear" w:color="auto" w:fill="FFFFFF"/>
            <w:vAlign w:val="center"/>
          </w:tcPr>
          <w:p w14:paraId="502E711E" w14:textId="1ACA1821" w:rsidR="001844B6" w:rsidRPr="001A69F6" w:rsidRDefault="001844B6" w:rsidP="005A3880">
            <w:pPr>
              <w:pStyle w:val="POTBBenBest"/>
              <w:rPr>
                <w:sz w:val="20"/>
              </w:rPr>
            </w:pPr>
            <w:r w:rsidRPr="001A69F6">
              <w:rPr>
                <w:sz w:val="20"/>
              </w:rPr>
              <w:fldChar w:fldCharType="begin">
                <w:ffData>
                  <w:name w:val=""/>
                  <w:enabled/>
                  <w:calcOnExit w:val="0"/>
                  <w:textInput>
                    <w:maxLength w:val="14"/>
                  </w:textInput>
                </w:ffData>
              </w:fldChar>
            </w:r>
            <w:r w:rsidRPr="001A69F6">
              <w:rPr>
                <w:sz w:val="20"/>
              </w:rPr>
              <w:instrText xml:space="preserve"> FORMTEXT </w:instrText>
            </w:r>
            <w:r w:rsidRPr="001A69F6">
              <w:rPr>
                <w:sz w:val="20"/>
              </w:rPr>
            </w:r>
            <w:r w:rsidRPr="001A69F6">
              <w:rPr>
                <w:sz w:val="20"/>
              </w:rPr>
              <w:fldChar w:fldCharType="separate"/>
            </w:r>
            <w:r w:rsidRPr="001A69F6">
              <w:rPr>
                <w:sz w:val="20"/>
              </w:rPr>
              <w:t> </w:t>
            </w:r>
            <w:r w:rsidRPr="001A69F6">
              <w:rPr>
                <w:sz w:val="20"/>
              </w:rPr>
              <w:t> </w:t>
            </w:r>
            <w:r w:rsidRPr="001A69F6">
              <w:rPr>
                <w:sz w:val="20"/>
              </w:rPr>
              <w:t> </w:t>
            </w:r>
            <w:r w:rsidRPr="001A69F6">
              <w:rPr>
                <w:sz w:val="20"/>
              </w:rPr>
              <w:t> </w:t>
            </w:r>
            <w:r w:rsidRPr="001A69F6">
              <w:rPr>
                <w:sz w:val="20"/>
              </w:rPr>
              <w:t> </w:t>
            </w:r>
            <w:r w:rsidRPr="001A69F6">
              <w:rPr>
                <w:sz w:val="20"/>
              </w:rPr>
              <w:fldChar w:fldCharType="end"/>
            </w:r>
            <w:r w:rsidR="006502BF" w:rsidRPr="001A69F6">
              <w:rPr>
                <w:sz w:val="20"/>
              </w:rPr>
              <w:t>£</w:t>
            </w:r>
            <w:r w:rsidR="00844DD8" w:rsidRPr="001A69F6">
              <w:rPr>
                <w:sz w:val="20"/>
              </w:rPr>
              <w:t>133</w:t>
            </w:r>
            <w:r w:rsidR="004B56D8" w:rsidRPr="001A69F6">
              <w:rPr>
                <w:sz w:val="20"/>
              </w:rPr>
              <w:t>.</w:t>
            </w:r>
            <w:r w:rsidR="00844DD8" w:rsidRPr="001A69F6">
              <w:rPr>
                <w:sz w:val="20"/>
              </w:rPr>
              <w:t>0</w:t>
            </w:r>
            <w:r w:rsidR="006502BF" w:rsidRPr="001A69F6">
              <w:rPr>
                <w:sz w:val="20"/>
              </w:rPr>
              <w:t>m</w:t>
            </w:r>
            <w:r w:rsidR="003A4234" w:rsidRPr="001A69F6">
              <w:rPr>
                <w:sz w:val="20"/>
              </w:rPr>
              <w:t>*</w:t>
            </w:r>
          </w:p>
        </w:tc>
      </w:tr>
      <w:tr w:rsidR="001844B6" w:rsidRPr="001A69F6" w14:paraId="48F6B96F" w14:textId="77777777" w:rsidTr="001E1C20">
        <w:trPr>
          <w:trHeight w:hRule="exact" w:val="1869"/>
        </w:trPr>
        <w:tc>
          <w:tcPr>
            <w:tcW w:w="10362" w:type="dxa"/>
            <w:gridSpan w:val="6"/>
          </w:tcPr>
          <w:p w14:paraId="11CE454C" w14:textId="77777777" w:rsidR="001844B6" w:rsidRPr="001A69F6" w:rsidRDefault="001844B6" w:rsidP="005A3880">
            <w:pPr>
              <w:pStyle w:val="IPPOQ3"/>
              <w:rPr>
                <w:szCs w:val="22"/>
              </w:rPr>
            </w:pPr>
            <w:r w:rsidRPr="001A69F6">
              <w:t xml:space="preserve">Description and scale of key monetised benefits by ‘main affected groups’ </w:t>
            </w:r>
          </w:p>
          <w:p w14:paraId="6A170F9D" w14:textId="466C3F05" w:rsidR="001844B6" w:rsidRPr="001A69F6" w:rsidRDefault="00A04849" w:rsidP="005A3880">
            <w:pPr>
              <w:pStyle w:val="IAPOA3"/>
            </w:pPr>
            <w:r w:rsidRPr="00A04849">
              <w:t>Recurring</w:t>
            </w:r>
            <w:r w:rsidR="001E0E6D" w:rsidRPr="00A04849">
              <w:t xml:space="preserve"> </w:t>
            </w:r>
            <w:r w:rsidR="001E0E6D" w:rsidRPr="001A69F6">
              <w:t xml:space="preserve">annual benefits (best estimates): Businesses - </w:t>
            </w:r>
            <w:r w:rsidR="001E0E6D" w:rsidRPr="001A69F6" w:rsidDel="00D52E41">
              <w:t>£</w:t>
            </w:r>
            <w:r w:rsidR="005C61DA" w:rsidRPr="001A69F6">
              <w:t>0.</w:t>
            </w:r>
            <w:r w:rsidR="00D52E41" w:rsidRPr="001A69F6">
              <w:t>2</w:t>
            </w:r>
            <w:r w:rsidR="005C61DA" w:rsidRPr="001A69F6">
              <w:t>m</w:t>
            </w:r>
            <w:r w:rsidR="0069627C" w:rsidRPr="001A69F6">
              <w:t xml:space="preserve"> savings </w:t>
            </w:r>
            <w:r w:rsidR="00404A63" w:rsidRPr="001A69F6">
              <w:t xml:space="preserve">arising from Employment Tribunal (ET) and Early Conciliation (EC) claims. </w:t>
            </w:r>
          </w:p>
          <w:p w14:paraId="59FAD2E8" w14:textId="0A04F2D5" w:rsidR="000545B3" w:rsidRPr="001A69F6" w:rsidRDefault="000545B3" w:rsidP="005A3880">
            <w:pPr>
              <w:pStyle w:val="IAPOA3"/>
            </w:pPr>
            <w:r w:rsidRPr="001A69F6">
              <w:t xml:space="preserve">Individuals: </w:t>
            </w:r>
            <w:r w:rsidR="00CD0C5E" w:rsidRPr="001A69F6" w:rsidDel="00D52E41">
              <w:t>£</w:t>
            </w:r>
            <w:r w:rsidR="009560A6" w:rsidRPr="001A69F6">
              <w:t>3.0m (</w:t>
            </w:r>
            <w:r w:rsidR="009B2AC4" w:rsidRPr="001A69F6">
              <w:t>2.9</w:t>
            </w:r>
            <w:r w:rsidR="00174119" w:rsidRPr="001A69F6">
              <w:t>m</w:t>
            </w:r>
            <w:r w:rsidRPr="001A69F6">
              <w:t xml:space="preserve"> </w:t>
            </w:r>
            <w:r w:rsidR="00906CBA" w:rsidRPr="001A69F6">
              <w:t>in</w:t>
            </w:r>
            <w:r w:rsidR="00A4122D" w:rsidRPr="001A69F6">
              <w:t xml:space="preserve"> maternity pay (Statutory Maternity Pay minus Maternity Allowance)</w:t>
            </w:r>
            <w:r w:rsidRPr="001A69F6">
              <w:t xml:space="preserve">, </w:t>
            </w:r>
            <w:r w:rsidR="00174119" w:rsidRPr="001A69F6">
              <w:t>£0.</w:t>
            </w:r>
            <w:r w:rsidR="00BF3521" w:rsidRPr="001A69F6">
              <w:t>1</w:t>
            </w:r>
            <w:r w:rsidR="00FF5B61" w:rsidRPr="001A69F6">
              <w:t>m</w:t>
            </w:r>
            <w:r w:rsidRPr="001A69F6">
              <w:t xml:space="preserve"> </w:t>
            </w:r>
            <w:r w:rsidR="004223D2" w:rsidRPr="001A69F6">
              <w:t>in savings from avoiding ET</w:t>
            </w:r>
            <w:r w:rsidRPr="001A69F6">
              <w:t xml:space="preserve"> and </w:t>
            </w:r>
            <w:r w:rsidR="004223D2" w:rsidRPr="001A69F6">
              <w:t>EC costs</w:t>
            </w:r>
            <w:r w:rsidR="00F9205B" w:rsidRPr="001A69F6">
              <w:t>)</w:t>
            </w:r>
          </w:p>
          <w:p w14:paraId="314541B6" w14:textId="5B8D2E8A" w:rsidR="000545B3" w:rsidRPr="001A69F6" w:rsidRDefault="000545B3" w:rsidP="005A3880">
            <w:pPr>
              <w:pStyle w:val="IAPOA3"/>
            </w:pPr>
            <w:r w:rsidRPr="001A69F6">
              <w:t xml:space="preserve">Exchequer: </w:t>
            </w:r>
            <w:r w:rsidR="006211EF" w:rsidRPr="001A69F6">
              <w:t>£</w:t>
            </w:r>
            <w:r w:rsidR="00C12287" w:rsidRPr="001A69F6">
              <w:t>15.2</w:t>
            </w:r>
            <w:r w:rsidR="006211EF" w:rsidRPr="001A69F6">
              <w:t>m</w:t>
            </w:r>
            <w:r w:rsidRPr="001A69F6">
              <w:t xml:space="preserve"> (</w:t>
            </w:r>
            <w:r w:rsidR="006211EF" w:rsidRPr="001A69F6">
              <w:t>£</w:t>
            </w:r>
            <w:r w:rsidR="002874F4" w:rsidRPr="001A69F6">
              <w:t>15.1</w:t>
            </w:r>
            <w:r w:rsidR="006211EF" w:rsidRPr="001A69F6">
              <w:t>m</w:t>
            </w:r>
            <w:r w:rsidRPr="001A69F6">
              <w:t xml:space="preserve"> savings arising from </w:t>
            </w:r>
            <w:r w:rsidR="001E1C20" w:rsidRPr="001A69F6">
              <w:t>Maternity Allowance</w:t>
            </w:r>
            <w:r w:rsidRPr="001A69F6">
              <w:t xml:space="preserve">, </w:t>
            </w:r>
            <w:r w:rsidR="006211EF" w:rsidRPr="001A69F6">
              <w:t>£0.</w:t>
            </w:r>
            <w:r w:rsidR="004A4165" w:rsidRPr="001A69F6">
              <w:t>1</w:t>
            </w:r>
            <w:r w:rsidR="006211EF" w:rsidRPr="001A69F6">
              <w:t>m</w:t>
            </w:r>
            <w:r w:rsidRPr="001A69F6">
              <w:t xml:space="preserve"> savings arising from ET and EC claims) </w:t>
            </w:r>
          </w:p>
        </w:tc>
      </w:tr>
      <w:tr w:rsidR="001844B6" w:rsidRPr="001A69F6" w14:paraId="258A9ADB" w14:textId="77777777" w:rsidTr="00F7668F">
        <w:trPr>
          <w:trHeight w:hRule="exact" w:val="1682"/>
        </w:trPr>
        <w:tc>
          <w:tcPr>
            <w:tcW w:w="10362" w:type="dxa"/>
            <w:gridSpan w:val="6"/>
          </w:tcPr>
          <w:p w14:paraId="3C34BAC1" w14:textId="77777777" w:rsidR="001844B6" w:rsidRPr="001A69F6" w:rsidRDefault="001844B6" w:rsidP="005A3880">
            <w:pPr>
              <w:pStyle w:val="IAPOQ4"/>
              <w:rPr>
                <w:szCs w:val="22"/>
              </w:rPr>
            </w:pPr>
            <w:r w:rsidRPr="001A69F6">
              <w:t xml:space="preserve">Other key non-monetised benefits by ‘main affected groups’ </w:t>
            </w:r>
          </w:p>
          <w:p w14:paraId="4804987D" w14:textId="59B7BBF4" w:rsidR="00391F6B" w:rsidRPr="001A69F6" w:rsidRDefault="00391F6B" w:rsidP="005A3880">
            <w:pPr>
              <w:pStyle w:val="IAPOA4"/>
            </w:pPr>
            <w:r w:rsidRPr="001A69F6">
              <w:t>Individuals will benefit from retained employment and wages</w:t>
            </w:r>
            <w:r w:rsidR="00C2534A" w:rsidRPr="001A69F6">
              <w:t xml:space="preserve">. </w:t>
            </w:r>
            <w:r w:rsidR="00F7668F" w:rsidRPr="001A69F6">
              <w:t xml:space="preserve">Business will benefit from output of retained worker </w:t>
            </w:r>
            <w:r w:rsidRPr="001A69F6">
              <w:t xml:space="preserve">(Annex </w:t>
            </w:r>
            <w:r w:rsidR="00AD615A" w:rsidRPr="001A69F6">
              <w:t>B</w:t>
            </w:r>
            <w:r w:rsidRPr="001A69F6">
              <w:t>)</w:t>
            </w:r>
            <w:r w:rsidR="00F7668F" w:rsidRPr="001A69F6">
              <w:t>.</w:t>
            </w:r>
          </w:p>
          <w:p w14:paraId="4DED5960" w14:textId="769D7015" w:rsidR="001844B6" w:rsidRPr="001A69F6" w:rsidRDefault="00DB2DEA" w:rsidP="005A3880">
            <w:pPr>
              <w:pStyle w:val="IAPOA4"/>
            </w:pPr>
            <w:r w:rsidRPr="001A69F6">
              <w:t>Pregnant women and new parents will benefit from improved work environments,</w:t>
            </w:r>
            <w:r w:rsidR="00692472" w:rsidRPr="001A69F6">
              <w:t xml:space="preserve"> reduced discrimination in workplaces, and </w:t>
            </w:r>
            <w:r w:rsidR="00B333AA" w:rsidRPr="001A69F6">
              <w:t xml:space="preserve">improved job stability and career </w:t>
            </w:r>
            <w:r w:rsidR="008F588D" w:rsidRPr="001A69F6">
              <w:t xml:space="preserve">progression. </w:t>
            </w:r>
            <w:r w:rsidR="0099058E" w:rsidRPr="001A69F6">
              <w:t>These factors may impact positively on</w:t>
            </w:r>
            <w:r w:rsidR="00CD2BBA" w:rsidRPr="001A69F6">
              <w:t xml:space="preserve"> the health and well-being of affected individuals.</w:t>
            </w:r>
            <w:r w:rsidR="000A1D7F" w:rsidRPr="001A69F6">
              <w:t xml:space="preserve"> </w:t>
            </w:r>
          </w:p>
        </w:tc>
      </w:tr>
      <w:tr w:rsidR="001844B6" w:rsidRPr="001A69F6" w14:paraId="6A1C8944" w14:textId="77777777" w:rsidTr="00950571">
        <w:trPr>
          <w:trHeight w:hRule="exact" w:val="346"/>
        </w:trPr>
        <w:tc>
          <w:tcPr>
            <w:tcW w:w="9502" w:type="dxa"/>
            <w:gridSpan w:val="5"/>
            <w:tcBorders>
              <w:bottom w:val="nil"/>
            </w:tcBorders>
          </w:tcPr>
          <w:p w14:paraId="51639B60" w14:textId="77777777" w:rsidR="001844B6" w:rsidRPr="001A69F6" w:rsidRDefault="001844B6" w:rsidP="007E190E">
            <w:pPr>
              <w:pStyle w:val="IATableLabel"/>
              <w:tabs>
                <w:tab w:val="left" w:pos="7655"/>
              </w:tabs>
            </w:pPr>
            <w:r w:rsidRPr="001A69F6">
              <w:rPr>
                <w:rStyle w:val="IAPOQ5Char"/>
                <w:b/>
              </w:rPr>
              <w:t>Key assumptions/sensitivities/risks</w:t>
            </w:r>
            <w:r w:rsidRPr="001A69F6">
              <w:tab/>
              <w:t>Discount rate (%)</w:t>
            </w:r>
          </w:p>
          <w:p w14:paraId="754C8737" w14:textId="77777777" w:rsidR="001844B6" w:rsidRPr="001A69F6" w:rsidRDefault="001844B6" w:rsidP="005A3880">
            <w:pPr>
              <w:pStyle w:val="IATableLabel"/>
            </w:pPr>
          </w:p>
        </w:tc>
        <w:tc>
          <w:tcPr>
            <w:tcW w:w="860" w:type="dxa"/>
            <w:tcBorders>
              <w:bottom w:val="single" w:sz="4" w:space="0" w:color="auto"/>
            </w:tcBorders>
          </w:tcPr>
          <w:p w14:paraId="13EC44EA" w14:textId="6D0FB905" w:rsidR="001844B6" w:rsidRPr="001A69F6" w:rsidRDefault="002874F4" w:rsidP="005A3880">
            <w:pPr>
              <w:pStyle w:val="IAPODisRate"/>
            </w:pPr>
            <w:r w:rsidRPr="001A69F6">
              <w:t>3.5%</w:t>
            </w:r>
          </w:p>
        </w:tc>
      </w:tr>
      <w:tr w:rsidR="001844B6" w:rsidRPr="001A69F6" w14:paraId="794359BD" w14:textId="77777777" w:rsidTr="00950571">
        <w:trPr>
          <w:trHeight w:hRule="exact" w:val="1375"/>
        </w:trPr>
        <w:tc>
          <w:tcPr>
            <w:tcW w:w="10362" w:type="dxa"/>
            <w:gridSpan w:val="6"/>
            <w:tcBorders>
              <w:top w:val="nil"/>
              <w:bottom w:val="single" w:sz="12" w:space="0" w:color="auto"/>
            </w:tcBorders>
          </w:tcPr>
          <w:p w14:paraId="63CAE1BF" w14:textId="188AD480" w:rsidR="00850CD9" w:rsidRPr="001A69F6" w:rsidRDefault="00854C5C" w:rsidP="00621BC8">
            <w:pPr>
              <w:pStyle w:val="IAPOA5"/>
            </w:pPr>
            <w:r w:rsidRPr="001A69F6">
              <w:t xml:space="preserve">Estimated costs and benefits are sensitive to </w:t>
            </w:r>
            <w:r w:rsidR="00454F4C" w:rsidRPr="001A69F6">
              <w:t xml:space="preserve">modelling of employers’ </w:t>
            </w:r>
            <w:r w:rsidR="00275C60" w:rsidRPr="001A69F6">
              <w:t xml:space="preserve">and employees </w:t>
            </w:r>
            <w:r w:rsidR="00454F4C" w:rsidRPr="001A69F6">
              <w:t>behavioural responses to the policy</w:t>
            </w:r>
            <w:r w:rsidR="00275C60" w:rsidRPr="001A69F6">
              <w:t xml:space="preserve">, these are discussed in more detail in Annex </w:t>
            </w:r>
            <w:r w:rsidR="00812B28" w:rsidRPr="001A69F6">
              <w:t>C</w:t>
            </w:r>
            <w:r w:rsidR="00275C60" w:rsidRPr="001A69F6">
              <w:t>.</w:t>
            </w:r>
            <w:r w:rsidR="006E6915" w:rsidRPr="001A69F6">
              <w:t xml:space="preserve"> </w:t>
            </w:r>
            <w:r w:rsidR="00275C60" w:rsidRPr="001A69F6">
              <w:t>The main economic assessment relies on</w:t>
            </w:r>
            <w:r w:rsidR="005E31FE" w:rsidRPr="001A69F6">
              <w:t xml:space="preserve"> fewer theoretical assumptions</w:t>
            </w:r>
            <w:r w:rsidR="00DD6B83" w:rsidRPr="001A69F6">
              <w:t xml:space="preserve">, </w:t>
            </w:r>
            <w:r w:rsidR="00912820" w:rsidRPr="001A69F6">
              <w:t xml:space="preserve">known </w:t>
            </w:r>
            <w:r w:rsidR="00D12A60" w:rsidRPr="001A69F6">
              <w:t>cost/benefits</w:t>
            </w:r>
            <w:r w:rsidR="00912820" w:rsidRPr="001A69F6">
              <w:t xml:space="preserve"> </w:t>
            </w:r>
            <w:r w:rsidR="00057928" w:rsidRPr="001A69F6">
              <w:t>such as the amount of Statutory Maternity Pay</w:t>
            </w:r>
            <w:r w:rsidR="00D12A60" w:rsidRPr="001A69F6">
              <w:t>/</w:t>
            </w:r>
            <w:r w:rsidR="00D50F6B" w:rsidRPr="001A69F6">
              <w:t>Maternity Allowance</w:t>
            </w:r>
            <w:r w:rsidR="00057928" w:rsidRPr="001A69F6">
              <w:t xml:space="preserve"> </w:t>
            </w:r>
            <w:r w:rsidR="00D50F6B" w:rsidRPr="001A69F6">
              <w:t xml:space="preserve">and standard approaches to estimating </w:t>
            </w:r>
            <w:r w:rsidR="00621BC8" w:rsidRPr="001A69F6">
              <w:t xml:space="preserve">employer </w:t>
            </w:r>
            <w:r w:rsidR="00D50F6B" w:rsidRPr="001A69F6">
              <w:t>familiarisation</w:t>
            </w:r>
            <w:r w:rsidR="00621BC8" w:rsidRPr="001A69F6">
              <w:t>.</w:t>
            </w:r>
          </w:p>
        </w:tc>
      </w:tr>
    </w:tbl>
    <w:p w14:paraId="27D6A372" w14:textId="77777777" w:rsidR="001844B6" w:rsidRPr="001A69F6" w:rsidRDefault="001844B6" w:rsidP="005A3880">
      <w:pPr>
        <w:pStyle w:val="IASpacer"/>
      </w:pPr>
    </w:p>
    <w:p w14:paraId="2A963596" w14:textId="0C738676" w:rsidR="0005543F" w:rsidRPr="001A69F6" w:rsidRDefault="0005543F" w:rsidP="005A3880">
      <w:pPr>
        <w:pStyle w:val="IAHeadLabel"/>
        <w:spacing w:before="50"/>
      </w:pPr>
    </w:p>
    <w:p w14:paraId="70490296" w14:textId="2C40BF7E" w:rsidR="001844B6" w:rsidRPr="001A69F6" w:rsidRDefault="00F63895" w:rsidP="005A3880">
      <w:pPr>
        <w:pStyle w:val="IAHeadLabel"/>
        <w:spacing w:before="50"/>
      </w:pPr>
      <w:r w:rsidRPr="001A69F6">
        <w:t xml:space="preserve">BUSINESS </w:t>
      </w:r>
      <w:r w:rsidR="001844B6" w:rsidRPr="001A69F6">
        <w:t xml:space="preserve">ASSESSMENT (Option </w:t>
      </w:r>
      <w:r w:rsidR="001E69A2" w:rsidRPr="001A69F6">
        <w:rPr>
          <w:noProof/>
        </w:rPr>
        <w:fldChar w:fldCharType="begin"/>
      </w:r>
      <w:r w:rsidR="001E69A2" w:rsidRPr="001A69F6">
        <w:rPr>
          <w:noProof/>
        </w:rPr>
        <w:instrText xml:space="preserve"> SEQ BA </w:instrText>
      </w:r>
      <w:r w:rsidR="001E69A2" w:rsidRPr="001A69F6">
        <w:rPr>
          <w:noProof/>
        </w:rPr>
        <w:fldChar w:fldCharType="separate"/>
      </w:r>
      <w:r w:rsidR="00D730F8" w:rsidRPr="001A69F6">
        <w:rPr>
          <w:noProof/>
        </w:rPr>
        <w:t>1</w:t>
      </w:r>
      <w:r w:rsidR="001E69A2" w:rsidRPr="001A69F6">
        <w:rPr>
          <w:noProof/>
        </w:rPr>
        <w:fldChar w:fldCharType="end"/>
      </w:r>
      <w:r w:rsidR="001844B6" w:rsidRPr="001A69F6">
        <w:t>)</w:t>
      </w:r>
    </w:p>
    <w:tbl>
      <w:tblPr>
        <w:tblW w:w="5067" w:type="pct"/>
        <w:tblInd w:w="-137" w:type="dxa"/>
        <w:tblBorders>
          <w:top w:val="single" w:sz="4" w:space="0" w:color="auto"/>
          <w:left w:val="single" w:sz="4" w:space="0" w:color="auto"/>
          <w:bottom w:val="single" w:sz="4" w:space="0" w:color="auto"/>
          <w:right w:val="single" w:sz="4" w:space="0" w:color="auto"/>
        </w:tblBorders>
        <w:tblLayout w:type="fixed"/>
        <w:tblCellMar>
          <w:left w:w="0" w:type="dxa"/>
          <w:right w:w="0" w:type="dxa"/>
        </w:tblCellMar>
        <w:tblLook w:val="01E0" w:firstRow="1" w:lastRow="1" w:firstColumn="1" w:lastColumn="1" w:noHBand="0" w:noVBand="0"/>
      </w:tblPr>
      <w:tblGrid>
        <w:gridCol w:w="1981"/>
        <w:gridCol w:w="1839"/>
        <w:gridCol w:w="1698"/>
        <w:gridCol w:w="4814"/>
      </w:tblGrid>
      <w:tr w:rsidR="00FD4195" w:rsidRPr="001A69F6" w14:paraId="1F316219" w14:textId="77777777" w:rsidTr="00950571">
        <w:trPr>
          <w:trHeight w:hRule="exact" w:val="384"/>
        </w:trPr>
        <w:tc>
          <w:tcPr>
            <w:tcW w:w="5529" w:type="dxa"/>
            <w:gridSpan w:val="3"/>
            <w:tcBorders>
              <w:top w:val="single" w:sz="4" w:space="0" w:color="auto"/>
              <w:bottom w:val="nil"/>
              <w:right w:val="single" w:sz="4" w:space="0" w:color="auto"/>
            </w:tcBorders>
          </w:tcPr>
          <w:p w14:paraId="3BF51AD8" w14:textId="77777777" w:rsidR="00FD4195" w:rsidRPr="001A69F6" w:rsidRDefault="00FD4195" w:rsidP="005A3880">
            <w:pPr>
              <w:pStyle w:val="IATableLabel"/>
            </w:pPr>
            <w:r w:rsidRPr="001A69F6">
              <w:t xml:space="preserve">Direct impact on business (Equivalent Annual) £m: </w:t>
            </w:r>
          </w:p>
        </w:tc>
        <w:tc>
          <w:tcPr>
            <w:tcW w:w="4823" w:type="dxa"/>
            <w:vMerge w:val="restart"/>
            <w:tcBorders>
              <w:top w:val="single" w:sz="4" w:space="0" w:color="auto"/>
              <w:left w:val="single" w:sz="4" w:space="0" w:color="auto"/>
            </w:tcBorders>
          </w:tcPr>
          <w:p w14:paraId="4513AF1A" w14:textId="77777777" w:rsidR="00FD4195" w:rsidRPr="001A69F6" w:rsidRDefault="00FD4195" w:rsidP="00C96388">
            <w:pPr>
              <w:pStyle w:val="IATableLabel"/>
            </w:pPr>
            <w:r w:rsidRPr="001A69F6">
              <w:t>Score for Business Impact Target (qualifying provisions only)</w:t>
            </w:r>
            <w:r w:rsidR="00C96388" w:rsidRPr="001A69F6">
              <w:t xml:space="preserve"> £m:</w:t>
            </w:r>
          </w:p>
        </w:tc>
      </w:tr>
      <w:tr w:rsidR="00FD4195" w:rsidRPr="001A69F6" w14:paraId="195CC3CB" w14:textId="77777777" w:rsidTr="00950571">
        <w:trPr>
          <w:trHeight w:hRule="exact" w:val="340"/>
        </w:trPr>
        <w:tc>
          <w:tcPr>
            <w:tcW w:w="1985" w:type="dxa"/>
            <w:vMerge w:val="restart"/>
            <w:tcBorders>
              <w:top w:val="nil"/>
              <w:right w:val="single" w:sz="4" w:space="0" w:color="auto"/>
            </w:tcBorders>
            <w:shd w:val="clear" w:color="auto" w:fill="FFFFFF"/>
          </w:tcPr>
          <w:p w14:paraId="448D10E7" w14:textId="7DAC6881" w:rsidR="00FD4195" w:rsidRPr="001A69F6" w:rsidRDefault="00FD4195" w:rsidP="005A3880">
            <w:pPr>
              <w:pStyle w:val="IATableLabel"/>
            </w:pPr>
            <w:r w:rsidRPr="001A69F6">
              <w:t xml:space="preserve">Costs: </w:t>
            </w:r>
            <w:r w:rsidR="00844DD8" w:rsidRPr="001A69F6">
              <w:rPr>
                <w:rStyle w:val="IAPODICostChar"/>
                <w:b/>
                <w:sz w:val="20"/>
              </w:rPr>
              <w:t>3.</w:t>
            </w:r>
            <w:r w:rsidR="00595A48" w:rsidRPr="001A69F6">
              <w:rPr>
                <w:rStyle w:val="IAPODICostChar"/>
                <w:b/>
                <w:sz w:val="20"/>
              </w:rPr>
              <w:t>7</w:t>
            </w:r>
            <w:r w:rsidR="003A4234" w:rsidRPr="001A69F6">
              <w:rPr>
                <w:rStyle w:val="IAPODICostChar"/>
                <w:b/>
                <w:sz w:val="20"/>
              </w:rPr>
              <w:t>*</w:t>
            </w:r>
          </w:p>
        </w:tc>
        <w:tc>
          <w:tcPr>
            <w:tcW w:w="1843" w:type="dxa"/>
            <w:vMerge w:val="restart"/>
            <w:tcBorders>
              <w:top w:val="nil"/>
              <w:right w:val="single" w:sz="4" w:space="0" w:color="auto"/>
            </w:tcBorders>
            <w:shd w:val="clear" w:color="auto" w:fill="FFFFFF"/>
          </w:tcPr>
          <w:p w14:paraId="72CE541E" w14:textId="38107A5D" w:rsidR="00FD4195" w:rsidRPr="001A69F6" w:rsidRDefault="00FD4195" w:rsidP="005A3880">
            <w:pPr>
              <w:pStyle w:val="IATableLabel"/>
            </w:pPr>
            <w:r w:rsidRPr="001A69F6">
              <w:t xml:space="preserve">Benefits: </w:t>
            </w:r>
            <w:r w:rsidR="00E25F5C" w:rsidRPr="001A69F6">
              <w:rPr>
                <w:rStyle w:val="IAPODIBenChar"/>
                <w:sz w:val="20"/>
              </w:rPr>
              <w:t>0</w:t>
            </w:r>
            <w:r w:rsidR="00844DD8" w:rsidRPr="001A69F6">
              <w:rPr>
                <w:rStyle w:val="IAPODIBenChar"/>
                <w:sz w:val="20"/>
              </w:rPr>
              <w:t>.2</w:t>
            </w:r>
            <w:r w:rsidR="003A4234" w:rsidRPr="001A69F6">
              <w:rPr>
                <w:rStyle w:val="IAPODIBenChar"/>
                <w:sz w:val="20"/>
              </w:rPr>
              <w:t>*</w:t>
            </w:r>
          </w:p>
        </w:tc>
        <w:tc>
          <w:tcPr>
            <w:tcW w:w="1701" w:type="dxa"/>
            <w:vMerge w:val="restart"/>
            <w:tcBorders>
              <w:top w:val="nil"/>
              <w:right w:val="single" w:sz="4" w:space="0" w:color="auto"/>
            </w:tcBorders>
            <w:shd w:val="clear" w:color="auto" w:fill="FFFFFF"/>
          </w:tcPr>
          <w:p w14:paraId="707DF9CF" w14:textId="3F0DA823" w:rsidR="00FD4195" w:rsidRPr="001A69F6" w:rsidRDefault="00FD4195" w:rsidP="005A3880">
            <w:pPr>
              <w:pStyle w:val="IATableLabel"/>
            </w:pPr>
            <w:r w:rsidRPr="001A69F6">
              <w:t xml:space="preserve">Net: </w:t>
            </w:r>
            <w:r w:rsidR="00844DD8" w:rsidRPr="001A69F6">
              <w:rPr>
                <w:rStyle w:val="IAPODINetChar"/>
                <w:sz w:val="20"/>
              </w:rPr>
              <w:t>3.</w:t>
            </w:r>
            <w:r w:rsidR="000401B1" w:rsidRPr="001A69F6">
              <w:rPr>
                <w:rStyle w:val="IAPODINetChar"/>
                <w:sz w:val="20"/>
              </w:rPr>
              <w:t>6</w:t>
            </w:r>
            <w:r w:rsidR="003A4234" w:rsidRPr="001A69F6">
              <w:rPr>
                <w:rStyle w:val="IAPODINetChar"/>
                <w:sz w:val="20"/>
              </w:rPr>
              <w:t>*</w:t>
            </w:r>
          </w:p>
        </w:tc>
        <w:tc>
          <w:tcPr>
            <w:tcW w:w="4823" w:type="dxa"/>
            <w:vMerge/>
            <w:tcBorders>
              <w:left w:val="single" w:sz="4" w:space="0" w:color="auto"/>
              <w:bottom w:val="single" w:sz="4" w:space="0" w:color="auto"/>
            </w:tcBorders>
            <w:shd w:val="clear" w:color="auto" w:fill="FFFFFF"/>
          </w:tcPr>
          <w:p w14:paraId="2BE55E3B" w14:textId="77777777" w:rsidR="00FD4195" w:rsidRPr="001A69F6" w:rsidRDefault="00FD4195" w:rsidP="005A3880">
            <w:pPr>
              <w:pStyle w:val="IAPODIMQ"/>
            </w:pPr>
          </w:p>
        </w:tc>
      </w:tr>
      <w:tr w:rsidR="00FD4195" w:rsidRPr="001A69F6" w14:paraId="161EB523" w14:textId="77777777" w:rsidTr="00950571">
        <w:trPr>
          <w:trHeight w:hRule="exact" w:val="340"/>
        </w:trPr>
        <w:tc>
          <w:tcPr>
            <w:tcW w:w="1985" w:type="dxa"/>
            <w:vMerge/>
            <w:tcBorders>
              <w:bottom w:val="single" w:sz="4" w:space="0" w:color="auto"/>
              <w:right w:val="single" w:sz="4" w:space="0" w:color="auto"/>
            </w:tcBorders>
            <w:shd w:val="clear" w:color="auto" w:fill="FFFFFF"/>
          </w:tcPr>
          <w:p w14:paraId="16D00BBB" w14:textId="77777777" w:rsidR="00FD4195" w:rsidRPr="001A69F6" w:rsidRDefault="00FD4195" w:rsidP="005A3880">
            <w:pPr>
              <w:pStyle w:val="IATableLabel"/>
              <w:rPr>
                <w:highlight w:val="yellow"/>
              </w:rPr>
            </w:pPr>
          </w:p>
        </w:tc>
        <w:tc>
          <w:tcPr>
            <w:tcW w:w="1843" w:type="dxa"/>
            <w:vMerge/>
            <w:tcBorders>
              <w:bottom w:val="single" w:sz="4" w:space="0" w:color="auto"/>
              <w:right w:val="single" w:sz="4" w:space="0" w:color="auto"/>
            </w:tcBorders>
            <w:shd w:val="clear" w:color="auto" w:fill="FFFFFF"/>
          </w:tcPr>
          <w:p w14:paraId="465EB543" w14:textId="77777777" w:rsidR="00FD4195" w:rsidRPr="001A69F6" w:rsidRDefault="00FD4195" w:rsidP="005A3880">
            <w:pPr>
              <w:pStyle w:val="IATableLabel"/>
              <w:rPr>
                <w:highlight w:val="yellow"/>
              </w:rPr>
            </w:pPr>
          </w:p>
        </w:tc>
        <w:tc>
          <w:tcPr>
            <w:tcW w:w="1701" w:type="dxa"/>
            <w:vMerge/>
            <w:tcBorders>
              <w:bottom w:val="single" w:sz="4" w:space="0" w:color="auto"/>
              <w:right w:val="single" w:sz="4" w:space="0" w:color="auto"/>
            </w:tcBorders>
            <w:shd w:val="clear" w:color="auto" w:fill="FFFFFF"/>
          </w:tcPr>
          <w:p w14:paraId="3A5CAB40" w14:textId="77777777" w:rsidR="00FD4195" w:rsidRPr="001A69F6" w:rsidRDefault="00FD4195" w:rsidP="005A3880">
            <w:pPr>
              <w:pStyle w:val="IATableLabel"/>
            </w:pPr>
          </w:p>
        </w:tc>
        <w:bookmarkStart w:id="20" w:name="Text71"/>
        <w:tc>
          <w:tcPr>
            <w:tcW w:w="4823" w:type="dxa"/>
            <w:tcBorders>
              <w:top w:val="nil"/>
              <w:left w:val="single" w:sz="4" w:space="0" w:color="auto"/>
              <w:bottom w:val="single" w:sz="4" w:space="0" w:color="auto"/>
            </w:tcBorders>
            <w:shd w:val="clear" w:color="auto" w:fill="FFFFFF"/>
          </w:tcPr>
          <w:p w14:paraId="10227CE9" w14:textId="0D805BD2" w:rsidR="00FD4195" w:rsidRPr="001A69F6" w:rsidRDefault="00D41FA2" w:rsidP="005A3880">
            <w:pPr>
              <w:pStyle w:val="IAPODIMQ"/>
            </w:pPr>
            <w:r w:rsidRPr="001A69F6">
              <w:fldChar w:fldCharType="begin">
                <w:ffData>
                  <w:name w:val="Text71"/>
                  <w:enabled/>
                  <w:calcOnExit w:val="0"/>
                  <w:textInput/>
                </w:ffData>
              </w:fldChar>
            </w:r>
            <w:r w:rsidRPr="001A69F6">
              <w:instrText xml:space="preserve"> FORMTEXT </w:instrText>
            </w:r>
            <w:r w:rsidRPr="001A69F6">
              <w:fldChar w:fldCharType="separate"/>
            </w:r>
            <w:r w:rsidRPr="001A69F6">
              <w:t> </w:t>
            </w:r>
            <w:r w:rsidRPr="001A69F6">
              <w:t> </w:t>
            </w:r>
            <w:r w:rsidRPr="001A69F6">
              <w:t> </w:t>
            </w:r>
            <w:r w:rsidRPr="001A69F6">
              <w:t> </w:t>
            </w:r>
            <w:r w:rsidRPr="001A69F6">
              <w:t> </w:t>
            </w:r>
            <w:r w:rsidRPr="001A69F6">
              <w:fldChar w:fldCharType="end"/>
            </w:r>
            <w:bookmarkEnd w:id="20"/>
            <w:r w:rsidR="008C3D2D" w:rsidRPr="001A69F6">
              <w:t>1</w:t>
            </w:r>
            <w:r w:rsidR="001B509E" w:rsidRPr="001A69F6">
              <w:t>7</w:t>
            </w:r>
            <w:r w:rsidR="008C3D2D" w:rsidRPr="001A69F6">
              <w:t>.</w:t>
            </w:r>
            <w:r w:rsidR="001B509E" w:rsidRPr="001A69F6">
              <w:t>8</w:t>
            </w:r>
            <w:r w:rsidR="003A4234" w:rsidRPr="001A69F6">
              <w:t>*</w:t>
            </w:r>
            <w:r w:rsidR="003A4234" w:rsidRPr="001A69F6">
              <w:rPr>
                <w:rStyle w:val="FootnoteReference"/>
                <w:color w:val="FFFFFF" w:themeColor="background1"/>
              </w:rPr>
              <w:footnoteReference w:id="3"/>
            </w:r>
          </w:p>
        </w:tc>
      </w:tr>
    </w:tbl>
    <w:p w14:paraId="3317C5EC" w14:textId="77777777" w:rsidR="00854B58" w:rsidRPr="001A69F6" w:rsidRDefault="00854B58" w:rsidP="005A3880">
      <w:pPr>
        <w:sectPr w:rsidR="00854B58" w:rsidRPr="001A69F6" w:rsidSect="007E5F1C">
          <w:footnotePr>
            <w:numRestart w:val="eachSect"/>
          </w:footnotePr>
          <w:pgSz w:w="11907" w:h="16840" w:code="9"/>
          <w:pgMar w:top="680" w:right="851" w:bottom="680" w:left="851" w:header="284" w:footer="284" w:gutter="0"/>
          <w:cols w:space="708"/>
          <w:docGrid w:linePitch="360"/>
        </w:sectPr>
      </w:pPr>
    </w:p>
    <w:p w14:paraId="3210D024" w14:textId="2758A9C4" w:rsidR="00F70A77" w:rsidRPr="00E639A0" w:rsidRDefault="00F70A77">
      <w:pPr>
        <w:pStyle w:val="Heading1"/>
        <w:spacing w:before="0"/>
        <w:rPr>
          <w:rFonts w:ascii="Arial" w:hAnsi="Arial"/>
          <w:sz w:val="24"/>
          <w:szCs w:val="24"/>
        </w:rPr>
      </w:pPr>
      <w:bookmarkStart w:id="21" w:name="EvidenceHead"/>
      <w:bookmarkStart w:id="22" w:name="_Hlk521681629"/>
      <w:r w:rsidRPr="00E639A0">
        <w:rPr>
          <w:rFonts w:ascii="Arial" w:hAnsi="Arial"/>
          <w:sz w:val="24"/>
          <w:szCs w:val="24"/>
        </w:rPr>
        <w:lastRenderedPageBreak/>
        <w:t xml:space="preserve">Evidence Base </w:t>
      </w:r>
      <w:bookmarkStart w:id="23" w:name="EvidenceBase"/>
      <w:bookmarkEnd w:id="23"/>
      <w:r w:rsidRPr="00E639A0">
        <w:rPr>
          <w:rFonts w:ascii="Arial" w:hAnsi="Arial"/>
          <w:sz w:val="24"/>
          <w:szCs w:val="24"/>
        </w:rPr>
        <w:t>(for summary sheets)</w:t>
      </w:r>
    </w:p>
    <w:p w14:paraId="46B9A3C0" w14:textId="64F8BEDA" w:rsidR="002E1DFA" w:rsidRPr="00E639A0" w:rsidRDefault="002E1DFA" w:rsidP="002E1DFA">
      <w:pPr>
        <w:pStyle w:val="Heading2"/>
        <w:rPr>
          <w:b/>
          <w:bCs w:val="0"/>
          <w:sz w:val="24"/>
          <w:szCs w:val="24"/>
        </w:rPr>
      </w:pPr>
      <w:r w:rsidRPr="00E639A0">
        <w:rPr>
          <w:b/>
          <w:bCs w:val="0"/>
          <w:sz w:val="24"/>
          <w:szCs w:val="24"/>
        </w:rPr>
        <w:t>Problem under consideration</w:t>
      </w:r>
    </w:p>
    <w:p w14:paraId="5ACBCA00" w14:textId="77777777" w:rsidR="002E1DFA" w:rsidRPr="00E639A0" w:rsidRDefault="002E1DFA" w:rsidP="002E1DFA">
      <w:pPr>
        <w:pStyle w:val="Default"/>
      </w:pPr>
    </w:p>
    <w:p w14:paraId="57114641" w14:textId="00CCBA18" w:rsidR="002E1DFA" w:rsidRPr="00E639A0" w:rsidRDefault="002E1DFA" w:rsidP="006135AD">
      <w:pPr>
        <w:pStyle w:val="ListParagraph"/>
        <w:numPr>
          <w:ilvl w:val="0"/>
          <w:numId w:val="7"/>
        </w:numPr>
        <w:rPr>
          <w:rFonts w:cs="Arial"/>
          <w:bCs/>
          <w:color w:val="000000"/>
          <w:lang w:eastAsia="en-GB"/>
        </w:rPr>
      </w:pPr>
      <w:r w:rsidRPr="00E639A0">
        <w:rPr>
          <w:rFonts w:cs="Arial"/>
          <w:bCs/>
          <w:color w:val="000000"/>
          <w:lang w:eastAsia="en-GB"/>
        </w:rPr>
        <w:t xml:space="preserve">In 2016, </w:t>
      </w:r>
      <w:r w:rsidRPr="00E639A0">
        <w:rPr>
          <w:rFonts w:cs="Arial"/>
        </w:rPr>
        <w:t xml:space="preserve">BIS and EHRC commissioned research to investigate the prevalence and nature of maternity and pregnancy discrimination in the workplace. </w:t>
      </w:r>
      <w:r w:rsidRPr="00E639A0">
        <w:rPr>
          <w:rFonts w:cs="Arial"/>
          <w:bCs/>
          <w:color w:val="000000"/>
          <w:lang w:eastAsia="en-GB"/>
        </w:rPr>
        <w:t>The research found that 77% mothers surveyed had experienced at least one discriminatory or possibly discriminatory experience</w:t>
      </w:r>
      <w:r w:rsidR="000700DE" w:rsidRPr="00E639A0">
        <w:rPr>
          <w:rFonts w:cs="Arial"/>
          <w:bCs/>
          <w:color w:val="000000"/>
          <w:lang w:eastAsia="en-GB"/>
        </w:rPr>
        <w:t xml:space="preserve"> </w:t>
      </w:r>
      <w:r w:rsidR="00D05599" w:rsidRPr="00E639A0">
        <w:rPr>
          <w:rFonts w:cs="Arial"/>
          <w:bCs/>
          <w:color w:val="000000"/>
          <w:lang w:eastAsia="en-GB"/>
        </w:rPr>
        <w:t>at work</w:t>
      </w:r>
      <w:r w:rsidRPr="00E639A0">
        <w:rPr>
          <w:rFonts w:cs="Arial"/>
          <w:bCs/>
          <w:color w:val="000000"/>
          <w:lang w:eastAsia="en-GB"/>
        </w:rPr>
        <w:t>, and 69% had experienced two or more such experiences. 11% of mothers surveyed felt forced to leave their job, either by being dismissed, made compulsorily redundant or because they were treated so poorly that they felt they had to leave.</w:t>
      </w:r>
      <w:r w:rsidR="00982184" w:rsidRPr="00E639A0">
        <w:rPr>
          <w:rFonts w:cs="Arial"/>
        </w:rPr>
        <w:t xml:space="preserve"> </w:t>
      </w:r>
      <w:r w:rsidR="000B02E3" w:rsidRPr="00E639A0">
        <w:rPr>
          <w:rFonts w:cs="Arial"/>
        </w:rPr>
        <w:t>If we scale</w:t>
      </w:r>
      <w:r w:rsidR="00982184" w:rsidRPr="00E639A0">
        <w:rPr>
          <w:rFonts w:cs="Arial"/>
        </w:rPr>
        <w:t xml:space="preserve"> up </w:t>
      </w:r>
      <w:r w:rsidR="000B02E3" w:rsidRPr="00E639A0">
        <w:rPr>
          <w:rFonts w:cs="Arial"/>
        </w:rPr>
        <w:t xml:space="preserve">this research </w:t>
      </w:r>
      <w:r w:rsidR="00982184" w:rsidRPr="00E639A0">
        <w:rPr>
          <w:rFonts w:cs="Arial"/>
        </w:rPr>
        <w:t>to</w:t>
      </w:r>
      <w:r w:rsidR="00982184" w:rsidRPr="00E639A0">
        <w:rPr>
          <w:rFonts w:cs="Arial"/>
          <w:bCs/>
          <w:color w:val="000000"/>
          <w:lang w:eastAsia="en-GB"/>
        </w:rPr>
        <w:t xml:space="preserve"> the general population this could mean up to 54,000 women a year</w:t>
      </w:r>
      <w:r w:rsidR="0093479C" w:rsidRPr="00E639A0">
        <w:rPr>
          <w:rFonts w:cs="Arial"/>
        </w:rPr>
        <w:t xml:space="preserve">. </w:t>
      </w:r>
      <w:r w:rsidRPr="00E639A0">
        <w:rPr>
          <w:rFonts w:cs="Arial"/>
        </w:rPr>
        <w:t xml:space="preserve">Discrimination against pregnant women and mothers was found to have increased since </w:t>
      </w:r>
      <w:r w:rsidR="00A7257A" w:rsidRPr="00E639A0">
        <w:rPr>
          <w:rFonts w:cs="Arial"/>
        </w:rPr>
        <w:t xml:space="preserve">2005, when </w:t>
      </w:r>
      <w:r w:rsidRPr="00E639A0">
        <w:rPr>
          <w:rFonts w:cs="Arial"/>
        </w:rPr>
        <w:t xml:space="preserve">similar research </w:t>
      </w:r>
      <w:r w:rsidR="00A7257A" w:rsidRPr="00E639A0">
        <w:rPr>
          <w:rFonts w:cs="Arial"/>
        </w:rPr>
        <w:t>was</w:t>
      </w:r>
      <w:r w:rsidRPr="00E639A0">
        <w:rPr>
          <w:rFonts w:cs="Arial"/>
        </w:rPr>
        <w:t xml:space="preserve"> conducted by the Equal Opportunities Commission.</w:t>
      </w:r>
    </w:p>
    <w:p w14:paraId="4CC106CD" w14:textId="77777777" w:rsidR="002E1DFA" w:rsidRPr="00E639A0" w:rsidRDefault="002E1DFA" w:rsidP="002E1DFA">
      <w:pPr>
        <w:pStyle w:val="ListParagraph"/>
        <w:ind w:left="360"/>
        <w:rPr>
          <w:rFonts w:cs="Arial"/>
          <w:bCs/>
          <w:color w:val="000000"/>
          <w:lang w:eastAsia="en-GB"/>
        </w:rPr>
      </w:pPr>
    </w:p>
    <w:p w14:paraId="1FAB5EEE" w14:textId="32824648" w:rsidR="00876454" w:rsidRPr="00E639A0" w:rsidRDefault="002E1DFA" w:rsidP="0089475A">
      <w:pPr>
        <w:pStyle w:val="ListParagraph"/>
        <w:numPr>
          <w:ilvl w:val="0"/>
          <w:numId w:val="7"/>
        </w:numPr>
        <w:rPr>
          <w:rFonts w:cs="Arial"/>
          <w:bCs/>
          <w:color w:val="000000"/>
          <w:lang w:eastAsia="en-GB"/>
        </w:rPr>
      </w:pPr>
      <w:r w:rsidRPr="00E639A0">
        <w:rPr>
          <w:rFonts w:cs="Arial"/>
        </w:rPr>
        <w:t>The survey explored the views and experiences of 3,254 mothers on a range of issues relating to managing pregnancy, maternity leave and mothers returning to work</w:t>
      </w:r>
      <w:r w:rsidR="002807BE" w:rsidRPr="00E639A0">
        <w:rPr>
          <w:rStyle w:val="FootnoteReference"/>
          <w:rFonts w:cs="Arial"/>
          <w:sz w:val="24"/>
        </w:rPr>
        <w:footnoteReference w:id="4"/>
      </w:r>
      <w:r w:rsidRPr="00E639A0">
        <w:rPr>
          <w:rFonts w:cs="Arial"/>
        </w:rPr>
        <w:t xml:space="preserve">. </w:t>
      </w:r>
    </w:p>
    <w:p w14:paraId="7DA869DB" w14:textId="77777777" w:rsidR="007D5F44" w:rsidRPr="00E639A0" w:rsidRDefault="007D5F44" w:rsidP="007D5F44">
      <w:pPr>
        <w:pStyle w:val="ListParagraph"/>
        <w:ind w:left="360"/>
        <w:rPr>
          <w:rFonts w:cs="Arial"/>
          <w:bCs/>
          <w:color w:val="000000"/>
          <w:lang w:eastAsia="en-GB"/>
        </w:rPr>
      </w:pPr>
    </w:p>
    <w:p w14:paraId="48E49033" w14:textId="1922A3D8" w:rsidR="002B66F6" w:rsidRPr="00E639A0" w:rsidRDefault="002E1DFA" w:rsidP="006135AD">
      <w:pPr>
        <w:pStyle w:val="ListParagraph"/>
        <w:numPr>
          <w:ilvl w:val="0"/>
          <w:numId w:val="7"/>
        </w:numPr>
        <w:rPr>
          <w:rFonts w:cs="Arial"/>
          <w:bCs/>
          <w:color w:val="000000"/>
          <w:lang w:eastAsia="en-GB"/>
        </w:rPr>
      </w:pPr>
      <w:r w:rsidRPr="00E639A0">
        <w:rPr>
          <w:rFonts w:cs="Arial"/>
        </w:rPr>
        <w:t>The research highlighted inconsistencies between employers’ awareness of legal rights</w:t>
      </w:r>
      <w:r w:rsidR="00D773B1" w:rsidRPr="00E639A0">
        <w:rPr>
          <w:rFonts w:cs="Arial"/>
        </w:rPr>
        <w:t>,</w:t>
      </w:r>
      <w:r w:rsidRPr="00E639A0">
        <w:rPr>
          <w:rFonts w:cs="Arial"/>
        </w:rPr>
        <w:t xml:space="preserve"> their responsibilities and women’s experiences in the workplace. 70% of employers reported high levels of awareness of female employees’ rights, but when questioned further possible bias against pregnant women emerged. 70% of employers believed that women should declare their pregnancy during recruitment stage, and 25% of employers thought it was acceptable to ask a woman about their plans to have children during the recruitment process. Furthermore, half of mothers surveyed felt their pregnancy/maternity had negatively impacted their career. These findings raise the question of whether </w:t>
      </w:r>
      <w:r w:rsidR="00AA76C5" w:rsidRPr="00E639A0">
        <w:rPr>
          <w:rFonts w:cs="Arial"/>
        </w:rPr>
        <w:t xml:space="preserve">employers’ </w:t>
      </w:r>
      <w:r w:rsidRPr="00E639A0">
        <w:rPr>
          <w:rFonts w:cs="Arial"/>
        </w:rPr>
        <w:t xml:space="preserve">awareness of rights </w:t>
      </w:r>
      <w:r w:rsidR="0007406A" w:rsidRPr="00E639A0">
        <w:rPr>
          <w:rFonts w:cs="Arial"/>
        </w:rPr>
        <w:t xml:space="preserve">is </w:t>
      </w:r>
      <w:r w:rsidR="00345DF8" w:rsidRPr="00E639A0">
        <w:rPr>
          <w:rFonts w:cs="Arial"/>
        </w:rPr>
        <w:t xml:space="preserve">sufficient </w:t>
      </w:r>
      <w:r w:rsidRPr="00E639A0">
        <w:rPr>
          <w:rFonts w:cs="Arial"/>
        </w:rPr>
        <w:t xml:space="preserve">to </w:t>
      </w:r>
      <w:r w:rsidR="00C26313" w:rsidRPr="00E639A0">
        <w:rPr>
          <w:rFonts w:cs="Arial"/>
        </w:rPr>
        <w:t xml:space="preserve">ensure </w:t>
      </w:r>
      <w:r w:rsidRPr="00E639A0">
        <w:rPr>
          <w:rFonts w:cs="Arial"/>
        </w:rPr>
        <w:t>non-discriminatory behaviour. It is unlawful for an employer to discriminate against a woman because of her pregnancy under the Equality Act 2010.</w:t>
      </w:r>
      <w:r w:rsidR="001504AB" w:rsidRPr="00E639A0">
        <w:rPr>
          <w:rFonts w:cs="Arial"/>
        </w:rPr>
        <w:t xml:space="preserve"> If an employer does ask in an interview whether someone is pregnant or plans to have children, this is considered strong evidence that the employer is in breach of the laws against sex discrimination found in the Equality Act 2010.</w:t>
      </w:r>
    </w:p>
    <w:p w14:paraId="5A031090" w14:textId="77777777" w:rsidR="00BC101F" w:rsidRPr="00E639A0" w:rsidRDefault="00BC101F" w:rsidP="00BC101F">
      <w:pPr>
        <w:pStyle w:val="ListParagraph"/>
        <w:rPr>
          <w:rFonts w:cs="Arial"/>
          <w:bCs/>
          <w:color w:val="000000"/>
          <w:lang w:eastAsia="en-GB"/>
        </w:rPr>
      </w:pPr>
    </w:p>
    <w:p w14:paraId="252D89BC" w14:textId="7C3CBBB5" w:rsidR="00876454" w:rsidRPr="00E639A0" w:rsidRDefault="002E1DFA" w:rsidP="0089475A">
      <w:pPr>
        <w:pStyle w:val="ListParagraph"/>
        <w:numPr>
          <w:ilvl w:val="0"/>
          <w:numId w:val="7"/>
        </w:numPr>
        <w:rPr>
          <w:rFonts w:cs="Arial"/>
          <w:bCs/>
          <w:color w:val="000000"/>
          <w:lang w:eastAsia="en-GB"/>
        </w:rPr>
      </w:pPr>
      <w:r w:rsidRPr="00E639A0">
        <w:rPr>
          <w:rFonts w:cs="Arial"/>
        </w:rPr>
        <w:t>Employment law relating to pregnancy and maternity and redundancy is covered by the Equality Act 2010 and the Employment Rights Act 1996.The Equality Act sets out a ‘protected period’ during which women who are pregnant or have recently given birth are explicitly protected from discrimination. During the ‘protected period’ a woman is protected against discrimination that arises due to her pregnancy; any illness related to her pregnancy, or absence because of that illness; being on compulsory maternity leave; or seeking to take, taking or having taken ordinary or additional maternity leave.</w:t>
      </w:r>
    </w:p>
    <w:p w14:paraId="43469659" w14:textId="77777777" w:rsidR="002E77CB" w:rsidRPr="00E639A0" w:rsidRDefault="002E77CB" w:rsidP="002E77CB">
      <w:pPr>
        <w:pStyle w:val="ListParagraph"/>
        <w:rPr>
          <w:rFonts w:cs="Arial"/>
          <w:bCs/>
          <w:color w:val="000000"/>
          <w:lang w:eastAsia="en-GB"/>
        </w:rPr>
      </w:pPr>
    </w:p>
    <w:p w14:paraId="77115BDD" w14:textId="46361DCC" w:rsidR="002E77CB" w:rsidRPr="00E639A0" w:rsidRDefault="002E1DFA" w:rsidP="006135AD">
      <w:pPr>
        <w:pStyle w:val="ListParagraph"/>
        <w:numPr>
          <w:ilvl w:val="0"/>
          <w:numId w:val="7"/>
        </w:numPr>
        <w:rPr>
          <w:rFonts w:cs="Arial"/>
          <w:bCs/>
          <w:color w:val="000000"/>
          <w:lang w:eastAsia="en-GB"/>
        </w:rPr>
      </w:pPr>
      <w:r w:rsidRPr="00E639A0">
        <w:rPr>
          <w:rFonts w:cs="Arial"/>
        </w:rPr>
        <w:t xml:space="preserve">Regulation 10 of the Maternity and Parental Leave etc. Regulations 1999 (MAPLE) takes this protection a stage further for the period of maternity leave. It states that if it is not practicable by reason of redundancy for an employer to continue to employ a woman on maternity leave, the employee is entitled to be offered (not just invited to apply for) </w:t>
      </w:r>
      <w:bookmarkStart w:id="24" w:name="_Hlk109895160"/>
      <w:r w:rsidRPr="00E639A0">
        <w:rPr>
          <w:rFonts w:cs="Arial"/>
        </w:rPr>
        <w:t>a suitable available vacancy with her employer (or an associated employer). This gives the woman priority over other employees who are at risk of redundancy, even if the</w:t>
      </w:r>
      <w:r w:rsidR="00FA2005" w:rsidRPr="00E639A0">
        <w:rPr>
          <w:rFonts w:cs="Arial"/>
        </w:rPr>
        <w:t xml:space="preserve"> other employees</w:t>
      </w:r>
      <w:r w:rsidRPr="00E639A0">
        <w:rPr>
          <w:rFonts w:cs="Arial"/>
        </w:rPr>
        <w:t xml:space="preserve"> are better qualified for the job. This protection applies </w:t>
      </w:r>
      <w:r w:rsidRPr="00E639A0">
        <w:rPr>
          <w:rFonts w:cs="Arial"/>
          <w:u w:val="single"/>
        </w:rPr>
        <w:t>only</w:t>
      </w:r>
      <w:r w:rsidRPr="00E639A0">
        <w:rPr>
          <w:rFonts w:cs="Arial"/>
        </w:rPr>
        <w:t xml:space="preserve"> whilst the woman is on maternity leave.</w:t>
      </w:r>
    </w:p>
    <w:bookmarkEnd w:id="24"/>
    <w:p w14:paraId="01809010" w14:textId="77777777" w:rsidR="002E77CB" w:rsidRPr="00E639A0" w:rsidRDefault="002E77CB" w:rsidP="0089475A">
      <w:pPr>
        <w:rPr>
          <w:rFonts w:cs="Arial"/>
          <w:bCs/>
          <w:color w:val="000000"/>
          <w:lang w:eastAsia="en-GB"/>
        </w:rPr>
      </w:pPr>
    </w:p>
    <w:p w14:paraId="14F0F8D5" w14:textId="4BA2E8A8" w:rsidR="00876454" w:rsidRPr="00E639A0" w:rsidRDefault="002E1DFA" w:rsidP="00CA0D3F">
      <w:pPr>
        <w:pStyle w:val="ListParagraph"/>
        <w:numPr>
          <w:ilvl w:val="0"/>
          <w:numId w:val="7"/>
        </w:numPr>
        <w:rPr>
          <w:rFonts w:cs="Arial"/>
          <w:bCs/>
          <w:color w:val="000000"/>
          <w:lang w:eastAsia="en-GB"/>
        </w:rPr>
      </w:pPr>
      <w:r w:rsidRPr="00E639A0">
        <w:rPr>
          <w:rFonts w:cs="Arial"/>
        </w:rPr>
        <w:t>In response to the findings of the BIS/EHRC research</w:t>
      </w:r>
      <w:r w:rsidR="000A1768" w:rsidRPr="00E639A0">
        <w:rPr>
          <w:rFonts w:cs="Arial"/>
        </w:rPr>
        <w:t>,</w:t>
      </w:r>
      <w:r w:rsidRPr="00E639A0">
        <w:rPr>
          <w:rFonts w:cs="Arial"/>
        </w:rPr>
        <w:t xml:space="preserve"> the Women and Equalities Select Committee (WESC) launched an inquiry into pregnancy and maternity discrimination. The inquiry built on the existing evidence base, drawing on evidence presented by a large range of stakeholders including Maternity Action, Citizens Advice, and Unite</w:t>
      </w:r>
      <w:r w:rsidR="00F6327E" w:rsidRPr="00E639A0">
        <w:rPr>
          <w:rStyle w:val="FootnoteReference"/>
          <w:rFonts w:cs="Arial"/>
          <w:sz w:val="24"/>
        </w:rPr>
        <w:footnoteReference w:id="5"/>
      </w:r>
      <w:r w:rsidR="001D72B0" w:rsidRPr="00E639A0">
        <w:rPr>
          <w:rFonts w:cs="Arial"/>
        </w:rPr>
        <w:t>. Maternity Action reported</w:t>
      </w:r>
      <w:r w:rsidR="008759F0" w:rsidRPr="00E639A0">
        <w:rPr>
          <w:rFonts w:cs="Arial"/>
        </w:rPr>
        <w:t xml:space="preserve"> </w:t>
      </w:r>
      <w:r w:rsidR="00B14BEA" w:rsidRPr="00E639A0">
        <w:rPr>
          <w:rFonts w:cs="Arial"/>
        </w:rPr>
        <w:t xml:space="preserve">there had been a </w:t>
      </w:r>
      <w:r w:rsidR="005C305D" w:rsidRPr="00E639A0">
        <w:rPr>
          <w:rFonts w:cs="Arial"/>
        </w:rPr>
        <w:t>“</w:t>
      </w:r>
      <w:r w:rsidR="00B14BEA" w:rsidRPr="00E639A0">
        <w:rPr>
          <w:rFonts w:cs="Arial"/>
        </w:rPr>
        <w:t>significant increase in rates of pregnancy discrimination in the past decade”</w:t>
      </w:r>
      <w:r w:rsidR="00E267F0" w:rsidRPr="00E639A0">
        <w:rPr>
          <w:rFonts w:cs="Arial"/>
        </w:rPr>
        <w:t xml:space="preserve"> based on </w:t>
      </w:r>
      <w:r w:rsidR="00DA20EF" w:rsidRPr="00E639A0">
        <w:rPr>
          <w:rFonts w:cs="Arial"/>
        </w:rPr>
        <w:t>increase</w:t>
      </w:r>
      <w:r w:rsidR="008B3DB1" w:rsidRPr="00E639A0">
        <w:rPr>
          <w:rFonts w:cs="Arial"/>
        </w:rPr>
        <w:t>s seen</w:t>
      </w:r>
      <w:r w:rsidR="00DA20EF" w:rsidRPr="00E639A0">
        <w:rPr>
          <w:rFonts w:cs="Arial"/>
        </w:rPr>
        <w:t xml:space="preserve"> between the 2005 survey and </w:t>
      </w:r>
      <w:r w:rsidR="008B3DB1" w:rsidRPr="00E639A0">
        <w:rPr>
          <w:rFonts w:cs="Arial"/>
        </w:rPr>
        <w:t>2014/15</w:t>
      </w:r>
      <w:r w:rsidR="00DA20EF" w:rsidRPr="00E639A0">
        <w:rPr>
          <w:rFonts w:cs="Arial"/>
        </w:rPr>
        <w:t xml:space="preserve"> </w:t>
      </w:r>
      <w:r w:rsidR="008B3DB1" w:rsidRPr="00E639A0">
        <w:rPr>
          <w:rFonts w:cs="Arial"/>
        </w:rPr>
        <w:t xml:space="preserve">and their </w:t>
      </w:r>
      <w:r w:rsidR="00D47F64" w:rsidRPr="00E639A0">
        <w:rPr>
          <w:rFonts w:cs="Arial"/>
        </w:rPr>
        <w:t xml:space="preserve">experience of </w:t>
      </w:r>
      <w:r w:rsidR="0013494D" w:rsidRPr="00E639A0">
        <w:rPr>
          <w:rFonts w:cs="Arial"/>
        </w:rPr>
        <w:t xml:space="preserve">offering </w:t>
      </w:r>
      <w:r w:rsidR="00E267F0" w:rsidRPr="00E639A0">
        <w:rPr>
          <w:rFonts w:cs="Arial"/>
        </w:rPr>
        <w:t xml:space="preserve">advice </w:t>
      </w:r>
      <w:r w:rsidR="0013494D" w:rsidRPr="00E639A0">
        <w:rPr>
          <w:rFonts w:cs="Arial"/>
        </w:rPr>
        <w:t xml:space="preserve">to pregnant </w:t>
      </w:r>
      <w:r w:rsidR="00A04849" w:rsidRPr="00E639A0">
        <w:rPr>
          <w:rFonts w:cs="Arial"/>
        </w:rPr>
        <w:t>women</w:t>
      </w:r>
      <w:r w:rsidR="0013494D" w:rsidRPr="00E639A0">
        <w:rPr>
          <w:rFonts w:cs="Arial"/>
        </w:rPr>
        <w:t xml:space="preserve"> and mothers</w:t>
      </w:r>
      <w:r w:rsidR="00FC1430" w:rsidRPr="00E639A0">
        <w:rPr>
          <w:rFonts w:cs="Arial"/>
        </w:rPr>
        <w:t>.</w:t>
      </w:r>
      <w:r w:rsidR="00C472D6" w:rsidRPr="00E639A0">
        <w:rPr>
          <w:rFonts w:cs="Arial"/>
        </w:rPr>
        <w:t xml:space="preserve"> Maternity Action found i</w:t>
      </w:r>
      <w:r w:rsidR="0031711E" w:rsidRPr="00E639A0">
        <w:rPr>
          <w:rFonts w:cs="Arial"/>
        </w:rPr>
        <w:t>n</w:t>
      </w:r>
      <w:r w:rsidR="00E55C0A" w:rsidRPr="00E639A0">
        <w:rPr>
          <w:rFonts w:cs="Arial"/>
        </w:rPr>
        <w:t xml:space="preserve"> 2005, 30,000 women lost their jobs as a result of pregnancy discrimination. The</w:t>
      </w:r>
      <w:r w:rsidR="00CB7452" w:rsidRPr="00E639A0">
        <w:rPr>
          <w:rFonts w:cs="Arial"/>
        </w:rPr>
        <w:t>ir</w:t>
      </w:r>
      <w:r w:rsidR="00E55C0A" w:rsidRPr="00E639A0">
        <w:rPr>
          <w:rFonts w:cs="Arial"/>
        </w:rPr>
        <w:t xml:space="preserve"> findings in 2015 showed that 54,000 women lost their jobs </w:t>
      </w:r>
      <w:r w:rsidR="005004A6" w:rsidRPr="00E639A0">
        <w:rPr>
          <w:rFonts w:cs="Arial"/>
        </w:rPr>
        <w:t>(either dismissed; made compulsorily redundant, where others in their workplace were not; or treated so poorly they felt they had to leave their job)</w:t>
      </w:r>
      <w:r w:rsidR="00E55C0A" w:rsidRPr="00E639A0">
        <w:rPr>
          <w:rFonts w:cs="Arial"/>
        </w:rPr>
        <w:t xml:space="preserve"> as a result of pregnancy discrimination.</w:t>
      </w:r>
      <w:r w:rsidR="00B507E2" w:rsidRPr="00E639A0">
        <w:rPr>
          <w:rFonts w:cs="Arial"/>
        </w:rPr>
        <w:t xml:space="preserve"> </w:t>
      </w:r>
      <w:r w:rsidR="001D72B0" w:rsidRPr="00E639A0">
        <w:rPr>
          <w:rFonts w:cs="Arial"/>
        </w:rPr>
        <w:t xml:space="preserve">Citizens Advice </w:t>
      </w:r>
      <w:r w:rsidR="00A80C44" w:rsidRPr="00E639A0">
        <w:rPr>
          <w:rFonts w:cs="Arial"/>
        </w:rPr>
        <w:t>provided figures</w:t>
      </w:r>
      <w:r w:rsidR="006F04B9" w:rsidRPr="00E639A0">
        <w:rPr>
          <w:rStyle w:val="FootnoteReference"/>
          <w:rFonts w:cs="Arial"/>
          <w:sz w:val="24"/>
        </w:rPr>
        <w:footnoteReference w:id="6"/>
      </w:r>
      <w:r w:rsidR="00A80C44" w:rsidRPr="00E639A0">
        <w:rPr>
          <w:rFonts w:cs="Arial"/>
        </w:rPr>
        <w:t xml:space="preserve"> </w:t>
      </w:r>
      <w:r w:rsidR="00511660" w:rsidRPr="00E639A0">
        <w:rPr>
          <w:rFonts w:cs="Arial"/>
        </w:rPr>
        <w:t>that show</w:t>
      </w:r>
      <w:r w:rsidR="00DB2842" w:rsidRPr="00E639A0">
        <w:rPr>
          <w:rFonts w:cs="Arial"/>
        </w:rPr>
        <w:t xml:space="preserve">ed </w:t>
      </w:r>
      <w:r w:rsidR="00511660" w:rsidRPr="00E639A0">
        <w:rPr>
          <w:rFonts w:cs="Arial"/>
        </w:rPr>
        <w:t>the number of people it helped with specific maternity rights and discrimination issues</w:t>
      </w:r>
      <w:r w:rsidR="00DB2842" w:rsidRPr="00E639A0">
        <w:rPr>
          <w:rFonts w:cs="Arial"/>
        </w:rPr>
        <w:t xml:space="preserve"> </w:t>
      </w:r>
      <w:r w:rsidR="00531291" w:rsidRPr="00E639A0">
        <w:rPr>
          <w:rFonts w:cs="Arial"/>
        </w:rPr>
        <w:t>increased between 2014/15</w:t>
      </w:r>
      <w:r w:rsidR="001B6A78" w:rsidRPr="00E639A0">
        <w:rPr>
          <w:rFonts w:cs="Arial"/>
        </w:rPr>
        <w:t xml:space="preserve"> and </w:t>
      </w:r>
      <w:r w:rsidR="00531291" w:rsidRPr="00E639A0">
        <w:rPr>
          <w:rFonts w:cs="Arial"/>
        </w:rPr>
        <w:t>2016/17</w:t>
      </w:r>
      <w:r w:rsidR="00FC1430" w:rsidRPr="00E639A0">
        <w:rPr>
          <w:rFonts w:cs="Arial"/>
        </w:rPr>
        <w:t xml:space="preserve"> and that there was a wider unmet need for advice and support to women experiencing pregnancy and maternity discrimination</w:t>
      </w:r>
      <w:r w:rsidRPr="00E639A0">
        <w:rPr>
          <w:rFonts w:cs="Arial"/>
        </w:rPr>
        <w:t>. WESC concluded that there were unacceptable levels of discrimination and significant issues around a new mother’s return to work. Employers frequently put mothers at risk of redundancy on their first day back from maternity leave, according to Your Employment Settlement Service Law</w:t>
      </w:r>
      <w:r w:rsidRPr="00E639A0">
        <w:rPr>
          <w:rStyle w:val="FootnoteReference"/>
          <w:rFonts w:cs="Arial"/>
          <w:sz w:val="24"/>
        </w:rPr>
        <w:footnoteReference w:id="7"/>
      </w:r>
      <w:r w:rsidR="00F6327E" w:rsidRPr="00E639A0">
        <w:rPr>
          <w:rFonts w:cs="Arial"/>
        </w:rPr>
        <w:t>.</w:t>
      </w:r>
      <w:r w:rsidRPr="00E639A0">
        <w:rPr>
          <w:rFonts w:cs="Arial"/>
        </w:rPr>
        <w:t xml:space="preserve">  WESC recommend extending redundancy protection to apply throughout pregnancy, maternity leave and for six months afterwards. </w:t>
      </w:r>
    </w:p>
    <w:p w14:paraId="0B2C0C5C" w14:textId="77777777" w:rsidR="00960710" w:rsidRPr="00E639A0" w:rsidRDefault="00960710" w:rsidP="00960710">
      <w:pPr>
        <w:pStyle w:val="ListParagraph"/>
        <w:rPr>
          <w:rFonts w:cs="Arial"/>
          <w:bCs/>
          <w:color w:val="000000"/>
          <w:lang w:eastAsia="en-GB"/>
        </w:rPr>
      </w:pPr>
    </w:p>
    <w:p w14:paraId="40587E99" w14:textId="77777777" w:rsidR="001237AC" w:rsidRPr="00E639A0" w:rsidRDefault="002E1DFA" w:rsidP="006135AD">
      <w:pPr>
        <w:pStyle w:val="ListParagraph"/>
        <w:numPr>
          <w:ilvl w:val="0"/>
          <w:numId w:val="7"/>
        </w:numPr>
        <w:rPr>
          <w:rFonts w:cs="Arial"/>
          <w:bCs/>
          <w:color w:val="000000"/>
          <w:lang w:eastAsia="en-GB"/>
        </w:rPr>
      </w:pPr>
      <w:r w:rsidRPr="00E639A0">
        <w:rPr>
          <w:rFonts w:cs="Arial"/>
          <w:bCs/>
          <w:color w:val="000000"/>
          <w:lang w:eastAsia="en-GB"/>
        </w:rPr>
        <w:t>The Taylor Review of modern employment practices recommended consolidating the legislation and guidance for protections against pregnancy and maternity discrimination. The legislation in this area is complex and thus businesses may struggle to understand their obligations. As a result, employees may find it difficult to exercise their rights.</w:t>
      </w:r>
    </w:p>
    <w:p w14:paraId="7B86B055" w14:textId="77777777" w:rsidR="00876454" w:rsidRPr="00E639A0" w:rsidRDefault="00876454" w:rsidP="00876454">
      <w:pPr>
        <w:pStyle w:val="ListParagraph"/>
        <w:rPr>
          <w:rFonts w:cs="Arial"/>
          <w:bCs/>
          <w:color w:val="000000"/>
          <w:lang w:eastAsia="en-GB"/>
        </w:rPr>
      </w:pPr>
    </w:p>
    <w:p w14:paraId="06174C42" w14:textId="5FDC2438" w:rsidR="001237AC" w:rsidRPr="00E639A0" w:rsidRDefault="002E1DFA" w:rsidP="006135AD">
      <w:pPr>
        <w:pStyle w:val="ListParagraph"/>
        <w:numPr>
          <w:ilvl w:val="0"/>
          <w:numId w:val="7"/>
        </w:numPr>
        <w:rPr>
          <w:rFonts w:cs="Arial"/>
          <w:bCs/>
          <w:color w:val="000000"/>
          <w:lang w:eastAsia="en-GB"/>
        </w:rPr>
      </w:pPr>
      <w:r w:rsidRPr="00E639A0">
        <w:rPr>
          <w:rFonts w:cs="Arial"/>
        </w:rPr>
        <w:t xml:space="preserve">Given the recommendations to consolidate legislation, the Government has considered how best to achieve a consistent approach in extending redundancy protection. The Government published a consultation on extending redundancy protection pregnant women and new parents, which questioned whether similar protections should be given to parents returning from adoption and shared parental leave, as these groups take extended periods of leave for similar purposes. These parents may also experience discrimination and redundancy based on their </w:t>
      </w:r>
      <w:r w:rsidR="005E7ED9" w:rsidRPr="00E639A0">
        <w:rPr>
          <w:rFonts w:cs="Arial"/>
        </w:rPr>
        <w:t>absence from work for childcare</w:t>
      </w:r>
      <w:r w:rsidRPr="00E639A0">
        <w:rPr>
          <w:rFonts w:cs="Arial"/>
        </w:rPr>
        <w:t xml:space="preserve"> and should not remain disadvantaged.</w:t>
      </w:r>
    </w:p>
    <w:p w14:paraId="7927AC7B" w14:textId="77777777" w:rsidR="00876454" w:rsidRPr="00E639A0" w:rsidRDefault="00876454" w:rsidP="00876454">
      <w:pPr>
        <w:pStyle w:val="ListParagraph"/>
        <w:rPr>
          <w:rFonts w:cs="Arial"/>
          <w:bCs/>
          <w:color w:val="000000"/>
          <w:lang w:eastAsia="en-GB"/>
        </w:rPr>
      </w:pPr>
    </w:p>
    <w:p w14:paraId="79F930FF" w14:textId="5A3E842E" w:rsidR="002E1DFA" w:rsidRPr="00E639A0" w:rsidRDefault="002E1DFA" w:rsidP="006135AD">
      <w:pPr>
        <w:pStyle w:val="ListParagraph"/>
        <w:numPr>
          <w:ilvl w:val="0"/>
          <w:numId w:val="7"/>
        </w:numPr>
        <w:rPr>
          <w:rFonts w:cs="Arial"/>
          <w:bCs/>
          <w:color w:val="000000"/>
          <w:lang w:eastAsia="en-GB"/>
        </w:rPr>
      </w:pPr>
      <w:r w:rsidRPr="00E639A0">
        <w:rPr>
          <w:rFonts w:cs="Arial"/>
        </w:rPr>
        <w:t>WESC also highlighted the need for greater enforcement of measures to prevent maternity and pregnancy discrimination during redundancy, raising the concern that currently the burden of enforcement predominantly rests with women. Those making a discrimination claim at Tribunal must demonstrate unfavourable treatment, and the burden to provide evidence is on the individual. Under MAPLE regulations, the requirement is on the employer to demonstrate that no suitable alternative job is available. Providing greater consistency of protection during maternity/adoption/shared parental leave and into a period of return to work, would help reduce the burden on</w:t>
      </w:r>
      <w:r w:rsidR="00876454" w:rsidRPr="00E639A0">
        <w:rPr>
          <w:rFonts w:cs="Arial"/>
        </w:rPr>
        <w:t xml:space="preserve"> </w:t>
      </w:r>
      <w:r w:rsidRPr="00E639A0">
        <w:rPr>
          <w:rFonts w:cs="Arial"/>
        </w:rPr>
        <w:t>parents seeking to make a claim at tribunal.</w:t>
      </w:r>
    </w:p>
    <w:p w14:paraId="2B61CD27" w14:textId="77777777" w:rsidR="00876454" w:rsidRPr="00E639A0" w:rsidRDefault="00876454" w:rsidP="00876454">
      <w:pPr>
        <w:pStyle w:val="ListParagraph"/>
        <w:rPr>
          <w:rFonts w:cs="Arial"/>
        </w:rPr>
      </w:pPr>
    </w:p>
    <w:p w14:paraId="3067D183" w14:textId="4F868318" w:rsidR="00495EB6" w:rsidRPr="00E639A0" w:rsidRDefault="002E1DFA" w:rsidP="006135AD">
      <w:pPr>
        <w:pStyle w:val="ListParagraph"/>
        <w:numPr>
          <w:ilvl w:val="0"/>
          <w:numId w:val="7"/>
        </w:numPr>
        <w:rPr>
          <w:rFonts w:cs="Arial"/>
          <w:bCs/>
          <w:color w:val="000000"/>
          <w:lang w:eastAsia="en-GB"/>
        </w:rPr>
      </w:pPr>
      <w:r w:rsidRPr="00E639A0">
        <w:rPr>
          <w:rFonts w:cs="Arial"/>
          <w:bCs/>
          <w:color w:val="000000"/>
          <w:lang w:eastAsia="en-GB"/>
        </w:rPr>
        <w:t xml:space="preserve">In addition to the legislative proposal, the Government </w:t>
      </w:r>
      <w:r w:rsidR="00127D70" w:rsidRPr="00E639A0">
        <w:rPr>
          <w:rFonts w:cs="Arial"/>
          <w:bCs/>
          <w:color w:val="000000"/>
          <w:lang w:eastAsia="en-GB"/>
        </w:rPr>
        <w:t>has</w:t>
      </w:r>
      <w:r w:rsidRPr="00E639A0">
        <w:rPr>
          <w:rFonts w:cs="Arial"/>
          <w:bCs/>
          <w:color w:val="000000"/>
          <w:lang w:eastAsia="en-GB"/>
        </w:rPr>
        <w:t xml:space="preserve"> also pursu</w:t>
      </w:r>
      <w:r w:rsidR="00127D70" w:rsidRPr="00E639A0">
        <w:rPr>
          <w:rFonts w:cs="Arial"/>
          <w:bCs/>
          <w:color w:val="000000"/>
          <w:lang w:eastAsia="en-GB"/>
        </w:rPr>
        <w:t>ed</w:t>
      </w:r>
      <w:r w:rsidRPr="00E639A0">
        <w:rPr>
          <w:rFonts w:cs="Arial"/>
          <w:bCs/>
          <w:color w:val="000000"/>
          <w:lang w:eastAsia="en-GB"/>
        </w:rPr>
        <w:t xml:space="preserve"> non-statutory approaches to tackle maternity discrimination.</w:t>
      </w:r>
      <w:r w:rsidR="001D50DE" w:rsidRPr="00E639A0">
        <w:rPr>
          <w:rFonts w:cs="Arial"/>
          <w:bCs/>
          <w:color w:val="000000"/>
          <w:lang w:eastAsia="en-GB"/>
        </w:rPr>
        <w:t xml:space="preserve"> </w:t>
      </w:r>
      <w:r w:rsidR="00127D70" w:rsidRPr="00E639A0">
        <w:rPr>
          <w:rFonts w:cs="Arial"/>
          <w:bCs/>
          <w:color w:val="000000"/>
          <w:lang w:eastAsia="en-GB"/>
        </w:rPr>
        <w:t xml:space="preserve">Government has worked with bodies such as Acas and EHRC to ensure that pregnant employees and new mothers have the information they need to challenge unacceptable or bad practice. </w:t>
      </w:r>
      <w:r w:rsidRPr="00E639A0">
        <w:rPr>
          <w:rFonts w:cs="Arial"/>
          <w:bCs/>
          <w:color w:val="000000"/>
          <w:lang w:eastAsia="en-GB"/>
        </w:rPr>
        <w:t>We have updated and consolidated guidance</w:t>
      </w:r>
      <w:r w:rsidR="00EB7E6D" w:rsidRPr="00E639A0">
        <w:rPr>
          <w:rFonts w:cs="Arial"/>
          <w:bCs/>
          <w:color w:val="000000"/>
          <w:lang w:eastAsia="en-GB"/>
        </w:rPr>
        <w:t xml:space="preserve"> on the GOV.UK website</w:t>
      </w:r>
      <w:r w:rsidRPr="00E639A0">
        <w:rPr>
          <w:rFonts w:cs="Arial"/>
          <w:bCs/>
          <w:color w:val="000000"/>
          <w:lang w:eastAsia="en-GB"/>
        </w:rPr>
        <w:t xml:space="preserve"> and have taken steps to signpost that advice and guidance at appropriate stages using other interactions with pregnant women and new mothers – such as through DWP’s MAT B1 form and the NHS’s Start for Life programme.  </w:t>
      </w:r>
    </w:p>
    <w:p w14:paraId="0AB9EDCF" w14:textId="77777777" w:rsidR="00495EB6" w:rsidRPr="00E639A0" w:rsidRDefault="00495EB6" w:rsidP="00495EB6">
      <w:pPr>
        <w:pStyle w:val="ListParagraph"/>
        <w:rPr>
          <w:rFonts w:cs="Arial"/>
          <w:bCs/>
          <w:color w:val="000000"/>
          <w:lang w:eastAsia="en-GB"/>
        </w:rPr>
      </w:pPr>
    </w:p>
    <w:p w14:paraId="4F66F422" w14:textId="5E7FA242" w:rsidR="00EB7E6D" w:rsidRPr="00E639A0" w:rsidRDefault="006163E4" w:rsidP="006135AD">
      <w:pPr>
        <w:pStyle w:val="ListParagraph"/>
        <w:numPr>
          <w:ilvl w:val="0"/>
          <w:numId w:val="7"/>
        </w:numPr>
        <w:rPr>
          <w:rFonts w:cs="Arial"/>
          <w:bCs/>
          <w:color w:val="000000"/>
          <w:lang w:eastAsia="en-GB"/>
        </w:rPr>
      </w:pPr>
      <w:r w:rsidRPr="00E639A0">
        <w:rPr>
          <w:rFonts w:cs="Arial"/>
          <w:bCs/>
          <w:color w:val="000000"/>
          <w:lang w:eastAsia="en-GB"/>
        </w:rPr>
        <w:t>T</w:t>
      </w:r>
      <w:r w:rsidR="000220A0" w:rsidRPr="00E639A0">
        <w:rPr>
          <w:rFonts w:cs="Arial"/>
          <w:bCs/>
          <w:color w:val="000000"/>
          <w:lang w:eastAsia="en-GB"/>
        </w:rPr>
        <w:t xml:space="preserve">he </w:t>
      </w:r>
      <w:r w:rsidR="00E6693C" w:rsidRPr="00E639A0">
        <w:rPr>
          <w:rFonts w:cs="Arial"/>
          <w:bCs/>
          <w:color w:val="000000"/>
          <w:lang w:eastAsia="en-GB"/>
        </w:rPr>
        <w:t>2019 consultation</w:t>
      </w:r>
      <w:r w:rsidR="00393F8F" w:rsidRPr="00E639A0">
        <w:rPr>
          <w:rFonts w:cs="Arial"/>
          <w:bCs/>
          <w:color w:val="000000"/>
          <w:lang w:eastAsia="en-GB"/>
        </w:rPr>
        <w:t xml:space="preserve"> </w:t>
      </w:r>
      <w:r w:rsidR="0086095D" w:rsidRPr="00E639A0">
        <w:rPr>
          <w:rFonts w:cs="Arial"/>
          <w:bCs/>
          <w:color w:val="000000"/>
          <w:lang w:eastAsia="en-GB"/>
        </w:rPr>
        <w:t>achieved over 640 responses</w:t>
      </w:r>
      <w:r w:rsidR="00421C21" w:rsidRPr="00E639A0">
        <w:rPr>
          <w:rFonts w:cs="Arial"/>
          <w:bCs/>
          <w:color w:val="000000"/>
          <w:lang w:eastAsia="en-GB"/>
        </w:rPr>
        <w:t>, with almost 540 seeking an extension to the time limits to tribunal cases</w:t>
      </w:r>
      <w:r w:rsidR="00E6693C" w:rsidRPr="00E639A0">
        <w:rPr>
          <w:rFonts w:cs="Arial"/>
          <w:bCs/>
          <w:color w:val="000000"/>
          <w:lang w:eastAsia="en-GB"/>
        </w:rPr>
        <w:t xml:space="preserve"> </w:t>
      </w:r>
      <w:r w:rsidR="00B04ADD" w:rsidRPr="00E639A0">
        <w:rPr>
          <w:rFonts w:cs="Arial"/>
          <w:bCs/>
          <w:color w:val="000000"/>
          <w:lang w:eastAsia="en-GB"/>
        </w:rPr>
        <w:t>which are treated separately</w:t>
      </w:r>
      <w:r w:rsidR="00063820" w:rsidRPr="00E639A0">
        <w:rPr>
          <w:rFonts w:cs="Arial"/>
          <w:bCs/>
          <w:color w:val="000000"/>
          <w:lang w:eastAsia="en-GB"/>
        </w:rPr>
        <w:t xml:space="preserve"> to the main consultation questions. Of the 105 responses directly </w:t>
      </w:r>
      <w:r w:rsidR="00A86639" w:rsidRPr="00E639A0">
        <w:rPr>
          <w:rFonts w:cs="Arial"/>
          <w:bCs/>
          <w:color w:val="000000"/>
          <w:lang w:eastAsia="en-GB"/>
        </w:rPr>
        <w:t xml:space="preserve">related to the consultation document, 78% were from individuals, 11% from employers, 2% from Trade Unions and </w:t>
      </w:r>
      <w:r w:rsidR="005B214E" w:rsidRPr="00E639A0">
        <w:rPr>
          <w:rFonts w:cs="Arial"/>
          <w:bCs/>
          <w:color w:val="000000"/>
          <w:lang w:eastAsia="en-GB"/>
        </w:rPr>
        <w:t>3% from industry/employer groups.</w:t>
      </w:r>
      <w:r w:rsidR="00391A19" w:rsidRPr="00E639A0">
        <w:rPr>
          <w:rFonts w:cs="Arial"/>
          <w:bCs/>
          <w:color w:val="000000"/>
          <w:lang w:eastAsia="en-GB"/>
        </w:rPr>
        <w:t xml:space="preserve"> </w:t>
      </w:r>
      <w:r w:rsidR="00E12E61" w:rsidRPr="00E639A0">
        <w:rPr>
          <w:rFonts w:cs="Arial"/>
          <w:bCs/>
          <w:color w:val="000000"/>
          <w:lang w:eastAsia="en-GB"/>
        </w:rPr>
        <w:t xml:space="preserve">The responses also achieved variation </w:t>
      </w:r>
      <w:r w:rsidR="00F22861" w:rsidRPr="00E639A0">
        <w:rPr>
          <w:rFonts w:cs="Arial"/>
          <w:bCs/>
          <w:color w:val="000000"/>
          <w:lang w:eastAsia="en-GB"/>
        </w:rPr>
        <w:t>in terms of sector represented, with 47% in the private sector</w:t>
      </w:r>
      <w:r w:rsidR="0001761F" w:rsidRPr="00E639A0">
        <w:rPr>
          <w:rFonts w:cs="Arial"/>
          <w:bCs/>
          <w:color w:val="000000"/>
          <w:lang w:eastAsia="en-GB"/>
        </w:rPr>
        <w:t xml:space="preserve">, </w:t>
      </w:r>
      <w:r w:rsidR="00F22861" w:rsidRPr="00E639A0">
        <w:rPr>
          <w:rFonts w:cs="Arial"/>
          <w:bCs/>
          <w:color w:val="000000"/>
          <w:lang w:eastAsia="en-GB"/>
        </w:rPr>
        <w:t>27% in the public sector</w:t>
      </w:r>
      <w:r w:rsidR="0001761F" w:rsidRPr="00E639A0">
        <w:rPr>
          <w:rFonts w:cs="Arial"/>
          <w:bCs/>
          <w:color w:val="000000"/>
          <w:lang w:eastAsia="en-GB"/>
        </w:rPr>
        <w:t xml:space="preserve"> and 11% in the charity sector (the remainder did not </w:t>
      </w:r>
      <w:r w:rsidR="00A04849" w:rsidRPr="00E639A0">
        <w:rPr>
          <w:rFonts w:cs="Arial"/>
          <w:bCs/>
          <w:lang w:eastAsia="en-GB"/>
        </w:rPr>
        <w:t>specify</w:t>
      </w:r>
      <w:r w:rsidR="0001761F" w:rsidRPr="00E639A0">
        <w:rPr>
          <w:rFonts w:cs="Arial"/>
          <w:bCs/>
          <w:color w:val="000000"/>
          <w:lang w:eastAsia="en-GB"/>
        </w:rPr>
        <w:t>).</w:t>
      </w:r>
      <w:r w:rsidR="00E12E61" w:rsidRPr="00E639A0">
        <w:rPr>
          <w:rFonts w:cs="Arial"/>
          <w:bCs/>
          <w:color w:val="000000"/>
          <w:lang w:eastAsia="en-GB"/>
        </w:rPr>
        <w:t xml:space="preserve"> </w:t>
      </w:r>
      <w:r w:rsidR="005B214E" w:rsidRPr="00E639A0">
        <w:rPr>
          <w:rFonts w:cs="Arial"/>
          <w:bCs/>
          <w:color w:val="000000"/>
          <w:lang w:eastAsia="en-GB"/>
        </w:rPr>
        <w:t xml:space="preserve">In addition, BEIS ran a number of roundtable </w:t>
      </w:r>
      <w:r w:rsidR="00B20149" w:rsidRPr="00E639A0">
        <w:rPr>
          <w:rFonts w:cs="Arial"/>
          <w:bCs/>
          <w:color w:val="000000"/>
          <w:lang w:eastAsia="en-GB"/>
        </w:rPr>
        <w:t>and workshop discussions with both employers</w:t>
      </w:r>
      <w:r w:rsidR="00D661F5" w:rsidRPr="00E639A0">
        <w:rPr>
          <w:rFonts w:cs="Arial"/>
          <w:bCs/>
          <w:color w:val="000000"/>
          <w:lang w:eastAsia="en-GB"/>
        </w:rPr>
        <w:t xml:space="preserve"> an</w:t>
      </w:r>
      <w:r w:rsidR="00B20149" w:rsidRPr="00E639A0">
        <w:rPr>
          <w:rFonts w:cs="Arial"/>
          <w:bCs/>
          <w:color w:val="000000"/>
          <w:lang w:eastAsia="en-GB"/>
        </w:rPr>
        <w:t>d individuals</w:t>
      </w:r>
      <w:r w:rsidR="00906AD9" w:rsidRPr="00E639A0">
        <w:rPr>
          <w:rFonts w:cs="Arial"/>
          <w:bCs/>
          <w:color w:val="000000"/>
          <w:lang w:eastAsia="en-GB"/>
        </w:rPr>
        <w:t>.</w:t>
      </w:r>
      <w:r w:rsidR="00B20149" w:rsidRPr="00E639A0">
        <w:rPr>
          <w:rFonts w:cs="Arial"/>
          <w:bCs/>
          <w:color w:val="000000"/>
          <w:lang w:eastAsia="en-GB"/>
        </w:rPr>
        <w:t xml:space="preserve"> </w:t>
      </w:r>
    </w:p>
    <w:p w14:paraId="4F9CA534" w14:textId="77777777" w:rsidR="00876454" w:rsidRPr="00E639A0" w:rsidRDefault="00876454" w:rsidP="00876454">
      <w:pPr>
        <w:pStyle w:val="ListParagraph"/>
        <w:rPr>
          <w:rFonts w:cs="Arial"/>
          <w:bCs/>
          <w:color w:val="000000"/>
          <w:lang w:eastAsia="en-GB"/>
        </w:rPr>
      </w:pPr>
    </w:p>
    <w:p w14:paraId="2638D784" w14:textId="2F959284" w:rsidR="0001761F" w:rsidRPr="00E639A0" w:rsidRDefault="0001761F" w:rsidP="006135AD">
      <w:pPr>
        <w:pStyle w:val="ListParagraph"/>
        <w:numPr>
          <w:ilvl w:val="0"/>
          <w:numId w:val="7"/>
        </w:numPr>
        <w:rPr>
          <w:rFonts w:cs="Arial"/>
          <w:bCs/>
          <w:color w:val="000000"/>
          <w:lang w:eastAsia="en-GB"/>
        </w:rPr>
      </w:pPr>
      <w:r w:rsidRPr="00E639A0">
        <w:rPr>
          <w:rFonts w:cs="Arial"/>
          <w:bCs/>
          <w:color w:val="000000"/>
          <w:lang w:eastAsia="en-GB"/>
        </w:rPr>
        <w:t>The responses suggested that the quality of information available was fairly good and the information provided through Acas guidance and the EHRC was easy to understand and accessible. The information provided by independent organisations was also helpful.</w:t>
      </w:r>
    </w:p>
    <w:p w14:paraId="477A9B59" w14:textId="77777777" w:rsidR="00876454" w:rsidRPr="00E639A0" w:rsidRDefault="00876454" w:rsidP="00876454">
      <w:pPr>
        <w:pStyle w:val="ListParagraph"/>
        <w:rPr>
          <w:rFonts w:cs="Arial"/>
          <w:bCs/>
          <w:color w:val="000000"/>
          <w:lang w:eastAsia="en-GB"/>
        </w:rPr>
      </w:pPr>
    </w:p>
    <w:p w14:paraId="560489AE" w14:textId="5BD7CAE6" w:rsidR="00D16061" w:rsidRPr="00E639A0" w:rsidRDefault="00EB7E6D" w:rsidP="006135AD">
      <w:pPr>
        <w:pStyle w:val="ListParagraph"/>
        <w:numPr>
          <w:ilvl w:val="0"/>
          <w:numId w:val="7"/>
        </w:numPr>
        <w:rPr>
          <w:rFonts w:cs="Arial"/>
          <w:bCs/>
          <w:color w:val="000000"/>
          <w:lang w:eastAsia="en-GB"/>
        </w:rPr>
      </w:pPr>
      <w:r w:rsidRPr="00E639A0">
        <w:rPr>
          <w:rFonts w:cs="Arial"/>
          <w:bCs/>
          <w:color w:val="000000"/>
          <w:lang w:eastAsia="en-GB"/>
        </w:rPr>
        <w:t xml:space="preserve">However, a non-statutory approach cannot address the specific issue with unevenness in redundancy protections afforded to pregnant women and new parents. The consultation also </w:t>
      </w:r>
      <w:r w:rsidR="00B46209" w:rsidRPr="00E639A0">
        <w:rPr>
          <w:rFonts w:cs="Arial"/>
          <w:bCs/>
          <w:color w:val="000000"/>
          <w:lang w:eastAsia="en-GB"/>
        </w:rPr>
        <w:t xml:space="preserve">indicated that 26% </w:t>
      </w:r>
      <w:r w:rsidR="006163E4" w:rsidRPr="00E639A0">
        <w:rPr>
          <w:rFonts w:cs="Arial"/>
          <w:bCs/>
          <w:color w:val="000000"/>
          <w:lang w:eastAsia="en-GB"/>
        </w:rPr>
        <w:t xml:space="preserve">of respondents </w:t>
      </w:r>
      <w:r w:rsidR="00B46209" w:rsidRPr="00E639A0">
        <w:rPr>
          <w:rFonts w:cs="Arial"/>
          <w:bCs/>
          <w:color w:val="000000"/>
          <w:lang w:eastAsia="en-GB"/>
        </w:rPr>
        <w:t>felt the steps</w:t>
      </w:r>
      <w:r w:rsidR="00102D19" w:rsidRPr="00E639A0">
        <w:rPr>
          <w:rFonts w:cs="Arial"/>
          <w:bCs/>
          <w:color w:val="000000"/>
          <w:lang w:eastAsia="en-GB"/>
        </w:rPr>
        <w:t xml:space="preserve"> were </w:t>
      </w:r>
      <w:r w:rsidR="00480007" w:rsidRPr="00E639A0">
        <w:rPr>
          <w:rFonts w:cs="Arial"/>
          <w:bCs/>
          <w:color w:val="000000"/>
          <w:lang w:eastAsia="en-GB"/>
        </w:rPr>
        <w:t>“</w:t>
      </w:r>
      <w:r w:rsidR="00102D19" w:rsidRPr="00E639A0">
        <w:rPr>
          <w:rFonts w:cs="Arial"/>
          <w:bCs/>
          <w:color w:val="000000"/>
          <w:lang w:eastAsia="en-GB"/>
        </w:rPr>
        <w:t xml:space="preserve">not very </w:t>
      </w:r>
      <w:r w:rsidR="00787010" w:rsidRPr="00E639A0">
        <w:rPr>
          <w:rFonts w:cs="Arial"/>
          <w:bCs/>
          <w:color w:val="000000"/>
          <w:lang w:eastAsia="en-GB"/>
        </w:rPr>
        <w:t xml:space="preserve">or not at all </w:t>
      </w:r>
      <w:r w:rsidR="00480007" w:rsidRPr="00E639A0">
        <w:rPr>
          <w:rFonts w:cs="Arial"/>
          <w:bCs/>
          <w:color w:val="000000"/>
          <w:lang w:eastAsia="en-GB"/>
        </w:rPr>
        <w:t xml:space="preserve">effective” </w:t>
      </w:r>
      <w:r w:rsidR="00C87527" w:rsidRPr="00E639A0">
        <w:rPr>
          <w:rFonts w:cs="Arial"/>
          <w:bCs/>
          <w:color w:val="000000"/>
          <w:lang w:eastAsia="en-GB"/>
        </w:rPr>
        <w:t>in informing pregnant women and new mothers of their employment rights</w:t>
      </w:r>
      <w:r w:rsidR="00DF2C4C" w:rsidRPr="00E639A0">
        <w:rPr>
          <w:rFonts w:cs="Arial"/>
          <w:bCs/>
          <w:color w:val="000000"/>
          <w:lang w:eastAsia="en-GB"/>
        </w:rPr>
        <w:t xml:space="preserve"> </w:t>
      </w:r>
      <w:r w:rsidR="00E7237A" w:rsidRPr="00E639A0">
        <w:rPr>
          <w:rFonts w:cs="Arial"/>
          <w:bCs/>
          <w:color w:val="000000"/>
          <w:lang w:eastAsia="en-GB"/>
        </w:rPr>
        <w:t xml:space="preserve">(further 31% didn’t know) </w:t>
      </w:r>
      <w:r w:rsidR="00DF2C4C" w:rsidRPr="00E639A0">
        <w:rPr>
          <w:rFonts w:cs="Arial"/>
          <w:bCs/>
          <w:color w:val="000000"/>
          <w:lang w:eastAsia="en-GB"/>
        </w:rPr>
        <w:t xml:space="preserve">and </w:t>
      </w:r>
      <w:r w:rsidR="004248D8" w:rsidRPr="00E639A0">
        <w:rPr>
          <w:rFonts w:cs="Arial"/>
          <w:bCs/>
          <w:color w:val="000000"/>
          <w:lang w:eastAsia="en-GB"/>
        </w:rPr>
        <w:t>there was a similar picture rep</w:t>
      </w:r>
      <w:r w:rsidR="006B1D68" w:rsidRPr="00E639A0">
        <w:rPr>
          <w:rFonts w:cs="Arial"/>
          <w:bCs/>
          <w:color w:val="000000"/>
          <w:lang w:eastAsia="en-GB"/>
        </w:rPr>
        <w:t>ort</w:t>
      </w:r>
      <w:r w:rsidRPr="00E639A0">
        <w:rPr>
          <w:rFonts w:cs="Arial"/>
          <w:bCs/>
          <w:color w:val="000000"/>
          <w:lang w:eastAsia="en-GB"/>
        </w:rPr>
        <w:t>ed</w:t>
      </w:r>
      <w:r w:rsidR="006B1D68" w:rsidRPr="00E639A0">
        <w:rPr>
          <w:rFonts w:cs="Arial"/>
          <w:bCs/>
          <w:color w:val="000000"/>
          <w:lang w:eastAsia="en-GB"/>
        </w:rPr>
        <w:t xml:space="preserve"> </w:t>
      </w:r>
      <w:r w:rsidR="0038159E" w:rsidRPr="00E639A0">
        <w:rPr>
          <w:rFonts w:cs="Arial"/>
          <w:bCs/>
          <w:color w:val="000000"/>
          <w:lang w:eastAsia="en-GB"/>
        </w:rPr>
        <w:t xml:space="preserve">to the question on whether </w:t>
      </w:r>
      <w:r w:rsidR="00467B31" w:rsidRPr="00E639A0">
        <w:rPr>
          <w:rFonts w:cs="Arial"/>
          <w:bCs/>
          <w:color w:val="000000"/>
          <w:lang w:eastAsia="en-GB"/>
        </w:rPr>
        <w:t xml:space="preserve">the steps had been effective in informing employers </w:t>
      </w:r>
      <w:r w:rsidR="0038159E" w:rsidRPr="00E639A0">
        <w:rPr>
          <w:rFonts w:cs="Arial"/>
          <w:bCs/>
          <w:color w:val="000000"/>
          <w:lang w:eastAsia="en-GB"/>
        </w:rPr>
        <w:t>of their obligations.</w:t>
      </w:r>
    </w:p>
    <w:p w14:paraId="0ADB4012" w14:textId="77777777" w:rsidR="00D8371A" w:rsidRPr="00E639A0" w:rsidRDefault="00D8371A" w:rsidP="00D8371A">
      <w:pPr>
        <w:pStyle w:val="ListParagraph"/>
        <w:rPr>
          <w:rFonts w:cs="Arial"/>
          <w:bCs/>
          <w:color w:val="000000"/>
          <w:lang w:eastAsia="en-GB"/>
        </w:rPr>
      </w:pPr>
    </w:p>
    <w:p w14:paraId="6DCB5A29" w14:textId="46F9CBFA" w:rsidR="00C16978" w:rsidRPr="00E639A0" w:rsidRDefault="00C16978" w:rsidP="006135AD">
      <w:pPr>
        <w:pStyle w:val="ListParagraph"/>
        <w:numPr>
          <w:ilvl w:val="0"/>
          <w:numId w:val="7"/>
        </w:numPr>
        <w:rPr>
          <w:rFonts w:cs="Arial"/>
          <w:bCs/>
          <w:color w:val="000000"/>
          <w:lang w:eastAsia="en-GB"/>
        </w:rPr>
      </w:pPr>
      <w:r w:rsidRPr="00E639A0">
        <w:rPr>
          <w:rFonts w:cs="Arial"/>
          <w:bCs/>
          <w:color w:val="000000"/>
          <w:lang w:eastAsia="en-GB"/>
        </w:rPr>
        <w:t>The Government responded to this consultation in July 2019</w:t>
      </w:r>
      <w:r w:rsidR="00A27E85" w:rsidRPr="00E639A0">
        <w:rPr>
          <w:rFonts w:cs="Arial"/>
          <w:bCs/>
          <w:color w:val="000000"/>
          <w:lang w:eastAsia="en-GB"/>
        </w:rPr>
        <w:t xml:space="preserve">. </w:t>
      </w:r>
      <w:r w:rsidR="00CA7E1F" w:rsidRPr="00E639A0">
        <w:rPr>
          <w:rFonts w:cs="Arial"/>
          <w:bCs/>
          <w:color w:val="000000"/>
          <w:lang w:eastAsia="en-GB"/>
        </w:rPr>
        <w:t>In the response, government highlighted that o</w:t>
      </w:r>
      <w:r w:rsidR="00AC2E99" w:rsidRPr="00E639A0">
        <w:rPr>
          <w:rFonts w:cs="Arial"/>
        </w:rPr>
        <w:t xml:space="preserve">ver three quarters of respondents to the consultation agreed that the redundancy protection currently provided when someone is on maternity leave should be extended into a period of return to work. Responses were also generally positive on the benefits for both individuals and employers. </w:t>
      </w:r>
      <w:r w:rsidR="00A27E85" w:rsidRPr="00E639A0">
        <w:rPr>
          <w:rFonts w:cs="Arial"/>
          <w:bCs/>
          <w:color w:val="000000"/>
          <w:lang w:eastAsia="en-GB"/>
        </w:rPr>
        <w:t xml:space="preserve">Nearly three quarters of respondents felt that six months was appropriate. When answering the question about when redundancy protection should start, over two thirds of respondents agreed that this should be from the point when an employee informs </w:t>
      </w:r>
      <w:r w:rsidR="001C625C" w:rsidRPr="00E639A0">
        <w:rPr>
          <w:rFonts w:cs="Arial"/>
          <w:bCs/>
          <w:color w:val="000000"/>
          <w:lang w:eastAsia="en-GB"/>
        </w:rPr>
        <w:t>their</w:t>
      </w:r>
      <w:r w:rsidR="00A27E85" w:rsidRPr="00E639A0">
        <w:rPr>
          <w:rFonts w:cs="Arial"/>
          <w:bCs/>
          <w:color w:val="000000"/>
          <w:lang w:eastAsia="en-GB"/>
        </w:rPr>
        <w:t xml:space="preserve"> employer.</w:t>
      </w:r>
      <w:r w:rsidR="00C746FA" w:rsidRPr="00E639A0">
        <w:rPr>
          <w:rFonts w:cs="Arial"/>
        </w:rPr>
        <w:t xml:space="preserve"> </w:t>
      </w:r>
      <w:r w:rsidR="00C746FA" w:rsidRPr="00E639A0">
        <w:rPr>
          <w:rFonts w:cs="Arial"/>
          <w:bCs/>
          <w:color w:val="000000"/>
          <w:lang w:eastAsia="en-GB"/>
        </w:rPr>
        <w:t>Consultation responses were clearly in favour (over 80%) of providing similar redundancy protections to other groups returning to work having taken extended periods of leave for similar purposes to maternity leave. Adoption leave and Shared Parental Leave were considered most similar to maternity leave.</w:t>
      </w:r>
    </w:p>
    <w:p w14:paraId="38052367" w14:textId="77777777" w:rsidR="00D8371A" w:rsidRPr="00E639A0" w:rsidRDefault="00D8371A" w:rsidP="00D8371A">
      <w:pPr>
        <w:pStyle w:val="ListParagraph"/>
        <w:rPr>
          <w:rFonts w:cs="Arial"/>
          <w:bCs/>
          <w:color w:val="000000"/>
          <w:lang w:eastAsia="en-GB"/>
        </w:rPr>
      </w:pPr>
    </w:p>
    <w:p w14:paraId="6D6409C9" w14:textId="7CA10727" w:rsidR="003C4C93" w:rsidRPr="00E639A0" w:rsidRDefault="003C4C93" w:rsidP="003C4C93">
      <w:pPr>
        <w:pStyle w:val="ListParagraph"/>
        <w:numPr>
          <w:ilvl w:val="0"/>
          <w:numId w:val="7"/>
        </w:numPr>
        <w:rPr>
          <w:rFonts w:cs="Arial"/>
          <w:bCs/>
          <w:color w:val="000000"/>
          <w:lang w:eastAsia="en-GB"/>
        </w:rPr>
      </w:pPr>
      <w:r w:rsidRPr="00E639A0">
        <w:rPr>
          <w:rFonts w:cs="Arial"/>
          <w:bCs/>
          <w:color w:val="000000"/>
          <w:lang w:eastAsia="en-GB"/>
        </w:rPr>
        <w:t>Other length of leave options have been considered</w:t>
      </w:r>
      <w:r w:rsidR="004B4AD6" w:rsidRPr="00E639A0">
        <w:rPr>
          <w:rFonts w:cs="Arial"/>
          <w:bCs/>
          <w:color w:val="000000"/>
          <w:lang w:eastAsia="en-GB"/>
        </w:rPr>
        <w:t xml:space="preserve"> and </w:t>
      </w:r>
      <w:r w:rsidR="00AF5779" w:rsidRPr="00E639A0">
        <w:rPr>
          <w:rFonts w:cs="Arial"/>
          <w:bCs/>
          <w:color w:val="000000"/>
          <w:lang w:eastAsia="en-GB"/>
        </w:rPr>
        <w:t>we</w:t>
      </w:r>
      <w:r w:rsidR="004B4AD6" w:rsidRPr="00E639A0">
        <w:rPr>
          <w:rFonts w:cs="Arial"/>
          <w:bCs/>
          <w:color w:val="000000"/>
          <w:lang w:eastAsia="en-GB"/>
        </w:rPr>
        <w:t xml:space="preserve">re discussed in </w:t>
      </w:r>
      <w:r w:rsidR="00AF5779" w:rsidRPr="00E639A0">
        <w:rPr>
          <w:rFonts w:cs="Arial"/>
          <w:bCs/>
          <w:color w:val="000000"/>
          <w:lang w:eastAsia="en-GB"/>
        </w:rPr>
        <w:t xml:space="preserve">more detail in </w:t>
      </w:r>
      <w:r w:rsidR="004B4AD6" w:rsidRPr="00E639A0">
        <w:rPr>
          <w:rFonts w:cs="Arial"/>
          <w:bCs/>
          <w:color w:val="000000"/>
          <w:lang w:eastAsia="en-GB"/>
        </w:rPr>
        <w:t xml:space="preserve">the consultation </w:t>
      </w:r>
      <w:r w:rsidR="00AF5779" w:rsidRPr="00E639A0">
        <w:rPr>
          <w:rFonts w:cs="Arial"/>
          <w:bCs/>
          <w:color w:val="000000"/>
          <w:lang w:eastAsia="en-GB"/>
        </w:rPr>
        <w:t>paper</w:t>
      </w:r>
      <w:r w:rsidR="004B4AD6" w:rsidRPr="00E639A0">
        <w:rPr>
          <w:rStyle w:val="FootnoteReference"/>
          <w:rFonts w:cs="Arial"/>
          <w:bCs/>
          <w:color w:val="000000"/>
          <w:sz w:val="24"/>
          <w:lang w:eastAsia="en-GB"/>
        </w:rPr>
        <w:footnoteReference w:id="8"/>
      </w:r>
      <w:r w:rsidR="004B4AD6" w:rsidRPr="00E639A0">
        <w:rPr>
          <w:rFonts w:cs="Arial"/>
          <w:bCs/>
          <w:color w:val="000000"/>
          <w:lang w:eastAsia="en-GB"/>
        </w:rPr>
        <w:t>.</w:t>
      </w:r>
      <w:r w:rsidR="00AF5779" w:rsidRPr="00E639A0">
        <w:rPr>
          <w:rFonts w:cs="Arial"/>
          <w:bCs/>
          <w:color w:val="000000"/>
          <w:lang w:eastAsia="en-GB"/>
        </w:rPr>
        <w:t xml:space="preserve"> Limited information exists on how effective similar proposals have been in other countries, making it difficult to argue there is a specific amount of time for which the protection should last. However</w:t>
      </w:r>
      <w:r w:rsidR="00770CF1" w:rsidRPr="00E639A0">
        <w:rPr>
          <w:rFonts w:cs="Arial"/>
          <w:bCs/>
          <w:color w:val="000000"/>
          <w:lang w:eastAsia="en-GB"/>
        </w:rPr>
        <w:t>, the consultation found</w:t>
      </w:r>
      <w:r w:rsidRPr="00E639A0">
        <w:rPr>
          <w:rFonts w:cs="Arial"/>
          <w:bCs/>
          <w:color w:val="000000"/>
          <w:lang w:eastAsia="en-GB"/>
        </w:rPr>
        <w:t xml:space="preserve"> that three months would simply delay the point at which an employer sought to make a new mother redundant</w:t>
      </w:r>
      <w:r w:rsidR="00770CF1" w:rsidRPr="00E639A0">
        <w:rPr>
          <w:rFonts w:cs="Arial"/>
          <w:bCs/>
          <w:color w:val="000000"/>
          <w:lang w:eastAsia="en-GB"/>
        </w:rPr>
        <w:t xml:space="preserve"> and</w:t>
      </w:r>
      <w:r w:rsidRPr="00E639A0">
        <w:rPr>
          <w:rFonts w:cs="Arial"/>
          <w:bCs/>
          <w:color w:val="000000"/>
          <w:lang w:eastAsia="en-GB"/>
        </w:rPr>
        <w:t xml:space="preserve"> </w:t>
      </w:r>
      <w:r w:rsidR="00770CF1" w:rsidRPr="00E639A0">
        <w:rPr>
          <w:rFonts w:cs="Arial"/>
          <w:bCs/>
          <w:color w:val="000000"/>
          <w:lang w:eastAsia="en-GB"/>
        </w:rPr>
        <w:t>t</w:t>
      </w:r>
      <w:r w:rsidRPr="00E639A0">
        <w:rPr>
          <w:rFonts w:cs="Arial"/>
          <w:bCs/>
          <w:color w:val="000000"/>
          <w:lang w:eastAsia="en-GB"/>
        </w:rPr>
        <w:t xml:space="preserve">welve months was thought too long a period for these purposes and would represent an unjustified burden on businesses seeking to deploy their staff most effectively. </w:t>
      </w:r>
    </w:p>
    <w:p w14:paraId="5207E4FB" w14:textId="43E1DC81" w:rsidR="00A401FB" w:rsidRPr="00E639A0" w:rsidRDefault="00F03DC0" w:rsidP="00A401FB">
      <w:pPr>
        <w:pStyle w:val="Heading2"/>
        <w:rPr>
          <w:b/>
          <w:bCs w:val="0"/>
          <w:sz w:val="24"/>
          <w:szCs w:val="24"/>
        </w:rPr>
      </w:pPr>
      <w:r w:rsidRPr="00E639A0">
        <w:rPr>
          <w:b/>
          <w:bCs w:val="0"/>
          <w:sz w:val="24"/>
          <w:szCs w:val="24"/>
        </w:rPr>
        <w:t>Primary</w:t>
      </w:r>
      <w:r w:rsidR="00A971D7" w:rsidRPr="00E639A0">
        <w:rPr>
          <w:b/>
          <w:bCs w:val="0"/>
          <w:sz w:val="24"/>
          <w:szCs w:val="24"/>
        </w:rPr>
        <w:t xml:space="preserve"> and Secondary</w:t>
      </w:r>
      <w:r w:rsidRPr="00E639A0">
        <w:rPr>
          <w:b/>
          <w:bCs w:val="0"/>
          <w:sz w:val="24"/>
          <w:szCs w:val="24"/>
        </w:rPr>
        <w:t xml:space="preserve"> legislation </w:t>
      </w:r>
    </w:p>
    <w:p w14:paraId="17D80F92" w14:textId="77777777" w:rsidR="00772BDB" w:rsidRPr="00E639A0" w:rsidRDefault="00772BDB" w:rsidP="00772BDB">
      <w:pPr>
        <w:pStyle w:val="ListParagraph"/>
        <w:numPr>
          <w:ilvl w:val="0"/>
          <w:numId w:val="7"/>
        </w:numPr>
        <w:rPr>
          <w:rFonts w:cs="Arial"/>
          <w:bCs/>
          <w:color w:val="000000"/>
          <w:lang w:eastAsia="en-GB"/>
        </w:rPr>
      </w:pPr>
      <w:r w:rsidRPr="00E639A0">
        <w:rPr>
          <w:rFonts w:cs="Arial"/>
          <w:bCs/>
          <w:color w:val="000000"/>
          <w:lang w:eastAsia="en-GB"/>
        </w:rPr>
        <w:t>Parents on particular forms of family leave (maternity, shared parental and adoption) currently receive additional redundancy protections while taking that leave through the MAPLE Regulations 1999. The new primary legislation will enable the Secretary of State for Business, Energy and Industrial Strategy to make regulations to extend that additional redundancy protection during pregnancy and for a return to work period.</w:t>
      </w:r>
    </w:p>
    <w:p w14:paraId="77A8D96D" w14:textId="77777777" w:rsidR="00D8371A" w:rsidRPr="00E639A0" w:rsidRDefault="00D8371A" w:rsidP="00D8371A">
      <w:pPr>
        <w:pStyle w:val="EBBodyPara"/>
        <w:ind w:left="720"/>
        <w:rPr>
          <w:sz w:val="24"/>
          <w:szCs w:val="24"/>
        </w:rPr>
      </w:pPr>
    </w:p>
    <w:p w14:paraId="2AF8E840" w14:textId="60628CD4" w:rsidR="009548C3" w:rsidRPr="00E639A0" w:rsidRDefault="004C3CB8" w:rsidP="006135AD">
      <w:pPr>
        <w:pStyle w:val="EBBodyPara"/>
        <w:numPr>
          <w:ilvl w:val="0"/>
          <w:numId w:val="7"/>
        </w:numPr>
        <w:rPr>
          <w:sz w:val="24"/>
          <w:szCs w:val="24"/>
        </w:rPr>
      </w:pPr>
      <w:r w:rsidRPr="00E639A0">
        <w:rPr>
          <w:sz w:val="24"/>
          <w:szCs w:val="24"/>
        </w:rPr>
        <w:t>The primary legislation will simply take the power to make the necessary changes</w:t>
      </w:r>
      <w:r w:rsidR="001B7D8C" w:rsidRPr="00E639A0">
        <w:rPr>
          <w:sz w:val="24"/>
          <w:szCs w:val="24"/>
        </w:rPr>
        <w:t xml:space="preserve"> and it introduces no impact to Business or the Exchequer.</w:t>
      </w:r>
      <w:r w:rsidRPr="00E639A0">
        <w:rPr>
          <w:sz w:val="24"/>
          <w:szCs w:val="24"/>
        </w:rPr>
        <w:t xml:space="preserve"> </w:t>
      </w:r>
      <w:r w:rsidR="00A971D7" w:rsidRPr="00E639A0">
        <w:rPr>
          <w:sz w:val="24"/>
          <w:szCs w:val="24"/>
        </w:rPr>
        <w:t>S</w:t>
      </w:r>
      <w:r w:rsidR="008055E4" w:rsidRPr="00E639A0">
        <w:rPr>
          <w:sz w:val="24"/>
          <w:szCs w:val="24"/>
        </w:rPr>
        <w:t xml:space="preserve">econdary </w:t>
      </w:r>
      <w:r w:rsidR="000A11FE" w:rsidRPr="00E639A0">
        <w:rPr>
          <w:sz w:val="24"/>
          <w:szCs w:val="24"/>
        </w:rPr>
        <w:t xml:space="preserve">legislation </w:t>
      </w:r>
      <w:r w:rsidR="005B0587" w:rsidRPr="00E639A0">
        <w:rPr>
          <w:sz w:val="24"/>
          <w:szCs w:val="24"/>
        </w:rPr>
        <w:t>through</w:t>
      </w:r>
      <w:r w:rsidR="001B7D8C" w:rsidRPr="00E639A0">
        <w:rPr>
          <w:sz w:val="24"/>
          <w:szCs w:val="24"/>
        </w:rPr>
        <w:t xml:space="preserve"> affirmative SI </w:t>
      </w:r>
      <w:r w:rsidR="005B0587" w:rsidRPr="00E639A0">
        <w:rPr>
          <w:sz w:val="24"/>
          <w:szCs w:val="24"/>
        </w:rPr>
        <w:t xml:space="preserve">will </w:t>
      </w:r>
      <w:r w:rsidR="001B7D8C" w:rsidRPr="00E639A0">
        <w:rPr>
          <w:sz w:val="24"/>
          <w:szCs w:val="24"/>
        </w:rPr>
        <w:t xml:space="preserve">make the meaningful changes </w:t>
      </w:r>
      <w:r w:rsidR="005B0587" w:rsidRPr="00E639A0">
        <w:rPr>
          <w:sz w:val="24"/>
          <w:szCs w:val="24"/>
        </w:rPr>
        <w:t xml:space="preserve">to extend the period of redundancy protection. We have </w:t>
      </w:r>
      <w:r w:rsidR="001B7D8C" w:rsidRPr="00E639A0">
        <w:rPr>
          <w:sz w:val="24"/>
          <w:szCs w:val="24"/>
        </w:rPr>
        <w:t xml:space="preserve">outlined </w:t>
      </w:r>
      <w:r w:rsidR="005B0587" w:rsidRPr="00E639A0">
        <w:rPr>
          <w:sz w:val="24"/>
          <w:szCs w:val="24"/>
        </w:rPr>
        <w:t xml:space="preserve">these impacts in this </w:t>
      </w:r>
      <w:r w:rsidR="001B7D8C" w:rsidRPr="00E639A0">
        <w:rPr>
          <w:sz w:val="24"/>
          <w:szCs w:val="24"/>
        </w:rPr>
        <w:t>IA</w:t>
      </w:r>
      <w:r w:rsidR="005B0587" w:rsidRPr="00E639A0">
        <w:rPr>
          <w:sz w:val="24"/>
          <w:szCs w:val="24"/>
        </w:rPr>
        <w:t xml:space="preserve"> and will update where necessary in </w:t>
      </w:r>
      <w:r w:rsidR="003C4A98" w:rsidRPr="00E639A0">
        <w:rPr>
          <w:sz w:val="24"/>
          <w:szCs w:val="24"/>
        </w:rPr>
        <w:t>a secondary Impact Assessment</w:t>
      </w:r>
      <w:r w:rsidR="001B7D8C" w:rsidRPr="00E639A0">
        <w:rPr>
          <w:sz w:val="24"/>
          <w:szCs w:val="24"/>
        </w:rPr>
        <w:t xml:space="preserve">. </w:t>
      </w:r>
      <w:r w:rsidR="003C4A98" w:rsidRPr="00E639A0">
        <w:rPr>
          <w:sz w:val="24"/>
          <w:szCs w:val="24"/>
        </w:rPr>
        <w:t xml:space="preserve">The </w:t>
      </w:r>
      <w:r w:rsidR="00AD6FBD" w:rsidRPr="00E639A0">
        <w:rPr>
          <w:sz w:val="24"/>
          <w:szCs w:val="24"/>
        </w:rPr>
        <w:t xml:space="preserve">changes </w:t>
      </w:r>
      <w:r w:rsidR="000A11FE" w:rsidRPr="00E639A0">
        <w:rPr>
          <w:sz w:val="24"/>
          <w:szCs w:val="24"/>
        </w:rPr>
        <w:t>will</w:t>
      </w:r>
      <w:r w:rsidR="009548C3" w:rsidRPr="00E639A0">
        <w:rPr>
          <w:sz w:val="24"/>
          <w:szCs w:val="24"/>
        </w:rPr>
        <w:t xml:space="preserve">: </w:t>
      </w:r>
    </w:p>
    <w:p w14:paraId="2A5BCBB3" w14:textId="77777777" w:rsidR="009548C3" w:rsidRPr="00E639A0" w:rsidRDefault="009548C3" w:rsidP="006135AD">
      <w:pPr>
        <w:pStyle w:val="EBBodyPara"/>
        <w:numPr>
          <w:ilvl w:val="1"/>
          <w:numId w:val="5"/>
        </w:numPr>
        <w:rPr>
          <w:sz w:val="24"/>
          <w:szCs w:val="24"/>
        </w:rPr>
      </w:pPr>
      <w:r w:rsidRPr="00E639A0">
        <w:rPr>
          <w:sz w:val="24"/>
          <w:szCs w:val="24"/>
        </w:rPr>
        <w:t xml:space="preserve">Ensure the redundancy protection period applies from the point the employee informs the employer that she is pregnant, whether orally or in writing; </w:t>
      </w:r>
    </w:p>
    <w:p w14:paraId="5AFF1397" w14:textId="23BF19A1" w:rsidR="00A401FB" w:rsidRPr="00E639A0" w:rsidRDefault="009548C3" w:rsidP="006135AD">
      <w:pPr>
        <w:pStyle w:val="EBBodyPara"/>
        <w:numPr>
          <w:ilvl w:val="1"/>
          <w:numId w:val="5"/>
        </w:numPr>
        <w:rPr>
          <w:sz w:val="24"/>
          <w:szCs w:val="24"/>
        </w:rPr>
      </w:pPr>
      <w:r w:rsidRPr="00E639A0">
        <w:rPr>
          <w:sz w:val="24"/>
          <w:szCs w:val="24"/>
        </w:rPr>
        <w:t>Extend the redundancy protection period</w:t>
      </w:r>
      <w:r w:rsidR="00377366" w:rsidRPr="00E639A0">
        <w:rPr>
          <w:sz w:val="24"/>
          <w:szCs w:val="24"/>
        </w:rPr>
        <w:t xml:space="preserve"> for an 18-month period (from birth) for parents that take </w:t>
      </w:r>
      <w:r w:rsidR="004A1E21" w:rsidRPr="00E639A0">
        <w:rPr>
          <w:sz w:val="24"/>
          <w:szCs w:val="24"/>
        </w:rPr>
        <w:t xml:space="preserve">a period of </w:t>
      </w:r>
      <w:r w:rsidR="00377366" w:rsidRPr="00E639A0">
        <w:rPr>
          <w:sz w:val="24"/>
          <w:szCs w:val="24"/>
        </w:rPr>
        <w:t>Maternity/Adoption/Shared Parental Leave</w:t>
      </w:r>
      <w:r w:rsidR="004A1E21" w:rsidRPr="00E639A0">
        <w:rPr>
          <w:rStyle w:val="FootnoteReference"/>
          <w:rFonts w:cs="Arial"/>
          <w:sz w:val="24"/>
          <w:szCs w:val="24"/>
        </w:rPr>
        <w:footnoteReference w:id="9"/>
      </w:r>
      <w:r w:rsidR="00377366" w:rsidRPr="00E639A0">
        <w:rPr>
          <w:sz w:val="24"/>
          <w:szCs w:val="24"/>
        </w:rPr>
        <w:t>.</w:t>
      </w:r>
      <w:r w:rsidR="004A1E21" w:rsidRPr="00E639A0">
        <w:rPr>
          <w:sz w:val="24"/>
          <w:szCs w:val="24"/>
        </w:rPr>
        <w:t xml:space="preserve"> </w:t>
      </w:r>
    </w:p>
    <w:p w14:paraId="5599349A" w14:textId="17D5D19C" w:rsidR="002E1DFA" w:rsidRPr="00E639A0" w:rsidRDefault="002E1DFA" w:rsidP="002E1DFA">
      <w:pPr>
        <w:pStyle w:val="Heading2"/>
        <w:rPr>
          <w:b/>
          <w:sz w:val="24"/>
          <w:szCs w:val="24"/>
        </w:rPr>
      </w:pPr>
      <w:r w:rsidRPr="00E639A0">
        <w:rPr>
          <w:b/>
          <w:sz w:val="24"/>
          <w:szCs w:val="24"/>
        </w:rPr>
        <w:t xml:space="preserve">Rationale for intervention </w:t>
      </w:r>
    </w:p>
    <w:p w14:paraId="12BF11BD" w14:textId="32992EA5" w:rsidR="00081F89" w:rsidRPr="00E639A0" w:rsidRDefault="002E1DFA" w:rsidP="00081F89">
      <w:pPr>
        <w:pStyle w:val="ListParagraph"/>
        <w:numPr>
          <w:ilvl w:val="0"/>
          <w:numId w:val="7"/>
        </w:numPr>
        <w:rPr>
          <w:rFonts w:cs="Arial"/>
          <w:bCs/>
          <w:color w:val="000000"/>
          <w:lang w:eastAsia="en-GB"/>
        </w:rPr>
      </w:pPr>
      <w:r w:rsidRPr="00E639A0">
        <w:rPr>
          <w:rFonts w:cs="Arial"/>
          <w:bCs/>
          <w:color w:val="000000"/>
          <w:lang w:eastAsia="en-GB"/>
        </w:rPr>
        <w:t>Unlawful pregnancy and maternity discrimination remains prevalent in the workplace, as evidenced by the BIS/EHRC research and WESC inquiry. Under the current legislation (MAPLE), new mothers on maternity leave are protected from redundancy</w:t>
      </w:r>
      <w:r w:rsidR="00081F89" w:rsidRPr="00E639A0">
        <w:rPr>
          <w:rFonts w:cs="Arial"/>
          <w:bCs/>
          <w:color w:val="000000"/>
          <w:lang w:eastAsia="en-GB"/>
        </w:rPr>
        <w:t xml:space="preserve"> </w:t>
      </w:r>
      <w:r w:rsidR="00DD42F6" w:rsidRPr="00E639A0">
        <w:rPr>
          <w:rFonts w:cs="Arial"/>
          <w:bCs/>
          <w:color w:val="000000"/>
          <w:lang w:eastAsia="en-GB"/>
        </w:rPr>
        <w:t xml:space="preserve">and are entitled to be offered (not just invited to apply for) </w:t>
      </w:r>
      <w:r w:rsidR="00081F89" w:rsidRPr="00E639A0">
        <w:rPr>
          <w:rFonts w:cs="Arial"/>
          <w:bCs/>
          <w:color w:val="000000"/>
          <w:lang w:eastAsia="en-GB"/>
        </w:rPr>
        <w:t>a suitable available vacancy with her employer (or an associated employer)</w:t>
      </w:r>
      <w:r w:rsidR="00DD42F6" w:rsidRPr="00E639A0">
        <w:rPr>
          <w:rFonts w:cs="Arial"/>
          <w:bCs/>
          <w:color w:val="000000"/>
          <w:lang w:eastAsia="en-GB"/>
        </w:rPr>
        <w:t xml:space="preserve"> if at risk of redundancy</w:t>
      </w:r>
      <w:r w:rsidR="00081F89" w:rsidRPr="00E639A0">
        <w:rPr>
          <w:rFonts w:cs="Arial"/>
          <w:bCs/>
          <w:color w:val="000000"/>
          <w:lang w:eastAsia="en-GB"/>
        </w:rPr>
        <w:t xml:space="preserve">. This </w:t>
      </w:r>
      <w:r w:rsidR="00AC6025" w:rsidRPr="00E639A0">
        <w:rPr>
          <w:rFonts w:cs="Arial"/>
          <w:bCs/>
          <w:color w:val="000000"/>
          <w:lang w:eastAsia="en-GB"/>
        </w:rPr>
        <w:t xml:space="preserve">offers </w:t>
      </w:r>
      <w:r w:rsidR="00081F89" w:rsidRPr="00E639A0">
        <w:rPr>
          <w:rFonts w:cs="Arial"/>
          <w:bCs/>
          <w:color w:val="000000"/>
          <w:lang w:eastAsia="en-GB"/>
        </w:rPr>
        <w:t xml:space="preserve">protection </w:t>
      </w:r>
      <w:r w:rsidR="00AC6025" w:rsidRPr="00E639A0">
        <w:rPr>
          <w:rFonts w:cs="Arial"/>
          <w:bCs/>
          <w:color w:val="000000"/>
          <w:lang w:eastAsia="en-GB"/>
        </w:rPr>
        <w:t xml:space="preserve">to address one form of discrimination, but </w:t>
      </w:r>
      <w:r w:rsidR="00D92F1E" w:rsidRPr="00E639A0">
        <w:rPr>
          <w:rFonts w:cs="Arial"/>
          <w:bCs/>
          <w:color w:val="000000"/>
          <w:lang w:eastAsia="en-GB"/>
        </w:rPr>
        <w:t xml:space="preserve">it </w:t>
      </w:r>
      <w:r w:rsidR="00740699" w:rsidRPr="00E639A0">
        <w:rPr>
          <w:rFonts w:cs="Arial"/>
          <w:bCs/>
          <w:color w:val="000000"/>
          <w:lang w:eastAsia="en-GB"/>
        </w:rPr>
        <w:t xml:space="preserve">currently </w:t>
      </w:r>
      <w:r w:rsidR="00081F89" w:rsidRPr="00E639A0">
        <w:rPr>
          <w:rFonts w:cs="Arial"/>
          <w:bCs/>
          <w:color w:val="000000"/>
          <w:lang w:eastAsia="en-GB"/>
        </w:rPr>
        <w:t>applies only whilst the woman is on maternity leave.</w:t>
      </w:r>
    </w:p>
    <w:p w14:paraId="14096832" w14:textId="77777777" w:rsidR="006C3BF8" w:rsidRPr="00E639A0" w:rsidRDefault="006C3BF8" w:rsidP="006C3BF8">
      <w:pPr>
        <w:pStyle w:val="ListParagraph"/>
        <w:rPr>
          <w:rFonts w:cs="Arial"/>
          <w:bCs/>
          <w:color w:val="000000"/>
          <w:lang w:eastAsia="en-GB"/>
        </w:rPr>
      </w:pPr>
    </w:p>
    <w:p w14:paraId="70BB9E18" w14:textId="1F49C7B6" w:rsidR="00FC3D33" w:rsidRPr="00E639A0" w:rsidRDefault="002E1DFA" w:rsidP="006135AD">
      <w:pPr>
        <w:pStyle w:val="ListParagraph"/>
        <w:numPr>
          <w:ilvl w:val="0"/>
          <w:numId w:val="7"/>
        </w:numPr>
        <w:rPr>
          <w:rFonts w:cs="Arial"/>
          <w:bCs/>
          <w:color w:val="000000"/>
          <w:lang w:eastAsia="en-GB"/>
        </w:rPr>
      </w:pPr>
      <w:r w:rsidRPr="00E639A0">
        <w:rPr>
          <w:rFonts w:cs="Arial"/>
          <w:bCs/>
          <w:color w:val="000000"/>
          <w:lang w:eastAsia="en-GB"/>
        </w:rPr>
        <w:t xml:space="preserve">Pregnant mothers </w:t>
      </w:r>
      <w:r w:rsidR="00471B32" w:rsidRPr="00E639A0">
        <w:rPr>
          <w:rFonts w:cs="Arial"/>
          <w:bCs/>
          <w:color w:val="000000"/>
          <w:lang w:eastAsia="en-GB"/>
        </w:rPr>
        <w:t xml:space="preserve">do not have this additional redundancy protection – despite pregnancy being a protected period under the Equality Act.  And </w:t>
      </w:r>
      <w:r w:rsidRPr="00E639A0">
        <w:rPr>
          <w:rFonts w:cs="Arial"/>
          <w:bCs/>
          <w:color w:val="000000"/>
          <w:lang w:eastAsia="en-GB"/>
        </w:rPr>
        <w:t>new parents returning to work</w:t>
      </w:r>
      <w:r w:rsidR="00F86348" w:rsidRPr="00E639A0">
        <w:rPr>
          <w:rFonts w:cs="Arial"/>
          <w:bCs/>
          <w:color w:val="000000"/>
          <w:lang w:eastAsia="en-GB"/>
        </w:rPr>
        <w:t xml:space="preserve"> do not have this additional redundancy protection – despite it being a vulnerable period</w:t>
      </w:r>
      <w:r w:rsidR="002529F1" w:rsidRPr="00E639A0">
        <w:rPr>
          <w:rFonts w:cs="Arial"/>
          <w:bCs/>
          <w:color w:val="000000"/>
          <w:lang w:eastAsia="en-GB"/>
        </w:rPr>
        <w:t>.</w:t>
      </w:r>
      <w:r w:rsidRPr="00E639A0">
        <w:rPr>
          <w:rFonts w:cs="Arial"/>
          <w:bCs/>
          <w:color w:val="000000"/>
          <w:lang w:eastAsia="en-GB"/>
        </w:rPr>
        <w:t xml:space="preserve"> </w:t>
      </w:r>
      <w:r w:rsidR="002529F1" w:rsidRPr="00E639A0">
        <w:rPr>
          <w:rFonts w:cs="Arial"/>
          <w:bCs/>
          <w:color w:val="000000"/>
          <w:lang w:eastAsia="en-GB"/>
        </w:rPr>
        <w:t>R</w:t>
      </w:r>
      <w:r w:rsidRPr="00E639A0">
        <w:rPr>
          <w:rFonts w:cs="Arial"/>
          <w:bCs/>
          <w:color w:val="000000"/>
          <w:lang w:eastAsia="en-GB"/>
        </w:rPr>
        <w:t>esearch indicates that</w:t>
      </w:r>
      <w:r w:rsidR="00AE2699" w:rsidRPr="00E639A0">
        <w:rPr>
          <w:rFonts w:cs="Arial"/>
          <w:bCs/>
          <w:color w:val="000000"/>
          <w:lang w:eastAsia="en-GB"/>
        </w:rPr>
        <w:t xml:space="preserve"> </w:t>
      </w:r>
      <w:r w:rsidRPr="00E639A0">
        <w:rPr>
          <w:rFonts w:cs="Arial"/>
          <w:bCs/>
          <w:color w:val="000000"/>
          <w:lang w:eastAsia="en-GB"/>
        </w:rPr>
        <w:t xml:space="preserve">these individuals </w:t>
      </w:r>
      <w:r w:rsidR="00AE2699" w:rsidRPr="00E639A0">
        <w:rPr>
          <w:rFonts w:cs="Arial"/>
          <w:bCs/>
          <w:color w:val="000000"/>
          <w:lang w:eastAsia="en-GB"/>
        </w:rPr>
        <w:t xml:space="preserve">(pregnant women and returning parents) </w:t>
      </w:r>
      <w:r w:rsidRPr="00E639A0">
        <w:rPr>
          <w:rFonts w:cs="Arial"/>
          <w:bCs/>
          <w:color w:val="000000"/>
          <w:lang w:eastAsia="en-GB"/>
        </w:rPr>
        <w:t>do not have adequate protections and are subject to discrimination</w:t>
      </w:r>
      <w:r w:rsidR="00E77576" w:rsidRPr="00E639A0">
        <w:rPr>
          <w:rFonts w:cs="Arial"/>
          <w:bCs/>
          <w:color w:val="000000"/>
          <w:lang w:eastAsia="en-GB"/>
        </w:rPr>
        <w:t>, which can take the form of being made redundant.</w:t>
      </w:r>
      <w:r w:rsidRPr="00E639A0">
        <w:rPr>
          <w:rFonts w:cs="Arial"/>
          <w:bCs/>
          <w:color w:val="000000"/>
          <w:lang w:eastAsia="en-GB"/>
        </w:rPr>
        <w:t xml:space="preserve"> </w:t>
      </w:r>
    </w:p>
    <w:p w14:paraId="4BD9E23A" w14:textId="77777777" w:rsidR="00FC3D33" w:rsidRPr="00E639A0" w:rsidRDefault="00FC3D33" w:rsidP="00FC3D33">
      <w:pPr>
        <w:pStyle w:val="ListParagraph"/>
        <w:rPr>
          <w:rFonts w:cs="Arial"/>
          <w:bCs/>
          <w:color w:val="000000"/>
          <w:lang w:eastAsia="en-GB"/>
        </w:rPr>
      </w:pPr>
    </w:p>
    <w:p w14:paraId="13CC2943" w14:textId="073A3FB8" w:rsidR="003312F2" w:rsidRPr="00E639A0" w:rsidRDefault="00861CC9" w:rsidP="00E068D7">
      <w:pPr>
        <w:pStyle w:val="ListParagraph"/>
        <w:numPr>
          <w:ilvl w:val="0"/>
          <w:numId w:val="7"/>
        </w:numPr>
        <w:rPr>
          <w:rFonts w:cs="Arial"/>
          <w:bCs/>
          <w:color w:val="000000"/>
          <w:lang w:eastAsia="en-GB"/>
        </w:rPr>
      </w:pPr>
      <w:r w:rsidRPr="00E639A0">
        <w:rPr>
          <w:rFonts w:cs="Arial"/>
        </w:rPr>
        <w:t xml:space="preserve">Government does not believe </w:t>
      </w:r>
      <w:r w:rsidR="00523145" w:rsidRPr="00E639A0">
        <w:rPr>
          <w:rFonts w:cs="Arial"/>
        </w:rPr>
        <w:t>e</w:t>
      </w:r>
      <w:r w:rsidR="002E1DFA" w:rsidRPr="00E639A0">
        <w:rPr>
          <w:rFonts w:cs="Arial"/>
        </w:rPr>
        <w:t>mployers will resolve this issue of their own accord,</w:t>
      </w:r>
      <w:r w:rsidR="002234AC" w:rsidRPr="00E639A0">
        <w:rPr>
          <w:rFonts w:cs="Arial"/>
        </w:rPr>
        <w:t xml:space="preserve"> because of a)</w:t>
      </w:r>
      <w:r w:rsidR="002E1DFA" w:rsidRPr="00E639A0">
        <w:rPr>
          <w:rFonts w:cs="Arial"/>
        </w:rPr>
        <w:t xml:space="preserve"> unlawful behaviour exists</w:t>
      </w:r>
      <w:r w:rsidR="00D30FDA" w:rsidRPr="00E639A0">
        <w:rPr>
          <w:rFonts w:cs="Arial"/>
        </w:rPr>
        <w:t xml:space="preserve">, and b) </w:t>
      </w:r>
      <w:r w:rsidR="00B664D9" w:rsidRPr="00E639A0">
        <w:rPr>
          <w:rFonts w:cs="Arial"/>
        </w:rPr>
        <w:t>evidence that 70% of</w:t>
      </w:r>
      <w:r w:rsidR="007F200A" w:rsidRPr="00E639A0">
        <w:rPr>
          <w:rFonts w:cs="Arial"/>
        </w:rPr>
        <w:t xml:space="preserve"> employers report being aware of female employees’ rights, but then expressed discriminatory views under further questioning, which suggests that awareness raising is not sufficient to deter discriminatory behaviour.</w:t>
      </w:r>
      <w:r w:rsidR="00B664D9" w:rsidRPr="00E639A0">
        <w:rPr>
          <w:rFonts w:cs="Arial"/>
        </w:rPr>
        <w:t xml:space="preserve"> </w:t>
      </w:r>
      <w:r w:rsidR="002E1DFA" w:rsidRPr="00E639A0">
        <w:rPr>
          <w:rFonts w:cs="Arial"/>
        </w:rPr>
        <w:t xml:space="preserve">Employers are </w:t>
      </w:r>
      <w:r w:rsidR="00BF13F6" w:rsidRPr="00E639A0">
        <w:rPr>
          <w:rFonts w:cs="Arial"/>
        </w:rPr>
        <w:t xml:space="preserve">currently </w:t>
      </w:r>
      <w:r w:rsidR="002E1DFA" w:rsidRPr="00E639A0">
        <w:rPr>
          <w:rFonts w:cs="Arial"/>
        </w:rPr>
        <w:t xml:space="preserve">not </w:t>
      </w:r>
      <w:r w:rsidR="00A04849" w:rsidRPr="00E639A0">
        <w:rPr>
          <w:rFonts w:cs="Arial"/>
        </w:rPr>
        <w:t>incentivised</w:t>
      </w:r>
      <w:r w:rsidR="002E1DFA" w:rsidRPr="00E639A0">
        <w:rPr>
          <w:rFonts w:cs="Arial"/>
        </w:rPr>
        <w:t xml:space="preserve"> to provide sufficient employment protection for pregnant and new parents and are likely to prioritise their costs and bottom line. </w:t>
      </w:r>
    </w:p>
    <w:p w14:paraId="4C4384DF" w14:textId="77777777" w:rsidR="00DB41C3" w:rsidRPr="00E639A0" w:rsidRDefault="00DB41C3" w:rsidP="00DB41C3">
      <w:pPr>
        <w:pStyle w:val="ListParagraph"/>
        <w:rPr>
          <w:rFonts w:cs="Arial"/>
          <w:bCs/>
          <w:color w:val="000000"/>
          <w:lang w:eastAsia="en-GB"/>
        </w:rPr>
      </w:pPr>
    </w:p>
    <w:p w14:paraId="15DCFFBA" w14:textId="5318C868" w:rsidR="00E22880" w:rsidRPr="00E639A0" w:rsidRDefault="002E1DFA" w:rsidP="003F0CD2">
      <w:pPr>
        <w:pStyle w:val="ListParagraph"/>
        <w:numPr>
          <w:ilvl w:val="0"/>
          <w:numId w:val="7"/>
        </w:numPr>
        <w:rPr>
          <w:rFonts w:cs="Arial"/>
          <w:bCs/>
          <w:color w:val="000000"/>
          <w:lang w:eastAsia="en-GB"/>
        </w:rPr>
      </w:pPr>
      <w:r w:rsidRPr="00E639A0">
        <w:rPr>
          <w:rFonts w:cs="Arial"/>
        </w:rPr>
        <w:t xml:space="preserve">There </w:t>
      </w:r>
      <w:r w:rsidR="00AD6FBD" w:rsidRPr="00E639A0">
        <w:rPr>
          <w:rFonts w:cs="Arial"/>
        </w:rPr>
        <w:t>is an unacceptable</w:t>
      </w:r>
      <w:r w:rsidRPr="00E639A0">
        <w:rPr>
          <w:rFonts w:cs="Arial"/>
        </w:rPr>
        <w:t xml:space="preserve"> number of pregnant women and </w:t>
      </w:r>
      <w:r w:rsidR="00AD6FBD" w:rsidRPr="00E639A0">
        <w:rPr>
          <w:rFonts w:cs="Arial"/>
        </w:rPr>
        <w:t>mothers</w:t>
      </w:r>
      <w:r w:rsidRPr="00E639A0">
        <w:rPr>
          <w:rFonts w:cs="Arial"/>
        </w:rPr>
        <w:t xml:space="preserve"> each year that are estimated to be affected by redundancy discrimination. </w:t>
      </w:r>
      <w:r w:rsidR="000129CE" w:rsidRPr="00E639A0">
        <w:rPr>
          <w:rFonts w:cs="Arial"/>
        </w:rPr>
        <w:t>The</w:t>
      </w:r>
      <w:r w:rsidR="00B05CEA" w:rsidRPr="00E639A0">
        <w:rPr>
          <w:rFonts w:cs="Arial"/>
        </w:rPr>
        <w:t xml:space="preserve"> 2016 BIS and EHRC research estimated that </w:t>
      </w:r>
      <w:r w:rsidR="00BE1996" w:rsidRPr="00E639A0">
        <w:rPr>
          <w:rFonts w:cs="Arial"/>
        </w:rPr>
        <w:t xml:space="preserve">1% of all mothers report being made redundant whilst pregnant and </w:t>
      </w:r>
      <w:r w:rsidR="007A7A51" w:rsidRPr="00E639A0">
        <w:rPr>
          <w:rFonts w:cs="Arial"/>
        </w:rPr>
        <w:t>2% on return from maternity leave</w:t>
      </w:r>
      <w:r w:rsidR="00B05CEA" w:rsidRPr="00E639A0">
        <w:rPr>
          <w:rFonts w:cs="Arial"/>
        </w:rPr>
        <w:t xml:space="preserve">. </w:t>
      </w:r>
      <w:r w:rsidR="000129CE" w:rsidRPr="00E639A0">
        <w:rPr>
          <w:rFonts w:cs="Arial"/>
        </w:rPr>
        <w:t xml:space="preserve"> </w:t>
      </w:r>
      <w:r w:rsidRPr="00E639A0">
        <w:rPr>
          <w:rFonts w:cs="Arial"/>
        </w:rPr>
        <w:t xml:space="preserve">We estimate that </w:t>
      </w:r>
      <w:r w:rsidR="001A154D" w:rsidRPr="00E639A0">
        <w:rPr>
          <w:rFonts w:cs="Arial"/>
        </w:rPr>
        <w:t xml:space="preserve">this means </w:t>
      </w:r>
      <w:r w:rsidRPr="00E639A0">
        <w:rPr>
          <w:rFonts w:cs="Arial"/>
        </w:rPr>
        <w:t>each year there are roughly 2</w:t>
      </w:r>
      <w:r w:rsidR="00C60B5A" w:rsidRPr="00E639A0">
        <w:rPr>
          <w:rFonts w:cs="Arial"/>
        </w:rPr>
        <w:t>,</w:t>
      </w:r>
      <w:r w:rsidR="007B75D9" w:rsidRPr="00E639A0">
        <w:rPr>
          <w:rFonts w:cs="Arial"/>
        </w:rPr>
        <w:t>5</w:t>
      </w:r>
      <w:r w:rsidRPr="00E639A0">
        <w:rPr>
          <w:rFonts w:cs="Arial"/>
        </w:rPr>
        <w:t>00 pregnant employees, 5</w:t>
      </w:r>
      <w:r w:rsidR="00C60B5A" w:rsidRPr="00E639A0">
        <w:rPr>
          <w:rFonts w:cs="Arial"/>
        </w:rPr>
        <w:t>,</w:t>
      </w:r>
      <w:r w:rsidRPr="00E639A0">
        <w:rPr>
          <w:rFonts w:cs="Arial"/>
        </w:rPr>
        <w:t xml:space="preserve">000 new mothers, and a small number of new adoptive parents and </w:t>
      </w:r>
      <w:r w:rsidRPr="00E639A0" w:rsidDel="00EF143D">
        <w:rPr>
          <w:rFonts w:cs="Arial"/>
        </w:rPr>
        <w:t>partners</w:t>
      </w:r>
      <w:r w:rsidRPr="00E639A0">
        <w:rPr>
          <w:rFonts w:cs="Arial"/>
        </w:rPr>
        <w:t xml:space="preserve"> on return from Shared Parental Leave who are made redundant (with no alternative or lower position offered)</w:t>
      </w:r>
      <w:r w:rsidR="00355F97" w:rsidRPr="00E639A0">
        <w:rPr>
          <w:rStyle w:val="FootnoteReference"/>
          <w:rFonts w:cs="Arial"/>
          <w:sz w:val="24"/>
        </w:rPr>
        <w:footnoteReference w:id="10"/>
      </w:r>
      <w:r w:rsidR="008C4047" w:rsidRPr="00E639A0">
        <w:rPr>
          <w:rFonts w:cs="Arial"/>
        </w:rPr>
        <w:t>.</w:t>
      </w:r>
      <w:r w:rsidR="009353A9" w:rsidRPr="00E639A0">
        <w:rPr>
          <w:rFonts w:cs="Arial"/>
        </w:rPr>
        <w:t xml:space="preserve"> </w:t>
      </w:r>
      <w:r w:rsidR="002C391F" w:rsidRPr="00E639A0">
        <w:rPr>
          <w:rFonts w:cs="Arial"/>
        </w:rPr>
        <w:t>While</w:t>
      </w:r>
      <w:r w:rsidR="003009AA" w:rsidRPr="00E639A0">
        <w:rPr>
          <w:rFonts w:cs="Arial"/>
        </w:rPr>
        <w:t xml:space="preserve"> it is difficult</w:t>
      </w:r>
      <w:r w:rsidR="002C391F" w:rsidRPr="00E639A0">
        <w:rPr>
          <w:rFonts w:cs="Arial"/>
        </w:rPr>
        <w:t xml:space="preserve"> </w:t>
      </w:r>
      <w:r w:rsidR="003009AA" w:rsidRPr="00E639A0">
        <w:rPr>
          <w:rFonts w:cs="Arial"/>
        </w:rPr>
        <w:t xml:space="preserve">to </w:t>
      </w:r>
      <w:r w:rsidR="003766A9" w:rsidRPr="00E639A0">
        <w:rPr>
          <w:rFonts w:cs="Arial"/>
        </w:rPr>
        <w:t xml:space="preserve">directly </w:t>
      </w:r>
      <w:r w:rsidR="00204B84" w:rsidRPr="00E639A0">
        <w:rPr>
          <w:rFonts w:cs="Arial"/>
        </w:rPr>
        <w:t xml:space="preserve">compare </w:t>
      </w:r>
      <w:r w:rsidR="003009AA" w:rsidRPr="00E639A0">
        <w:rPr>
          <w:rFonts w:cs="Arial"/>
        </w:rPr>
        <w:t xml:space="preserve">redundancy </w:t>
      </w:r>
      <w:r w:rsidR="00204B84" w:rsidRPr="00E639A0">
        <w:rPr>
          <w:rFonts w:cs="Arial"/>
        </w:rPr>
        <w:t xml:space="preserve">rates (and </w:t>
      </w:r>
      <w:r w:rsidR="003766A9" w:rsidRPr="00E639A0">
        <w:rPr>
          <w:rFonts w:cs="Arial"/>
        </w:rPr>
        <w:t xml:space="preserve">discrimination) with </w:t>
      </w:r>
      <w:r w:rsidR="00A04849" w:rsidRPr="00E639A0">
        <w:rPr>
          <w:rFonts w:cs="Arial"/>
        </w:rPr>
        <w:t xml:space="preserve">other </w:t>
      </w:r>
      <w:r w:rsidR="002C391F" w:rsidRPr="00E639A0">
        <w:rPr>
          <w:rFonts w:cs="Arial"/>
        </w:rPr>
        <w:t xml:space="preserve">groups in the </w:t>
      </w:r>
      <w:r w:rsidR="003009AA" w:rsidRPr="00E639A0">
        <w:rPr>
          <w:rFonts w:cs="Arial"/>
        </w:rPr>
        <w:t xml:space="preserve">labour market </w:t>
      </w:r>
      <w:r w:rsidR="003766A9" w:rsidRPr="00E639A0">
        <w:rPr>
          <w:rFonts w:cs="Arial"/>
        </w:rPr>
        <w:t>(</w:t>
      </w:r>
      <w:r w:rsidR="007C7CEC" w:rsidRPr="00E639A0">
        <w:rPr>
          <w:rFonts w:cs="Arial"/>
        </w:rPr>
        <w:t xml:space="preserve">as </w:t>
      </w:r>
      <w:r w:rsidR="003766A9" w:rsidRPr="00E639A0">
        <w:rPr>
          <w:rFonts w:cs="Arial"/>
        </w:rPr>
        <w:t xml:space="preserve">data is limited regarding redundancy </w:t>
      </w:r>
      <w:r w:rsidR="00781544" w:rsidRPr="00E639A0">
        <w:rPr>
          <w:rFonts w:cs="Arial"/>
        </w:rPr>
        <w:t>outcomes)</w:t>
      </w:r>
      <w:r w:rsidR="00516430" w:rsidRPr="00E639A0">
        <w:rPr>
          <w:rFonts w:cs="Arial"/>
        </w:rPr>
        <w:t xml:space="preserve"> there </w:t>
      </w:r>
      <w:r w:rsidR="007743C3" w:rsidRPr="00E639A0">
        <w:rPr>
          <w:rFonts w:cs="Arial"/>
        </w:rPr>
        <w:t>are</w:t>
      </w:r>
      <w:r w:rsidR="00516430" w:rsidRPr="00E639A0">
        <w:rPr>
          <w:rFonts w:cs="Arial"/>
        </w:rPr>
        <w:t xml:space="preserve"> strong equity </w:t>
      </w:r>
      <w:r w:rsidR="007743C3" w:rsidRPr="00E639A0">
        <w:rPr>
          <w:rFonts w:cs="Arial"/>
        </w:rPr>
        <w:t xml:space="preserve">reasons </w:t>
      </w:r>
      <w:r w:rsidR="007432F3" w:rsidRPr="00E639A0">
        <w:rPr>
          <w:rFonts w:cs="Arial"/>
        </w:rPr>
        <w:t xml:space="preserve">for protecting </w:t>
      </w:r>
      <w:r w:rsidR="000A02E3" w:rsidRPr="00E639A0">
        <w:rPr>
          <w:rFonts w:cs="Arial"/>
        </w:rPr>
        <w:t xml:space="preserve">this group. </w:t>
      </w:r>
      <w:r w:rsidR="005F61C2" w:rsidRPr="00E639A0">
        <w:rPr>
          <w:rFonts w:cs="Arial"/>
        </w:rPr>
        <w:t>For example, w</w:t>
      </w:r>
      <w:r w:rsidR="007C7CEC" w:rsidRPr="00E639A0">
        <w:rPr>
          <w:rFonts w:cs="Arial"/>
        </w:rPr>
        <w:t xml:space="preserve">e know that </w:t>
      </w:r>
      <w:r w:rsidR="00597882" w:rsidRPr="00E639A0">
        <w:rPr>
          <w:rFonts w:cs="Arial"/>
        </w:rPr>
        <w:t xml:space="preserve">pregnant women and new parents </w:t>
      </w:r>
      <w:r w:rsidR="00F31B58" w:rsidRPr="00E639A0">
        <w:rPr>
          <w:rFonts w:cs="Arial"/>
        </w:rPr>
        <w:t xml:space="preserve">face </w:t>
      </w:r>
      <w:r w:rsidR="00B65C60" w:rsidRPr="00E639A0">
        <w:rPr>
          <w:rFonts w:cs="Arial"/>
        </w:rPr>
        <w:t xml:space="preserve">challenges in balancing </w:t>
      </w:r>
      <w:r w:rsidR="00CE63C2" w:rsidRPr="00E639A0">
        <w:rPr>
          <w:rFonts w:cs="Arial"/>
        </w:rPr>
        <w:t xml:space="preserve">work </w:t>
      </w:r>
      <w:r w:rsidR="00095710" w:rsidRPr="00E639A0">
        <w:rPr>
          <w:rFonts w:cs="Arial"/>
        </w:rPr>
        <w:t xml:space="preserve">with </w:t>
      </w:r>
      <w:r w:rsidR="00270A31" w:rsidRPr="00E639A0">
        <w:rPr>
          <w:rFonts w:cs="Arial"/>
        </w:rPr>
        <w:t xml:space="preserve">pregnancy </w:t>
      </w:r>
      <w:r w:rsidR="00BF4625" w:rsidRPr="00E639A0">
        <w:rPr>
          <w:rFonts w:cs="Arial"/>
        </w:rPr>
        <w:t xml:space="preserve">and </w:t>
      </w:r>
      <w:r w:rsidR="008A4A4B" w:rsidRPr="00E639A0">
        <w:rPr>
          <w:rFonts w:cs="Arial"/>
        </w:rPr>
        <w:t>family life</w:t>
      </w:r>
      <w:r w:rsidR="00F67D2D" w:rsidRPr="00E639A0">
        <w:rPr>
          <w:rFonts w:cs="Arial"/>
        </w:rPr>
        <w:t xml:space="preserve"> more generally</w:t>
      </w:r>
      <w:r w:rsidR="008A4A4B" w:rsidRPr="00E639A0">
        <w:rPr>
          <w:rFonts w:cs="Arial"/>
        </w:rPr>
        <w:t>.</w:t>
      </w:r>
      <w:r w:rsidR="005014A3" w:rsidRPr="00E639A0">
        <w:rPr>
          <w:rFonts w:cs="Arial"/>
        </w:rPr>
        <w:t xml:space="preserve"> </w:t>
      </w:r>
      <w:r w:rsidR="00F67D2D" w:rsidRPr="00E639A0">
        <w:rPr>
          <w:rFonts w:cs="Arial"/>
        </w:rPr>
        <w:t xml:space="preserve">Parents </w:t>
      </w:r>
      <w:r w:rsidR="0079758F" w:rsidRPr="00E639A0">
        <w:rPr>
          <w:rFonts w:cs="Arial"/>
        </w:rPr>
        <w:t>may need</w:t>
      </w:r>
      <w:r w:rsidR="00190745" w:rsidRPr="00E639A0">
        <w:rPr>
          <w:rFonts w:cs="Arial"/>
        </w:rPr>
        <w:t xml:space="preserve"> to </w:t>
      </w:r>
      <w:r w:rsidR="005E5C92" w:rsidRPr="00E639A0">
        <w:rPr>
          <w:rFonts w:cs="Arial"/>
        </w:rPr>
        <w:t xml:space="preserve">reduce hours </w:t>
      </w:r>
      <w:r w:rsidR="00B76B34" w:rsidRPr="00E639A0">
        <w:rPr>
          <w:rFonts w:cs="Arial"/>
        </w:rPr>
        <w:t>of work</w:t>
      </w:r>
      <w:r w:rsidR="00F14427" w:rsidRPr="00E639A0">
        <w:rPr>
          <w:rFonts w:cs="Arial"/>
        </w:rPr>
        <w:t xml:space="preserve"> </w:t>
      </w:r>
      <w:r w:rsidR="00AD104A" w:rsidRPr="00E639A0">
        <w:rPr>
          <w:rFonts w:cs="Arial"/>
        </w:rPr>
        <w:t>(</w:t>
      </w:r>
      <w:r w:rsidR="00F14427" w:rsidRPr="00E639A0">
        <w:rPr>
          <w:rFonts w:cs="Arial"/>
        </w:rPr>
        <w:t xml:space="preserve">or </w:t>
      </w:r>
      <w:r w:rsidR="00AD104A" w:rsidRPr="00E639A0">
        <w:rPr>
          <w:rFonts w:cs="Arial"/>
        </w:rPr>
        <w:t>other forms of flexible working)</w:t>
      </w:r>
      <w:r w:rsidR="00546A35" w:rsidRPr="00E639A0">
        <w:rPr>
          <w:rFonts w:cs="Arial"/>
        </w:rPr>
        <w:t xml:space="preserve">, take on less </w:t>
      </w:r>
      <w:r w:rsidR="00AD104A" w:rsidRPr="00E639A0">
        <w:rPr>
          <w:rFonts w:cs="Arial"/>
        </w:rPr>
        <w:t>responsibility</w:t>
      </w:r>
      <w:r w:rsidR="00A04849" w:rsidRPr="00E639A0">
        <w:rPr>
          <w:rFonts w:cs="Arial"/>
        </w:rPr>
        <w:t xml:space="preserve"> or</w:t>
      </w:r>
      <w:r w:rsidR="00077E2D" w:rsidRPr="00E639A0">
        <w:rPr>
          <w:rFonts w:cs="Arial"/>
          <w:b/>
          <w:bCs/>
          <w:color w:val="FF0000"/>
        </w:rPr>
        <w:t xml:space="preserve"> </w:t>
      </w:r>
      <w:r w:rsidR="00077E2D" w:rsidRPr="00E639A0">
        <w:rPr>
          <w:rFonts w:cs="Arial"/>
        </w:rPr>
        <w:t xml:space="preserve">take more leave </w:t>
      </w:r>
      <w:r w:rsidR="00F00E55" w:rsidRPr="00E639A0">
        <w:rPr>
          <w:rFonts w:cs="Arial"/>
        </w:rPr>
        <w:t xml:space="preserve">to deal with appointments and </w:t>
      </w:r>
      <w:r w:rsidR="00E325BC" w:rsidRPr="00E639A0">
        <w:rPr>
          <w:rFonts w:cs="Arial"/>
        </w:rPr>
        <w:t xml:space="preserve">childcare </w:t>
      </w:r>
      <w:r w:rsidR="00077E2D" w:rsidRPr="00E639A0">
        <w:rPr>
          <w:rFonts w:cs="Arial"/>
        </w:rPr>
        <w:t xml:space="preserve">etc. </w:t>
      </w:r>
      <w:r w:rsidR="00043AE7" w:rsidRPr="00E639A0">
        <w:rPr>
          <w:rFonts w:cs="Arial"/>
        </w:rPr>
        <w:t>Crucially, t</w:t>
      </w:r>
      <w:r w:rsidR="005014A3" w:rsidRPr="00E639A0">
        <w:rPr>
          <w:rFonts w:cs="Arial"/>
        </w:rPr>
        <w:t xml:space="preserve">here is </w:t>
      </w:r>
      <w:r w:rsidR="00E22880" w:rsidRPr="00E639A0">
        <w:rPr>
          <w:rFonts w:cs="Arial"/>
        </w:rPr>
        <w:t>clear</w:t>
      </w:r>
      <w:r w:rsidR="00CF33D9" w:rsidRPr="00E639A0">
        <w:rPr>
          <w:rFonts w:cs="Arial"/>
        </w:rPr>
        <w:t xml:space="preserve"> </w:t>
      </w:r>
      <w:r w:rsidR="005014A3" w:rsidRPr="00E639A0">
        <w:rPr>
          <w:rFonts w:cs="Arial"/>
        </w:rPr>
        <w:t>evidence that the</w:t>
      </w:r>
      <w:r w:rsidR="00043AE7" w:rsidRPr="00E639A0">
        <w:rPr>
          <w:rFonts w:cs="Arial"/>
        </w:rPr>
        <w:t xml:space="preserve"> employment </w:t>
      </w:r>
      <w:r w:rsidR="001B2AC8" w:rsidRPr="00E639A0">
        <w:rPr>
          <w:rFonts w:cs="Arial"/>
        </w:rPr>
        <w:t xml:space="preserve">participation and pay gap </w:t>
      </w:r>
      <w:r w:rsidR="00043AE7" w:rsidRPr="00E639A0">
        <w:rPr>
          <w:rFonts w:cs="Arial"/>
        </w:rPr>
        <w:t xml:space="preserve">for women </w:t>
      </w:r>
      <w:r w:rsidR="001B2AC8" w:rsidRPr="00E639A0">
        <w:rPr>
          <w:rFonts w:cs="Arial"/>
        </w:rPr>
        <w:t xml:space="preserve">begin to open </w:t>
      </w:r>
      <w:r w:rsidR="00D47BDD" w:rsidRPr="00E639A0">
        <w:rPr>
          <w:rFonts w:cs="Arial"/>
        </w:rPr>
        <w:t>up</w:t>
      </w:r>
      <w:r w:rsidR="00E22880" w:rsidRPr="00E639A0">
        <w:rPr>
          <w:rFonts w:cs="Arial"/>
        </w:rPr>
        <w:t xml:space="preserve"> around the age of childbearing and never close (sometimes referred to as the ‘motherhood penalty’)</w:t>
      </w:r>
      <w:r w:rsidR="00CF33D9" w:rsidRPr="00E639A0">
        <w:rPr>
          <w:rFonts w:cs="Arial"/>
        </w:rPr>
        <w:t xml:space="preserve"> – this </w:t>
      </w:r>
      <w:r w:rsidR="006C627A" w:rsidRPr="00E639A0">
        <w:rPr>
          <w:rFonts w:cs="Arial"/>
        </w:rPr>
        <w:t xml:space="preserve">relationship has been shown to be </w:t>
      </w:r>
      <w:r w:rsidR="00CF33D9" w:rsidRPr="00E639A0">
        <w:rPr>
          <w:rFonts w:cs="Arial"/>
        </w:rPr>
        <w:t>causal</w:t>
      </w:r>
      <w:r w:rsidR="006C627A" w:rsidRPr="00E639A0">
        <w:rPr>
          <w:rStyle w:val="FootnoteReference"/>
          <w:rFonts w:cs="Arial"/>
          <w:sz w:val="24"/>
        </w:rPr>
        <w:footnoteReference w:id="11"/>
      </w:r>
      <w:r w:rsidR="00E22880" w:rsidRPr="00E639A0">
        <w:rPr>
          <w:rFonts w:cs="Arial"/>
        </w:rPr>
        <w:t>.</w:t>
      </w:r>
    </w:p>
    <w:p w14:paraId="594AD3FA" w14:textId="4B4327E3" w:rsidR="00876454" w:rsidRPr="00E639A0" w:rsidRDefault="00876454" w:rsidP="003F0CD2">
      <w:pPr>
        <w:rPr>
          <w:rFonts w:cs="Arial"/>
        </w:rPr>
      </w:pPr>
    </w:p>
    <w:p w14:paraId="74BE4331" w14:textId="561299FE" w:rsidR="00326C23" w:rsidRPr="00E639A0" w:rsidRDefault="00326C23" w:rsidP="006135AD">
      <w:pPr>
        <w:pStyle w:val="ListParagraph"/>
        <w:numPr>
          <w:ilvl w:val="0"/>
          <w:numId w:val="7"/>
        </w:numPr>
        <w:rPr>
          <w:rFonts w:cs="Arial"/>
        </w:rPr>
      </w:pPr>
      <w:r w:rsidRPr="00E639A0">
        <w:rPr>
          <w:rFonts w:cs="Arial"/>
        </w:rPr>
        <w:t xml:space="preserve">More recently, the 2019 Parental Rights Survey (as yet unpublished) estimates that 70 per cent of mothers who took Maternity or Adoption Leave report that they </w:t>
      </w:r>
      <w:r w:rsidR="00770CF1" w:rsidRPr="00E639A0">
        <w:rPr>
          <w:rFonts w:cs="Arial"/>
        </w:rPr>
        <w:t>d</w:t>
      </w:r>
      <w:r w:rsidRPr="00E639A0">
        <w:rPr>
          <w:rFonts w:cs="Arial"/>
        </w:rPr>
        <w:t>id not experience any form of unfair treatment durin</w:t>
      </w:r>
      <w:r w:rsidR="00905AED" w:rsidRPr="00E639A0">
        <w:rPr>
          <w:rFonts w:cs="Arial"/>
        </w:rPr>
        <w:t xml:space="preserve">g </w:t>
      </w:r>
      <w:r w:rsidRPr="00E639A0">
        <w:rPr>
          <w:rFonts w:cs="Arial"/>
        </w:rPr>
        <w:t>pregnancy, parental leave or on their return to work. Direct comparisons with earlier surveys (2006 or 2009) are not possible due to methodological changes</w:t>
      </w:r>
      <w:r w:rsidR="00276BA6" w:rsidRPr="00E639A0">
        <w:rPr>
          <w:rFonts w:cs="Arial"/>
        </w:rPr>
        <w:t>,</w:t>
      </w:r>
      <w:r w:rsidRPr="00E639A0">
        <w:rPr>
          <w:rFonts w:cs="Arial"/>
        </w:rPr>
        <w:t xml:space="preserve"> but the latest survey findings suggest the experience of unfair treatment has not decreased. Of </w:t>
      </w:r>
      <w:r w:rsidR="00770CF1" w:rsidRPr="00E639A0">
        <w:rPr>
          <w:rFonts w:cs="Arial"/>
        </w:rPr>
        <w:t xml:space="preserve">employed </w:t>
      </w:r>
      <w:r w:rsidRPr="00E639A0">
        <w:rPr>
          <w:rFonts w:cs="Arial"/>
        </w:rPr>
        <w:t xml:space="preserve">mothers </w:t>
      </w:r>
      <w:r w:rsidR="00770CF1" w:rsidRPr="00E639A0">
        <w:rPr>
          <w:rFonts w:cs="Arial"/>
        </w:rPr>
        <w:t xml:space="preserve">who </w:t>
      </w:r>
      <w:r w:rsidRPr="00E639A0">
        <w:rPr>
          <w:rFonts w:cs="Arial"/>
        </w:rPr>
        <w:t>took Maternity/Adoption Leave, 1</w:t>
      </w:r>
      <w:r w:rsidR="00B31BE0" w:rsidRPr="00E639A0">
        <w:rPr>
          <w:rFonts w:cs="Arial"/>
        </w:rPr>
        <w:t xml:space="preserve">% </w:t>
      </w:r>
      <w:r w:rsidR="00A04849" w:rsidRPr="00E639A0">
        <w:rPr>
          <w:rFonts w:cs="Arial"/>
        </w:rPr>
        <w:t>reported</w:t>
      </w:r>
      <w:r w:rsidRPr="00E639A0">
        <w:rPr>
          <w:rFonts w:cs="Arial"/>
        </w:rPr>
        <w:t xml:space="preserve"> being dismissed, and the same proportion reported being selected for redundancy because of the pregnancy.</w:t>
      </w:r>
    </w:p>
    <w:p w14:paraId="26B309DE" w14:textId="77777777" w:rsidR="00876454" w:rsidRPr="00E639A0" w:rsidRDefault="00876454" w:rsidP="00876454">
      <w:pPr>
        <w:pStyle w:val="ListParagraph"/>
        <w:rPr>
          <w:rFonts w:cs="Arial"/>
          <w:bCs/>
          <w:color w:val="000000"/>
          <w:lang w:eastAsia="en-GB"/>
        </w:rPr>
      </w:pPr>
    </w:p>
    <w:p w14:paraId="44F64A9B" w14:textId="152DFBEF" w:rsidR="001D28D3" w:rsidRPr="00E639A0" w:rsidRDefault="00F602E5" w:rsidP="006135AD">
      <w:pPr>
        <w:pStyle w:val="ListParagraph"/>
        <w:numPr>
          <w:ilvl w:val="0"/>
          <w:numId w:val="7"/>
        </w:numPr>
        <w:rPr>
          <w:rFonts w:cs="Arial"/>
          <w:bCs/>
          <w:color w:val="000000"/>
          <w:lang w:eastAsia="en-GB"/>
        </w:rPr>
      </w:pPr>
      <w:r w:rsidRPr="00E639A0">
        <w:rPr>
          <w:rFonts w:cs="Arial"/>
          <w:bCs/>
          <w:color w:val="000000"/>
          <w:lang w:eastAsia="en-GB"/>
        </w:rPr>
        <w:t>Employment Tribunal statistics</w:t>
      </w:r>
      <w:r w:rsidR="00947160" w:rsidRPr="00E639A0">
        <w:rPr>
          <w:rStyle w:val="FootnoteReference"/>
          <w:rFonts w:cs="Arial"/>
          <w:bCs/>
          <w:color w:val="000000"/>
          <w:sz w:val="24"/>
          <w:lang w:eastAsia="en-GB"/>
        </w:rPr>
        <w:footnoteReference w:id="12"/>
      </w:r>
      <w:r w:rsidR="00947160" w:rsidRPr="00E639A0">
        <w:rPr>
          <w:rFonts w:cs="Arial"/>
          <w:bCs/>
          <w:color w:val="000000"/>
          <w:lang w:eastAsia="en-GB"/>
        </w:rPr>
        <w:t xml:space="preserve"> </w:t>
      </w:r>
      <w:r w:rsidRPr="00E639A0">
        <w:rPr>
          <w:rFonts w:cs="Arial"/>
          <w:bCs/>
          <w:color w:val="000000"/>
          <w:lang w:eastAsia="en-GB"/>
        </w:rPr>
        <w:t>est</w:t>
      </w:r>
      <w:r w:rsidR="009E0664" w:rsidRPr="00E639A0">
        <w:rPr>
          <w:rFonts w:cs="Arial"/>
          <w:bCs/>
          <w:color w:val="000000"/>
          <w:lang w:eastAsia="en-GB"/>
        </w:rPr>
        <w:t xml:space="preserve">imate there were </w:t>
      </w:r>
      <w:r w:rsidR="003C63EF" w:rsidRPr="00E639A0">
        <w:rPr>
          <w:rFonts w:cs="Arial"/>
          <w:bCs/>
          <w:color w:val="000000"/>
          <w:lang w:eastAsia="en-GB"/>
        </w:rPr>
        <w:t>5</w:t>
      </w:r>
      <w:r w:rsidR="0065529B" w:rsidRPr="00E639A0">
        <w:rPr>
          <w:rFonts w:cs="Arial"/>
          <w:bCs/>
          <w:color w:val="000000"/>
          <w:lang w:eastAsia="en-GB"/>
        </w:rPr>
        <w:t>,</w:t>
      </w:r>
      <w:r w:rsidR="003C63EF" w:rsidRPr="00E639A0">
        <w:rPr>
          <w:rFonts w:cs="Arial"/>
          <w:bCs/>
          <w:color w:val="000000"/>
          <w:lang w:eastAsia="en-GB"/>
        </w:rPr>
        <w:t>172</w:t>
      </w:r>
      <w:r w:rsidR="00B26123" w:rsidRPr="00E639A0">
        <w:rPr>
          <w:rFonts w:cs="Arial"/>
          <w:bCs/>
          <w:color w:val="000000"/>
          <w:lang w:eastAsia="en-GB"/>
        </w:rPr>
        <w:t xml:space="preserve"> and </w:t>
      </w:r>
      <w:r w:rsidR="003C63EF" w:rsidRPr="00E639A0">
        <w:rPr>
          <w:rFonts w:cs="Arial"/>
          <w:bCs/>
          <w:color w:val="000000"/>
          <w:lang w:eastAsia="en-GB"/>
        </w:rPr>
        <w:t>1,</w:t>
      </w:r>
      <w:r w:rsidR="00B00AE8" w:rsidRPr="00E639A0">
        <w:rPr>
          <w:rFonts w:cs="Arial"/>
          <w:bCs/>
          <w:color w:val="000000"/>
          <w:lang w:eastAsia="en-GB"/>
        </w:rPr>
        <w:t>4</w:t>
      </w:r>
      <w:r w:rsidR="003C63EF" w:rsidRPr="00E639A0">
        <w:rPr>
          <w:rFonts w:cs="Arial"/>
          <w:bCs/>
          <w:color w:val="000000"/>
          <w:lang w:eastAsia="en-GB"/>
        </w:rPr>
        <w:t>3</w:t>
      </w:r>
      <w:r w:rsidR="005E1BB2" w:rsidRPr="00E639A0">
        <w:rPr>
          <w:rFonts w:cs="Arial"/>
          <w:bCs/>
          <w:color w:val="000000"/>
          <w:lang w:eastAsia="en-GB"/>
        </w:rPr>
        <w:t>5</w:t>
      </w:r>
      <w:r w:rsidR="00B26123" w:rsidRPr="00E639A0">
        <w:rPr>
          <w:rFonts w:cs="Arial"/>
          <w:bCs/>
          <w:color w:val="000000"/>
          <w:lang w:eastAsia="en-GB"/>
        </w:rPr>
        <w:t xml:space="preserve"> </w:t>
      </w:r>
      <w:r w:rsidR="009E0664" w:rsidRPr="00E639A0">
        <w:rPr>
          <w:rFonts w:cs="Arial"/>
          <w:bCs/>
          <w:color w:val="000000"/>
          <w:lang w:eastAsia="en-GB"/>
        </w:rPr>
        <w:t xml:space="preserve">Employment Tribunal </w:t>
      </w:r>
      <w:r w:rsidR="00B26123" w:rsidRPr="00E639A0">
        <w:rPr>
          <w:rFonts w:cs="Arial"/>
          <w:bCs/>
          <w:color w:val="000000"/>
          <w:lang w:eastAsia="en-GB"/>
        </w:rPr>
        <w:t>c</w:t>
      </w:r>
      <w:r w:rsidR="009E0664" w:rsidRPr="00E639A0">
        <w:rPr>
          <w:rFonts w:cs="Arial"/>
          <w:bCs/>
          <w:color w:val="000000"/>
          <w:lang w:eastAsia="en-GB"/>
        </w:rPr>
        <w:t xml:space="preserve">omplaints </w:t>
      </w:r>
      <w:r w:rsidR="00B26123" w:rsidRPr="00E639A0">
        <w:rPr>
          <w:rFonts w:cs="Arial"/>
          <w:bCs/>
          <w:color w:val="000000"/>
          <w:lang w:eastAsia="en-GB"/>
        </w:rPr>
        <w:t>r</w:t>
      </w:r>
      <w:r w:rsidR="009E0664" w:rsidRPr="00E639A0">
        <w:rPr>
          <w:rFonts w:cs="Arial"/>
          <w:bCs/>
          <w:color w:val="000000"/>
          <w:lang w:eastAsia="en-GB"/>
        </w:rPr>
        <w:t>eceived</w:t>
      </w:r>
      <w:r w:rsidR="00B26123" w:rsidRPr="00E639A0">
        <w:rPr>
          <w:rFonts w:cs="Arial"/>
          <w:bCs/>
          <w:color w:val="000000"/>
          <w:lang w:eastAsia="en-GB"/>
        </w:rPr>
        <w:t xml:space="preserve"> under the </w:t>
      </w:r>
      <w:r w:rsidR="00B00AE8" w:rsidRPr="00E639A0">
        <w:rPr>
          <w:rFonts w:cs="Arial"/>
          <w:bCs/>
          <w:color w:val="000000"/>
          <w:lang w:eastAsia="en-GB"/>
        </w:rPr>
        <w:t>‘</w:t>
      </w:r>
      <w:r w:rsidR="00B26123" w:rsidRPr="00E639A0">
        <w:rPr>
          <w:rFonts w:cs="Arial"/>
          <w:bCs/>
          <w:color w:val="000000"/>
          <w:lang w:eastAsia="en-GB"/>
        </w:rPr>
        <w:t>Sex Discrimination</w:t>
      </w:r>
      <w:r w:rsidR="00B00AE8" w:rsidRPr="00E639A0">
        <w:rPr>
          <w:rFonts w:cs="Arial"/>
          <w:bCs/>
          <w:color w:val="000000"/>
          <w:lang w:eastAsia="en-GB"/>
        </w:rPr>
        <w:t>’</w:t>
      </w:r>
      <w:r w:rsidR="00B26123" w:rsidRPr="00E639A0">
        <w:rPr>
          <w:rFonts w:cs="Arial"/>
          <w:bCs/>
          <w:color w:val="000000"/>
          <w:lang w:eastAsia="en-GB"/>
        </w:rPr>
        <w:t xml:space="preserve"> </w:t>
      </w:r>
      <w:r w:rsidR="00391E59" w:rsidRPr="00E639A0">
        <w:rPr>
          <w:rFonts w:cs="Arial"/>
          <w:bCs/>
          <w:color w:val="000000"/>
          <w:lang w:eastAsia="en-GB"/>
        </w:rPr>
        <w:t xml:space="preserve">and </w:t>
      </w:r>
      <w:r w:rsidR="00B00AE8" w:rsidRPr="00E639A0">
        <w:rPr>
          <w:rFonts w:cs="Arial"/>
          <w:bCs/>
          <w:color w:val="000000"/>
          <w:lang w:eastAsia="en-GB"/>
        </w:rPr>
        <w:t>‘</w:t>
      </w:r>
      <w:r w:rsidR="009C6CCE" w:rsidRPr="00E639A0">
        <w:rPr>
          <w:rFonts w:cs="Arial"/>
          <w:bCs/>
          <w:color w:val="000000"/>
          <w:lang w:eastAsia="en-GB"/>
        </w:rPr>
        <w:t>S</w:t>
      </w:r>
      <w:r w:rsidR="006435F0" w:rsidRPr="00E639A0">
        <w:rPr>
          <w:rFonts w:cs="Arial"/>
          <w:bCs/>
          <w:color w:val="000000"/>
          <w:lang w:eastAsia="en-GB"/>
        </w:rPr>
        <w:t>uffer a detriment and/or dismissal on grounds of pregnancy, child birth or maternity</w:t>
      </w:r>
      <w:r w:rsidR="00B00AE8" w:rsidRPr="00E639A0">
        <w:rPr>
          <w:rFonts w:cs="Arial"/>
          <w:bCs/>
          <w:color w:val="000000"/>
          <w:lang w:eastAsia="en-GB"/>
        </w:rPr>
        <w:t>’</w:t>
      </w:r>
      <w:r w:rsidR="00391E59" w:rsidRPr="00E639A0">
        <w:rPr>
          <w:rFonts w:cs="Arial"/>
          <w:bCs/>
          <w:color w:val="000000"/>
          <w:lang w:eastAsia="en-GB"/>
        </w:rPr>
        <w:t xml:space="preserve"> </w:t>
      </w:r>
      <w:r w:rsidR="00B26123" w:rsidRPr="00E639A0">
        <w:rPr>
          <w:rFonts w:cs="Arial"/>
          <w:bCs/>
          <w:color w:val="000000"/>
          <w:lang w:eastAsia="en-GB"/>
        </w:rPr>
        <w:t>jurisdiction</w:t>
      </w:r>
      <w:r w:rsidR="006435F0" w:rsidRPr="00E639A0">
        <w:rPr>
          <w:rFonts w:cs="Arial"/>
          <w:bCs/>
          <w:color w:val="000000"/>
          <w:lang w:eastAsia="en-GB"/>
        </w:rPr>
        <w:t>s</w:t>
      </w:r>
      <w:r w:rsidR="00FA0850" w:rsidRPr="00E639A0">
        <w:rPr>
          <w:rFonts w:cs="Arial"/>
          <w:bCs/>
          <w:color w:val="000000"/>
          <w:lang w:eastAsia="en-GB"/>
        </w:rPr>
        <w:t>,</w:t>
      </w:r>
      <w:r w:rsidR="006435F0" w:rsidRPr="00E639A0">
        <w:rPr>
          <w:rFonts w:cs="Arial"/>
          <w:bCs/>
          <w:color w:val="000000"/>
          <w:lang w:eastAsia="en-GB"/>
        </w:rPr>
        <w:t xml:space="preserve"> respectively</w:t>
      </w:r>
      <w:r w:rsidR="008C5B28" w:rsidRPr="00E639A0">
        <w:rPr>
          <w:rFonts w:cs="Arial"/>
          <w:bCs/>
          <w:color w:val="000000"/>
          <w:lang w:eastAsia="en-GB"/>
        </w:rPr>
        <w:t>, in 2020/21</w:t>
      </w:r>
      <w:r w:rsidR="002C1BFD" w:rsidRPr="00E639A0">
        <w:rPr>
          <w:rFonts w:cs="Arial"/>
          <w:bCs/>
          <w:color w:val="000000"/>
          <w:lang w:eastAsia="en-GB"/>
        </w:rPr>
        <w:t>. This</w:t>
      </w:r>
      <w:r w:rsidR="00B01550" w:rsidRPr="00E639A0">
        <w:rPr>
          <w:rFonts w:cs="Arial"/>
          <w:bCs/>
          <w:color w:val="000000"/>
          <w:lang w:eastAsia="en-GB"/>
        </w:rPr>
        <w:t xml:space="preserve"> compares to </w:t>
      </w:r>
      <w:r w:rsidR="00D323BE" w:rsidRPr="00E639A0">
        <w:rPr>
          <w:rFonts w:cs="Arial"/>
          <w:bCs/>
          <w:color w:val="000000"/>
          <w:lang w:eastAsia="en-GB"/>
        </w:rPr>
        <w:t>6</w:t>
      </w:r>
      <w:r w:rsidR="00BC6F6B" w:rsidRPr="00E639A0">
        <w:rPr>
          <w:rFonts w:cs="Arial"/>
          <w:bCs/>
          <w:color w:val="000000"/>
          <w:lang w:eastAsia="en-GB"/>
        </w:rPr>
        <w:t>,</w:t>
      </w:r>
      <w:r w:rsidR="00C55590" w:rsidRPr="00E639A0">
        <w:rPr>
          <w:rFonts w:cs="Arial"/>
          <w:bCs/>
          <w:color w:val="000000"/>
          <w:lang w:eastAsia="en-GB"/>
        </w:rPr>
        <w:t>260</w:t>
      </w:r>
      <w:r w:rsidR="00BC6F6B" w:rsidRPr="00E639A0">
        <w:rPr>
          <w:rFonts w:cs="Arial"/>
          <w:bCs/>
          <w:color w:val="000000"/>
          <w:lang w:eastAsia="en-GB"/>
        </w:rPr>
        <w:t xml:space="preserve"> and </w:t>
      </w:r>
      <w:r w:rsidR="00C55590" w:rsidRPr="00E639A0">
        <w:rPr>
          <w:rFonts w:cs="Arial"/>
          <w:bCs/>
          <w:color w:val="000000"/>
          <w:lang w:eastAsia="en-GB"/>
        </w:rPr>
        <w:t>1,636</w:t>
      </w:r>
      <w:r w:rsidR="002631A1" w:rsidRPr="00E639A0">
        <w:rPr>
          <w:rFonts w:cs="Arial"/>
          <w:bCs/>
          <w:color w:val="000000"/>
          <w:lang w:eastAsia="en-GB"/>
        </w:rPr>
        <w:t xml:space="preserve"> in 2019</w:t>
      </w:r>
      <w:r w:rsidR="00C55590" w:rsidRPr="00E639A0">
        <w:rPr>
          <w:rFonts w:cs="Arial"/>
          <w:bCs/>
          <w:color w:val="000000"/>
          <w:lang w:eastAsia="en-GB"/>
        </w:rPr>
        <w:t>/20</w:t>
      </w:r>
      <w:r w:rsidR="002631A1" w:rsidRPr="00E639A0">
        <w:rPr>
          <w:rFonts w:cs="Arial"/>
          <w:bCs/>
          <w:color w:val="000000"/>
          <w:lang w:eastAsia="en-GB"/>
        </w:rPr>
        <w:t xml:space="preserve"> (pre-covid period)</w:t>
      </w:r>
      <w:r w:rsidR="00FA0850" w:rsidRPr="00E639A0">
        <w:rPr>
          <w:rFonts w:cs="Arial"/>
          <w:bCs/>
          <w:color w:val="000000"/>
          <w:lang w:eastAsia="en-GB"/>
        </w:rPr>
        <w:t xml:space="preserve"> and</w:t>
      </w:r>
      <w:r w:rsidR="00C553B5" w:rsidRPr="00E639A0">
        <w:rPr>
          <w:rFonts w:cs="Arial"/>
          <w:bCs/>
          <w:color w:val="000000"/>
          <w:lang w:eastAsia="en-GB"/>
        </w:rPr>
        <w:t xml:space="preserve"> </w:t>
      </w:r>
      <w:r w:rsidR="00314A1D" w:rsidRPr="00E639A0">
        <w:rPr>
          <w:rFonts w:cs="Arial"/>
          <w:bCs/>
          <w:color w:val="000000"/>
          <w:lang w:eastAsia="en-GB"/>
        </w:rPr>
        <w:t>5</w:t>
      </w:r>
      <w:r w:rsidR="00C553B5" w:rsidRPr="00E639A0">
        <w:rPr>
          <w:rFonts w:cs="Arial"/>
          <w:bCs/>
          <w:color w:val="000000"/>
          <w:lang w:eastAsia="en-GB"/>
        </w:rPr>
        <w:t>,</w:t>
      </w:r>
      <w:r w:rsidR="00314A1D" w:rsidRPr="00E639A0">
        <w:rPr>
          <w:rFonts w:cs="Arial"/>
          <w:bCs/>
          <w:color w:val="000000"/>
          <w:lang w:eastAsia="en-GB"/>
        </w:rPr>
        <w:t>522</w:t>
      </w:r>
      <w:r w:rsidR="00C553B5" w:rsidRPr="00E639A0">
        <w:rPr>
          <w:rFonts w:cs="Arial"/>
          <w:bCs/>
          <w:color w:val="000000"/>
          <w:lang w:eastAsia="en-GB"/>
        </w:rPr>
        <w:t xml:space="preserve"> and </w:t>
      </w:r>
      <w:r w:rsidR="00314A1D" w:rsidRPr="00E639A0">
        <w:rPr>
          <w:rFonts w:cs="Arial"/>
          <w:bCs/>
          <w:color w:val="000000"/>
          <w:lang w:eastAsia="en-GB"/>
        </w:rPr>
        <w:t>1,</w:t>
      </w:r>
      <w:r w:rsidR="00C553B5" w:rsidRPr="00E639A0">
        <w:rPr>
          <w:rFonts w:cs="Arial"/>
          <w:bCs/>
          <w:color w:val="000000"/>
          <w:lang w:eastAsia="en-GB"/>
        </w:rPr>
        <w:t>3</w:t>
      </w:r>
      <w:r w:rsidR="00314A1D" w:rsidRPr="00E639A0">
        <w:rPr>
          <w:rFonts w:cs="Arial"/>
          <w:bCs/>
          <w:color w:val="000000"/>
          <w:lang w:eastAsia="en-GB"/>
        </w:rPr>
        <w:t>57</w:t>
      </w:r>
      <w:r w:rsidR="00C553B5" w:rsidRPr="00E639A0">
        <w:rPr>
          <w:rFonts w:cs="Arial"/>
          <w:bCs/>
          <w:color w:val="000000"/>
          <w:lang w:eastAsia="en-GB"/>
        </w:rPr>
        <w:t xml:space="preserve"> in </w:t>
      </w:r>
      <w:r w:rsidR="00E51532" w:rsidRPr="00E639A0">
        <w:rPr>
          <w:rFonts w:cs="Arial"/>
          <w:bCs/>
          <w:color w:val="000000"/>
          <w:lang w:eastAsia="en-GB"/>
        </w:rPr>
        <w:t>2017</w:t>
      </w:r>
      <w:r w:rsidR="00314A1D" w:rsidRPr="00E639A0">
        <w:rPr>
          <w:rFonts w:cs="Arial"/>
          <w:bCs/>
          <w:color w:val="000000"/>
          <w:lang w:eastAsia="en-GB"/>
        </w:rPr>
        <w:t>/18</w:t>
      </w:r>
      <w:r w:rsidR="00E51532" w:rsidRPr="00E639A0">
        <w:rPr>
          <w:rFonts w:cs="Arial"/>
          <w:bCs/>
          <w:color w:val="000000"/>
          <w:lang w:eastAsia="en-GB"/>
        </w:rPr>
        <w:t xml:space="preserve"> (pre non-regulatory action</w:t>
      </w:r>
      <w:r w:rsidR="00FA0850" w:rsidRPr="00E639A0">
        <w:rPr>
          <w:rFonts w:cs="Arial"/>
          <w:bCs/>
          <w:color w:val="000000"/>
          <w:lang w:eastAsia="en-GB"/>
        </w:rPr>
        <w:t xml:space="preserve"> period</w:t>
      </w:r>
      <w:r w:rsidR="00E51532" w:rsidRPr="00E639A0">
        <w:rPr>
          <w:rFonts w:cs="Arial"/>
          <w:bCs/>
          <w:color w:val="000000"/>
          <w:lang w:eastAsia="en-GB"/>
        </w:rPr>
        <w:t>)</w:t>
      </w:r>
      <w:r w:rsidR="00FA0850" w:rsidRPr="00E639A0">
        <w:rPr>
          <w:rFonts w:cs="Arial"/>
          <w:bCs/>
          <w:color w:val="000000"/>
          <w:lang w:eastAsia="en-GB"/>
        </w:rPr>
        <w:t xml:space="preserve"> which suggests </w:t>
      </w:r>
      <w:r w:rsidR="00B56EAA" w:rsidRPr="00E639A0">
        <w:rPr>
          <w:rFonts w:cs="Arial"/>
          <w:bCs/>
          <w:color w:val="000000"/>
          <w:lang w:eastAsia="en-GB"/>
        </w:rPr>
        <w:t>regulatory change is required.</w:t>
      </w:r>
      <w:r w:rsidR="00314A1D" w:rsidRPr="00E639A0">
        <w:rPr>
          <w:rFonts w:cs="Arial"/>
        </w:rPr>
        <w:t xml:space="preserve"> </w:t>
      </w:r>
      <w:r w:rsidR="00314A1D" w:rsidRPr="00E639A0">
        <w:rPr>
          <w:rFonts w:cs="Arial"/>
          <w:bCs/>
          <w:color w:val="000000"/>
          <w:lang w:eastAsia="en-GB"/>
        </w:rPr>
        <w:t xml:space="preserve">Note that this jurisdiction captures complainants who reported they suffered a detriment on grounds of pregnancy, child birth or maternity </w:t>
      </w:r>
      <w:r w:rsidR="008E43A6" w:rsidRPr="00E639A0">
        <w:rPr>
          <w:rFonts w:cs="Arial"/>
          <w:bCs/>
          <w:color w:val="000000"/>
          <w:lang w:eastAsia="en-GB"/>
        </w:rPr>
        <w:t>which</w:t>
      </w:r>
      <w:r w:rsidR="00314A1D" w:rsidRPr="00E639A0">
        <w:rPr>
          <w:rFonts w:cs="Arial"/>
          <w:bCs/>
          <w:color w:val="000000"/>
          <w:lang w:eastAsia="en-GB"/>
        </w:rPr>
        <w:t xml:space="preserve"> did not necessarily involve a dismissal</w:t>
      </w:r>
      <w:r w:rsidR="00954397" w:rsidRPr="00E639A0">
        <w:rPr>
          <w:rFonts w:cs="Arial"/>
          <w:bCs/>
          <w:color w:val="000000"/>
          <w:lang w:eastAsia="en-GB"/>
        </w:rPr>
        <w:t>.</w:t>
      </w:r>
      <w:r w:rsidR="00E51532" w:rsidRPr="00E639A0">
        <w:rPr>
          <w:rFonts w:cs="Arial"/>
          <w:bCs/>
          <w:color w:val="000000"/>
          <w:lang w:eastAsia="en-GB"/>
        </w:rPr>
        <w:t xml:space="preserve"> </w:t>
      </w:r>
      <w:r w:rsidR="00C85260" w:rsidRPr="00E639A0">
        <w:rPr>
          <w:rFonts w:cs="Arial"/>
          <w:bCs/>
          <w:color w:val="000000"/>
          <w:lang w:eastAsia="en-GB"/>
        </w:rPr>
        <w:t xml:space="preserve"> </w:t>
      </w:r>
    </w:p>
    <w:p w14:paraId="79A8F345" w14:textId="77777777" w:rsidR="00C93A5E" w:rsidRPr="00E639A0" w:rsidRDefault="00C93A5E" w:rsidP="00C93A5E">
      <w:pPr>
        <w:pStyle w:val="ListParagraph"/>
        <w:rPr>
          <w:rFonts w:cs="Arial"/>
          <w:bCs/>
          <w:color w:val="000000"/>
          <w:lang w:eastAsia="en-GB"/>
        </w:rPr>
      </w:pPr>
    </w:p>
    <w:p w14:paraId="2572610E" w14:textId="57430A1C" w:rsidR="00083A37" w:rsidRPr="00E639A0" w:rsidRDefault="002E1DFA" w:rsidP="006135AD">
      <w:pPr>
        <w:pStyle w:val="ListParagraph"/>
        <w:numPr>
          <w:ilvl w:val="0"/>
          <w:numId w:val="7"/>
        </w:numPr>
        <w:rPr>
          <w:rFonts w:cs="Arial"/>
          <w:bCs/>
          <w:color w:val="000000"/>
          <w:lang w:eastAsia="en-GB"/>
        </w:rPr>
      </w:pPr>
      <w:r w:rsidRPr="00E639A0">
        <w:rPr>
          <w:rFonts w:cs="Arial"/>
        </w:rPr>
        <w:t xml:space="preserve">Pregnant women and new parents </w:t>
      </w:r>
      <w:r w:rsidR="00AE3E39" w:rsidRPr="00E639A0">
        <w:rPr>
          <w:rFonts w:cs="Arial"/>
        </w:rPr>
        <w:t xml:space="preserve">who are </w:t>
      </w:r>
      <w:r w:rsidRPr="00E639A0">
        <w:rPr>
          <w:rFonts w:cs="Arial"/>
        </w:rPr>
        <w:t xml:space="preserve">estimated to be affected by redundancy discrimination in the workplace are spread across businesses of all sizes. </w:t>
      </w:r>
      <w:r w:rsidR="009936F1" w:rsidRPr="00E639A0">
        <w:rPr>
          <w:rFonts w:cs="Arial"/>
        </w:rPr>
        <w:t>In the consultation stage Impact Assessment</w:t>
      </w:r>
      <w:r w:rsidR="00D969D4" w:rsidRPr="00E639A0">
        <w:rPr>
          <w:rFonts w:cs="Arial"/>
        </w:rPr>
        <w:t>,</w:t>
      </w:r>
      <w:r w:rsidR="009936F1" w:rsidRPr="00E639A0">
        <w:rPr>
          <w:rFonts w:cs="Arial"/>
        </w:rPr>
        <w:t xml:space="preserve"> we </w:t>
      </w:r>
      <w:r w:rsidRPr="00E639A0">
        <w:rPr>
          <w:rFonts w:cs="Arial"/>
        </w:rPr>
        <w:t>estimate</w:t>
      </w:r>
      <w:r w:rsidR="009936F1" w:rsidRPr="00E639A0">
        <w:rPr>
          <w:rFonts w:cs="Arial"/>
        </w:rPr>
        <w:t>d</w:t>
      </w:r>
      <w:r w:rsidRPr="00E639A0">
        <w:rPr>
          <w:rFonts w:cs="Arial"/>
        </w:rPr>
        <w:t xml:space="preserve"> that 42.5% of employees work in SMEs</w:t>
      </w:r>
      <w:r w:rsidRPr="00E639A0">
        <w:rPr>
          <w:rStyle w:val="FootnoteReference"/>
          <w:rFonts w:cs="Arial"/>
          <w:sz w:val="24"/>
        </w:rPr>
        <w:footnoteReference w:id="13"/>
      </w:r>
      <w:r w:rsidRPr="00E639A0">
        <w:rPr>
          <w:rFonts w:cs="Arial"/>
        </w:rPr>
        <w:t xml:space="preserve"> using Business Population Estimates, in </w:t>
      </w:r>
      <w:r w:rsidR="009936F1" w:rsidRPr="00E639A0">
        <w:rPr>
          <w:rFonts w:cs="Arial"/>
        </w:rPr>
        <w:t xml:space="preserve">the </w:t>
      </w:r>
      <w:r w:rsidRPr="00E639A0">
        <w:rPr>
          <w:rFonts w:cs="Arial"/>
        </w:rPr>
        <w:t xml:space="preserve">absence of data sources specific to those in scope of the policy. The percentage of employees in small and micro businesses (businesses with up to 50 employees) </w:t>
      </w:r>
      <w:r w:rsidR="00C1707A" w:rsidRPr="00E639A0">
        <w:rPr>
          <w:rFonts w:cs="Arial"/>
        </w:rPr>
        <w:t>wa</w:t>
      </w:r>
      <w:r w:rsidRPr="00E639A0">
        <w:rPr>
          <w:rFonts w:cs="Arial"/>
        </w:rPr>
        <w:t>s estimated to be 28.5%</w:t>
      </w:r>
      <w:r w:rsidR="00C1707A" w:rsidRPr="00E639A0">
        <w:rPr>
          <w:rFonts w:cs="Arial"/>
        </w:rPr>
        <w:t xml:space="preserve">, </w:t>
      </w:r>
      <w:r w:rsidRPr="00E639A0">
        <w:rPr>
          <w:rFonts w:cs="Arial"/>
        </w:rPr>
        <w:t xml:space="preserve">14.1% of employees </w:t>
      </w:r>
      <w:r w:rsidR="00C1707A" w:rsidRPr="00E639A0">
        <w:rPr>
          <w:rFonts w:cs="Arial"/>
        </w:rPr>
        <w:t>we</w:t>
      </w:r>
      <w:r w:rsidRPr="00E639A0">
        <w:rPr>
          <w:rFonts w:cs="Arial"/>
        </w:rPr>
        <w:t xml:space="preserve">re estimated to work in medium businesses (with 50-249 employees), and 57.5% of employees </w:t>
      </w:r>
      <w:r w:rsidR="00C1707A" w:rsidRPr="00E639A0">
        <w:rPr>
          <w:rFonts w:cs="Arial"/>
        </w:rPr>
        <w:t>we</w:t>
      </w:r>
      <w:r w:rsidRPr="00E639A0">
        <w:rPr>
          <w:rFonts w:cs="Arial"/>
        </w:rPr>
        <w:t xml:space="preserve">re estimated to work in large businesses. </w:t>
      </w:r>
      <w:r w:rsidR="00C1707A" w:rsidRPr="00E639A0">
        <w:rPr>
          <w:rFonts w:cs="Arial"/>
        </w:rPr>
        <w:t>We now have data from</w:t>
      </w:r>
      <w:r w:rsidR="000A3FC4" w:rsidRPr="00E639A0">
        <w:rPr>
          <w:rFonts w:cs="Arial"/>
        </w:rPr>
        <w:t xml:space="preserve"> the Parental Rights Survey, which is specific to parents</w:t>
      </w:r>
      <w:r w:rsidR="00A601D1" w:rsidRPr="00E639A0">
        <w:rPr>
          <w:rFonts w:cs="Arial"/>
        </w:rPr>
        <w:t>,</w:t>
      </w:r>
      <w:r w:rsidR="000A3FC4" w:rsidRPr="00E639A0">
        <w:rPr>
          <w:rFonts w:cs="Arial"/>
        </w:rPr>
        <w:t xml:space="preserve"> which estimates that </w:t>
      </w:r>
      <w:r w:rsidR="005A5EE4" w:rsidRPr="00E639A0">
        <w:rPr>
          <w:rFonts w:cs="Arial"/>
        </w:rPr>
        <w:t xml:space="preserve">39% of mothers work in small businesses (fewer than 50 staff), </w:t>
      </w:r>
      <w:r w:rsidR="00D049F8" w:rsidRPr="00E639A0">
        <w:rPr>
          <w:rFonts w:cs="Arial"/>
        </w:rPr>
        <w:t>18% work in medium size businesses (50-249 employees) and 37%</w:t>
      </w:r>
      <w:r w:rsidR="00A40A77" w:rsidRPr="00E639A0">
        <w:rPr>
          <w:rFonts w:cs="Arial"/>
        </w:rPr>
        <w:t xml:space="preserve"> work in large employers (250+ employees).</w:t>
      </w:r>
      <w:r w:rsidR="00C1707A" w:rsidRPr="00E639A0">
        <w:rPr>
          <w:rFonts w:cs="Arial"/>
        </w:rPr>
        <w:t xml:space="preserve"> </w:t>
      </w:r>
      <w:r w:rsidR="00A40A77" w:rsidRPr="00E639A0">
        <w:rPr>
          <w:rFonts w:cs="Arial"/>
        </w:rPr>
        <w:t xml:space="preserve">Given this data indicates </w:t>
      </w:r>
      <w:r w:rsidRPr="00E639A0">
        <w:rPr>
          <w:rFonts w:cs="Arial"/>
        </w:rPr>
        <w:t xml:space="preserve">a significant proportion of </w:t>
      </w:r>
      <w:r w:rsidR="00067B53" w:rsidRPr="00E639A0">
        <w:rPr>
          <w:rFonts w:cs="Arial"/>
        </w:rPr>
        <w:t xml:space="preserve">target population </w:t>
      </w:r>
      <w:r w:rsidRPr="00E639A0">
        <w:rPr>
          <w:rFonts w:cs="Arial"/>
        </w:rPr>
        <w:t>work in both small and medium businesses, the policy response must apply to firms of all sizes or it will be inadequate in addressing unlawful behaviour and discrimination across the labour market</w:t>
      </w:r>
      <w:r w:rsidR="00C93A5E" w:rsidRPr="00E639A0">
        <w:rPr>
          <w:rFonts w:cs="Arial"/>
        </w:rPr>
        <w:t>.</w:t>
      </w:r>
    </w:p>
    <w:p w14:paraId="1A1E4900" w14:textId="77777777" w:rsidR="00876454" w:rsidRPr="00E639A0" w:rsidRDefault="00876454" w:rsidP="00876454">
      <w:pPr>
        <w:pStyle w:val="ListParagraph"/>
        <w:rPr>
          <w:rFonts w:cs="Arial"/>
          <w:bCs/>
          <w:color w:val="000000"/>
          <w:lang w:eastAsia="en-GB"/>
        </w:rPr>
      </w:pPr>
    </w:p>
    <w:p w14:paraId="66415AD6" w14:textId="0F92879D" w:rsidR="00083A37" w:rsidRPr="00E639A0" w:rsidRDefault="002E1DFA" w:rsidP="006135AD">
      <w:pPr>
        <w:pStyle w:val="ListParagraph"/>
        <w:numPr>
          <w:ilvl w:val="0"/>
          <w:numId w:val="7"/>
        </w:numPr>
        <w:rPr>
          <w:rFonts w:cs="Arial"/>
          <w:bCs/>
          <w:color w:val="000000"/>
          <w:lang w:eastAsia="en-GB"/>
        </w:rPr>
      </w:pPr>
      <w:r w:rsidRPr="00E639A0">
        <w:rPr>
          <w:rFonts w:cs="Arial"/>
        </w:rPr>
        <w:t>The Government has attempted non-statutory approaches</w:t>
      </w:r>
      <w:r w:rsidR="00770CF1" w:rsidRPr="00E639A0">
        <w:rPr>
          <w:rFonts w:cs="Arial"/>
        </w:rPr>
        <w:t xml:space="preserve"> to partly address this problem</w:t>
      </w:r>
      <w:r w:rsidRPr="00E639A0">
        <w:rPr>
          <w:rFonts w:cs="Arial"/>
        </w:rPr>
        <w:t xml:space="preserve">. The Government has tried to increase awareness of individual rights and business obligations through guidance and signposting of information. Although these approaches have </w:t>
      </w:r>
      <w:r w:rsidR="005B40A5" w:rsidRPr="00E639A0">
        <w:rPr>
          <w:rFonts w:cs="Arial"/>
        </w:rPr>
        <w:t>seen</w:t>
      </w:r>
      <w:r w:rsidRPr="00E639A0">
        <w:rPr>
          <w:rFonts w:cs="Arial"/>
        </w:rPr>
        <w:t xml:space="preserve"> positive</w:t>
      </w:r>
      <w:r w:rsidR="005B40A5" w:rsidRPr="00E639A0">
        <w:rPr>
          <w:rFonts w:cs="Arial"/>
        </w:rPr>
        <w:t xml:space="preserve"> results</w:t>
      </w:r>
      <w:r w:rsidRPr="00E639A0">
        <w:rPr>
          <w:rFonts w:cs="Arial"/>
        </w:rPr>
        <w:t>, the Government has decided that further legislation is required to address pregnancy and maternity discrimination</w:t>
      </w:r>
      <w:r w:rsidR="00C43F0A" w:rsidRPr="00E639A0">
        <w:rPr>
          <w:rFonts w:cs="Arial"/>
        </w:rPr>
        <w:t xml:space="preserve"> based on the body of evidence and WESC recommendations</w:t>
      </w:r>
      <w:r w:rsidRPr="00E639A0">
        <w:rPr>
          <w:rFonts w:cs="Arial"/>
        </w:rPr>
        <w:t>.</w:t>
      </w:r>
    </w:p>
    <w:p w14:paraId="57E6A2F5" w14:textId="77777777" w:rsidR="00083A37" w:rsidRPr="00E639A0" w:rsidRDefault="00083A37" w:rsidP="00083A37">
      <w:pPr>
        <w:pStyle w:val="ListParagraph"/>
        <w:rPr>
          <w:rFonts w:cs="Arial"/>
          <w:bCs/>
          <w:color w:val="000000"/>
          <w:lang w:eastAsia="en-GB"/>
        </w:rPr>
      </w:pPr>
    </w:p>
    <w:p w14:paraId="3BC039A6" w14:textId="07765EE5" w:rsidR="00396EBC" w:rsidRPr="00E639A0" w:rsidRDefault="006F7AEC" w:rsidP="006135AD">
      <w:pPr>
        <w:pStyle w:val="ListParagraph"/>
        <w:numPr>
          <w:ilvl w:val="0"/>
          <w:numId w:val="7"/>
        </w:numPr>
        <w:rPr>
          <w:rFonts w:cs="Arial"/>
          <w:color w:val="000000"/>
          <w:lang w:eastAsia="en-GB"/>
        </w:rPr>
      </w:pPr>
      <w:r w:rsidRPr="00E639A0">
        <w:rPr>
          <w:rFonts w:cs="Arial"/>
        </w:rPr>
        <w:t>By strengthening the legislative framework around redundancies during pregnancy and for returning parents, these groups</w:t>
      </w:r>
      <w:r w:rsidR="000C2456" w:rsidRPr="00E639A0">
        <w:rPr>
          <w:rFonts w:cs="Arial"/>
        </w:rPr>
        <w:t xml:space="preserve"> will face less dis</w:t>
      </w:r>
      <w:r w:rsidR="00405541" w:rsidRPr="00E639A0">
        <w:rPr>
          <w:rFonts w:cs="Arial"/>
        </w:rPr>
        <w:t>c</w:t>
      </w:r>
      <w:r w:rsidR="000C2456" w:rsidRPr="00E639A0">
        <w:rPr>
          <w:rFonts w:cs="Arial"/>
        </w:rPr>
        <w:t>rimination</w:t>
      </w:r>
      <w:r w:rsidR="003F3081" w:rsidRPr="00E639A0">
        <w:rPr>
          <w:rFonts w:cs="Arial"/>
        </w:rPr>
        <w:t>, both directly and indirectly</w:t>
      </w:r>
      <w:r w:rsidR="00016380" w:rsidRPr="00E639A0">
        <w:rPr>
          <w:rFonts w:cs="Arial"/>
        </w:rPr>
        <w:t xml:space="preserve"> </w:t>
      </w:r>
      <w:r w:rsidR="00FF6657" w:rsidRPr="00E639A0">
        <w:rPr>
          <w:rFonts w:cs="Arial"/>
        </w:rPr>
        <w:t xml:space="preserve">e.g. </w:t>
      </w:r>
      <w:r w:rsidR="00016380" w:rsidRPr="00E639A0">
        <w:rPr>
          <w:rFonts w:cs="Arial"/>
        </w:rPr>
        <w:t xml:space="preserve">given existing </w:t>
      </w:r>
      <w:r w:rsidR="00804063" w:rsidRPr="00E639A0">
        <w:rPr>
          <w:rFonts w:cs="Arial"/>
        </w:rPr>
        <w:t>protections</w:t>
      </w:r>
      <w:r w:rsidR="009B3DB6" w:rsidRPr="00E639A0">
        <w:rPr>
          <w:rFonts w:cs="Arial"/>
        </w:rPr>
        <w:t xml:space="preserve"> around pregnanc</w:t>
      </w:r>
      <w:r w:rsidR="001D2813" w:rsidRPr="00E639A0">
        <w:rPr>
          <w:rFonts w:cs="Arial"/>
        </w:rPr>
        <w:t>y</w:t>
      </w:r>
      <w:r w:rsidR="00FF6657" w:rsidRPr="00E639A0">
        <w:rPr>
          <w:rFonts w:cs="Arial"/>
        </w:rPr>
        <w:t>,</w:t>
      </w:r>
      <w:r w:rsidR="00E92D38" w:rsidRPr="00E639A0">
        <w:rPr>
          <w:rFonts w:cs="Arial"/>
        </w:rPr>
        <w:t xml:space="preserve"> it is</w:t>
      </w:r>
      <w:r w:rsidR="00FF6657" w:rsidRPr="00E639A0">
        <w:rPr>
          <w:rFonts w:cs="Arial"/>
        </w:rPr>
        <w:t xml:space="preserve"> currently very rare for women to be dismissed solely because they are pregnant, as this is clearly unlawful. Employers may however make pregnant women redundant instead</w:t>
      </w:r>
      <w:r w:rsidR="000E7A9E" w:rsidRPr="00E639A0">
        <w:rPr>
          <w:rFonts w:cs="Arial"/>
        </w:rPr>
        <w:t>. This legislative change will reduce the number of these cases</w:t>
      </w:r>
      <w:r w:rsidR="00CE47B2" w:rsidRPr="00E639A0">
        <w:rPr>
          <w:rFonts w:cs="Arial"/>
        </w:rPr>
        <w:t>.</w:t>
      </w:r>
      <w:r w:rsidR="00993B82" w:rsidRPr="00E639A0">
        <w:rPr>
          <w:rFonts w:cs="Arial"/>
        </w:rPr>
        <w:t xml:space="preserve"> As the BIS/EHRC research</w:t>
      </w:r>
      <w:r w:rsidR="00A306CD" w:rsidRPr="00E639A0">
        <w:rPr>
          <w:rStyle w:val="FootnoteReference"/>
          <w:rFonts w:cs="Arial"/>
          <w:sz w:val="24"/>
        </w:rPr>
        <w:footnoteReference w:id="14"/>
      </w:r>
      <w:r w:rsidR="00993B82" w:rsidRPr="00E639A0">
        <w:rPr>
          <w:rFonts w:cs="Arial"/>
        </w:rPr>
        <w:t xml:space="preserve"> indicates </w:t>
      </w:r>
      <w:r w:rsidR="00DA0336" w:rsidRPr="00E639A0">
        <w:rPr>
          <w:rFonts w:cs="Arial"/>
        </w:rPr>
        <w:t>around 6% of m</w:t>
      </w:r>
      <w:r w:rsidR="003E2D96" w:rsidRPr="00E639A0">
        <w:rPr>
          <w:rFonts w:cs="Arial"/>
        </w:rPr>
        <w:t xml:space="preserve">others were made redundant at some point </w:t>
      </w:r>
      <w:r w:rsidR="00DD2F08" w:rsidRPr="00E639A0">
        <w:rPr>
          <w:rFonts w:cs="Arial"/>
        </w:rPr>
        <w:t>during pregnancy</w:t>
      </w:r>
      <w:r w:rsidR="005B0D35" w:rsidRPr="00E639A0">
        <w:rPr>
          <w:rFonts w:cs="Arial"/>
        </w:rPr>
        <w:t>, m</w:t>
      </w:r>
      <w:r w:rsidR="00653844" w:rsidRPr="00E639A0">
        <w:rPr>
          <w:rFonts w:cs="Arial"/>
        </w:rPr>
        <w:t>aternity leave or on return to work.</w:t>
      </w:r>
      <w:r w:rsidR="00B37A53" w:rsidRPr="00E639A0">
        <w:rPr>
          <w:rFonts w:cs="Arial"/>
        </w:rPr>
        <w:t xml:space="preserve"> </w:t>
      </w:r>
      <w:r w:rsidR="006F728A" w:rsidRPr="00E639A0">
        <w:rPr>
          <w:rFonts w:cs="Arial"/>
        </w:rPr>
        <w:t>Of those</w:t>
      </w:r>
      <w:r w:rsidR="003F2C5F" w:rsidRPr="00E639A0">
        <w:rPr>
          <w:rFonts w:cs="Arial"/>
        </w:rPr>
        <w:t>, 71% w</w:t>
      </w:r>
      <w:r w:rsidR="005D7432" w:rsidRPr="00E639A0">
        <w:rPr>
          <w:rFonts w:cs="Arial"/>
        </w:rPr>
        <w:t>ere</w:t>
      </w:r>
      <w:r w:rsidR="009F3CFA" w:rsidRPr="00E639A0">
        <w:rPr>
          <w:rFonts w:cs="Arial"/>
        </w:rPr>
        <w:t xml:space="preserve"> either</w:t>
      </w:r>
      <w:r w:rsidR="005D7432" w:rsidRPr="00E639A0">
        <w:rPr>
          <w:rFonts w:cs="Arial"/>
        </w:rPr>
        <w:t xml:space="preserve"> not offered an alternative position </w:t>
      </w:r>
      <w:r w:rsidR="00C74873" w:rsidRPr="00E639A0">
        <w:rPr>
          <w:rFonts w:cs="Arial"/>
        </w:rPr>
        <w:t>or a position was offered at a lower level. This suggests th</w:t>
      </w:r>
      <w:r w:rsidR="00131602" w:rsidRPr="00E639A0">
        <w:rPr>
          <w:rFonts w:cs="Arial"/>
        </w:rPr>
        <w:t xml:space="preserve">at </w:t>
      </w:r>
      <w:r w:rsidR="002042D6" w:rsidRPr="00E639A0">
        <w:rPr>
          <w:rFonts w:cs="Arial"/>
        </w:rPr>
        <w:t>targeting</w:t>
      </w:r>
      <w:r w:rsidR="00131602" w:rsidRPr="00E639A0">
        <w:rPr>
          <w:rFonts w:cs="Arial"/>
        </w:rPr>
        <w:t xml:space="preserve"> </w:t>
      </w:r>
      <w:r w:rsidR="00BB4FE3" w:rsidRPr="00E639A0">
        <w:rPr>
          <w:rFonts w:cs="Arial"/>
        </w:rPr>
        <w:t>redundancy</w:t>
      </w:r>
      <w:r w:rsidR="002042D6" w:rsidRPr="00E639A0">
        <w:rPr>
          <w:rFonts w:cs="Arial"/>
        </w:rPr>
        <w:t xml:space="preserve"> behaviour will </w:t>
      </w:r>
      <w:r w:rsidR="006764D9" w:rsidRPr="00E639A0">
        <w:rPr>
          <w:rFonts w:cs="Arial"/>
        </w:rPr>
        <w:t>directly</w:t>
      </w:r>
      <w:r w:rsidR="00BB7637" w:rsidRPr="00E639A0">
        <w:rPr>
          <w:rFonts w:cs="Arial"/>
        </w:rPr>
        <w:t xml:space="preserve">, albeit not fully, </w:t>
      </w:r>
      <w:r w:rsidR="002042D6" w:rsidRPr="00E639A0">
        <w:rPr>
          <w:rFonts w:cs="Arial"/>
        </w:rPr>
        <w:t>address</w:t>
      </w:r>
      <w:r w:rsidR="00270495" w:rsidRPr="00E639A0">
        <w:rPr>
          <w:rFonts w:cs="Arial"/>
        </w:rPr>
        <w:t xml:space="preserve"> </w:t>
      </w:r>
      <w:r w:rsidR="00BB7637" w:rsidRPr="00E639A0">
        <w:rPr>
          <w:rFonts w:cs="Arial"/>
        </w:rPr>
        <w:t xml:space="preserve">reported experiences of </w:t>
      </w:r>
      <w:r w:rsidR="00CC446D" w:rsidRPr="00E639A0">
        <w:rPr>
          <w:rFonts w:cs="Arial"/>
        </w:rPr>
        <w:t>discrimination</w:t>
      </w:r>
      <w:r w:rsidR="00BB7637" w:rsidRPr="00E639A0">
        <w:rPr>
          <w:rFonts w:cs="Arial"/>
        </w:rPr>
        <w:t xml:space="preserve"> in the workplace.</w:t>
      </w:r>
      <w:r w:rsidR="00CC446D" w:rsidRPr="00E639A0">
        <w:rPr>
          <w:rFonts w:cs="Arial"/>
        </w:rPr>
        <w:t xml:space="preserve"> </w:t>
      </w:r>
      <w:r w:rsidR="002042D6" w:rsidRPr="00E639A0">
        <w:rPr>
          <w:rFonts w:cs="Arial"/>
        </w:rPr>
        <w:t xml:space="preserve">  </w:t>
      </w:r>
      <w:r w:rsidR="00BB4FE3" w:rsidRPr="00E639A0">
        <w:rPr>
          <w:rFonts w:cs="Arial"/>
        </w:rPr>
        <w:t xml:space="preserve"> </w:t>
      </w:r>
      <w:r w:rsidR="006F728A" w:rsidRPr="00E639A0">
        <w:rPr>
          <w:rFonts w:cs="Arial"/>
        </w:rPr>
        <w:t xml:space="preserve"> </w:t>
      </w:r>
    </w:p>
    <w:p w14:paraId="58706614" w14:textId="77777777" w:rsidR="00396EBC" w:rsidRPr="00E639A0" w:rsidRDefault="00396EBC" w:rsidP="00002AE7">
      <w:pPr>
        <w:pStyle w:val="ListParagraph"/>
        <w:rPr>
          <w:rFonts w:cs="Arial"/>
        </w:rPr>
      </w:pPr>
    </w:p>
    <w:p w14:paraId="6FBFC370" w14:textId="10685EE4" w:rsidR="002E1DFA" w:rsidRPr="00E639A0" w:rsidRDefault="002E1DFA" w:rsidP="006135AD">
      <w:pPr>
        <w:pStyle w:val="ListParagraph"/>
        <w:numPr>
          <w:ilvl w:val="0"/>
          <w:numId w:val="7"/>
        </w:numPr>
        <w:rPr>
          <w:rFonts w:cs="Arial"/>
          <w:bCs/>
          <w:color w:val="000000"/>
          <w:lang w:eastAsia="en-GB"/>
        </w:rPr>
      </w:pPr>
      <w:r w:rsidRPr="00E639A0">
        <w:rPr>
          <w:rFonts w:cs="Arial"/>
        </w:rPr>
        <w:t>Tackling discrimination against pregnant women and returning mothers in the workplace addresses wider Government objectives of improving female career progression, and reducing the gender pay gap. Policy proposals to help women remain in the labour market may address large gender wage differentials in senior positions. IFS research</w:t>
      </w:r>
      <w:r w:rsidRPr="00E639A0">
        <w:rPr>
          <w:rStyle w:val="FootnoteReference"/>
          <w:rFonts w:cs="Arial"/>
          <w:sz w:val="24"/>
        </w:rPr>
        <w:footnoteReference w:id="15"/>
      </w:r>
      <w:r w:rsidRPr="00E639A0">
        <w:rPr>
          <w:rFonts w:cs="Arial"/>
        </w:rPr>
        <w:t xml:space="preserve"> found that the gender pay gap is relatively small on entry into the labour market, but widens when the first child arrives and by the time this child is 20 there is a 30% difference in average hourly wages between men and women. The IFS find that a key factor behind the differential is that mothers accumulate less work experience (and work experience is associated with wage growth) than fathers due to less time spent in work. Policies to help keep mothers in employment following the birth of their child may help to address divergences in the accumulation of work experience. </w:t>
      </w:r>
    </w:p>
    <w:p w14:paraId="2AB9988C" w14:textId="77777777" w:rsidR="002E1DFA" w:rsidRPr="00E639A0" w:rsidRDefault="002E1DFA" w:rsidP="008C0888">
      <w:pPr>
        <w:pStyle w:val="Heading2"/>
        <w:spacing w:before="240"/>
        <w:rPr>
          <w:b/>
          <w:sz w:val="24"/>
          <w:szCs w:val="24"/>
        </w:rPr>
      </w:pPr>
      <w:r w:rsidRPr="00E639A0">
        <w:rPr>
          <w:b/>
          <w:sz w:val="24"/>
          <w:szCs w:val="24"/>
        </w:rPr>
        <w:t>Policy Objective</w:t>
      </w:r>
    </w:p>
    <w:p w14:paraId="1177435C" w14:textId="37295A7C" w:rsidR="001B71AD" w:rsidRPr="00E639A0" w:rsidRDefault="7C2A8AA5" w:rsidP="7B8590A3">
      <w:pPr>
        <w:pStyle w:val="Default"/>
        <w:numPr>
          <w:ilvl w:val="0"/>
          <w:numId w:val="7"/>
        </w:numPr>
        <w:spacing w:after="120"/>
        <w:rPr>
          <w:rFonts w:eastAsia="Arial"/>
          <w:color w:val="000000" w:themeColor="text1"/>
        </w:rPr>
      </w:pPr>
      <w:r w:rsidRPr="00E639A0">
        <w:t>T</w:t>
      </w:r>
      <w:r w:rsidRPr="00E639A0">
        <w:rPr>
          <w:lang w:val="uz-Cyrl-UZ"/>
        </w:rPr>
        <w:t xml:space="preserve">he key objective of this policy is to </w:t>
      </w:r>
      <w:r w:rsidRPr="00E639A0">
        <w:t xml:space="preserve">improve the redundancy protection afforded to </w:t>
      </w:r>
      <w:r w:rsidRPr="00E639A0">
        <w:rPr>
          <w:lang w:val="uz-Cyrl-UZ"/>
        </w:rPr>
        <w:t xml:space="preserve">pregnant women and new </w:t>
      </w:r>
      <w:r w:rsidRPr="00E639A0">
        <w:t xml:space="preserve">parents by extending existing protections </w:t>
      </w:r>
      <w:r w:rsidR="44F6311F" w:rsidRPr="00E639A0">
        <w:t>available while on certain forms of family leave into pregnancy and for a period of return to work.</w:t>
      </w:r>
      <w:r w:rsidR="001F18BF" w:rsidRPr="00E639A0">
        <w:t xml:space="preserve">  By doing so, we expect that:</w:t>
      </w:r>
    </w:p>
    <w:p w14:paraId="2D1001F8" w14:textId="5FEBCC20" w:rsidR="00F45532" w:rsidRPr="00E639A0" w:rsidRDefault="00437BA9" w:rsidP="005E7426">
      <w:pPr>
        <w:pStyle w:val="Default"/>
        <w:numPr>
          <w:ilvl w:val="0"/>
          <w:numId w:val="33"/>
        </w:numPr>
        <w:spacing w:after="120"/>
        <w:rPr>
          <w:rFonts w:eastAsia="Arial"/>
        </w:rPr>
      </w:pPr>
      <w:r w:rsidRPr="00E639A0">
        <w:t>Pregnant women will, for the first</w:t>
      </w:r>
      <w:r w:rsidR="00C11142" w:rsidRPr="00E639A0">
        <w:t xml:space="preserve"> </w:t>
      </w:r>
      <w:r w:rsidRPr="00E639A0">
        <w:t>time, benefit fr</w:t>
      </w:r>
      <w:r w:rsidR="00C11142" w:rsidRPr="00E639A0">
        <w:t>o</w:t>
      </w:r>
      <w:r w:rsidRPr="00E639A0">
        <w:t xml:space="preserve">m the additional protection of being </w:t>
      </w:r>
      <w:r w:rsidR="00A61F9A" w:rsidRPr="00E639A0">
        <w:t>at the front of the queue</w:t>
      </w:r>
      <w:r w:rsidR="00EF51A8" w:rsidRPr="00E639A0">
        <w:t xml:space="preserve"> when it comes to </w:t>
      </w:r>
      <w:r w:rsidR="00323A02" w:rsidRPr="00E639A0">
        <w:t xml:space="preserve">filling any </w:t>
      </w:r>
      <w:r w:rsidR="00EF51A8" w:rsidRPr="00E639A0">
        <w:t>remaining jobs in any redundancy situation</w:t>
      </w:r>
      <w:r w:rsidR="00F45532" w:rsidRPr="00E639A0">
        <w:t>.</w:t>
      </w:r>
    </w:p>
    <w:p w14:paraId="3C9FE5E2" w14:textId="37667B8F" w:rsidR="001A6577" w:rsidRPr="00E639A0" w:rsidRDefault="00F45532" w:rsidP="005E7426">
      <w:pPr>
        <w:pStyle w:val="Default"/>
        <w:numPr>
          <w:ilvl w:val="0"/>
          <w:numId w:val="33"/>
        </w:numPr>
        <w:spacing w:after="120"/>
        <w:rPr>
          <w:rFonts w:eastAsia="Arial"/>
        </w:rPr>
      </w:pPr>
      <w:r w:rsidRPr="00E639A0">
        <w:t>New parents returning to work after an extended period of leave will receive the same additional protection</w:t>
      </w:r>
      <w:r w:rsidR="001A6577" w:rsidRPr="00E639A0">
        <w:t>.</w:t>
      </w:r>
      <w:r w:rsidR="001C157E" w:rsidRPr="00E639A0">
        <w:t xml:space="preserve"> The Government will continue to engage with stakeholders on the purpose of, need for and length of a qualifying period of relevant leave to access the additional redundancy protection to ensure that the ensuing regulations provide appropriate protection.</w:t>
      </w:r>
    </w:p>
    <w:p w14:paraId="6B400623" w14:textId="6625272B" w:rsidR="001B71AD" w:rsidRPr="00E639A0" w:rsidRDefault="001A6577" w:rsidP="005E7426">
      <w:pPr>
        <w:pStyle w:val="Default"/>
        <w:numPr>
          <w:ilvl w:val="0"/>
          <w:numId w:val="33"/>
        </w:numPr>
        <w:spacing w:after="120"/>
        <w:rPr>
          <w:rFonts w:eastAsia="Arial"/>
        </w:rPr>
      </w:pPr>
      <w:r w:rsidRPr="00E639A0">
        <w:t>This will challenge the perception that pregnant women and new parents should be first in line in a redundancy s</w:t>
      </w:r>
      <w:r w:rsidR="00900336" w:rsidRPr="00E639A0">
        <w:t>ituation</w:t>
      </w:r>
      <w:r w:rsidR="00F173E5" w:rsidRPr="00E639A0">
        <w:t>.  In so doing, d</w:t>
      </w:r>
      <w:r w:rsidR="00207D34" w:rsidRPr="00E639A0">
        <w:t xml:space="preserve">iscrimination against pregnant women and new parents returning to work </w:t>
      </w:r>
      <w:r w:rsidR="001F18BF" w:rsidRPr="00E639A0">
        <w:t xml:space="preserve">will become </w:t>
      </w:r>
      <w:r w:rsidR="17191AC0" w:rsidRPr="00E639A0">
        <w:t xml:space="preserve">less </w:t>
      </w:r>
      <w:r w:rsidR="00207D34" w:rsidRPr="00E639A0">
        <w:t>pervasive in the workplace</w:t>
      </w:r>
      <w:r w:rsidR="00491A05" w:rsidRPr="00E639A0">
        <w:t>.</w:t>
      </w:r>
    </w:p>
    <w:p w14:paraId="59F7CD16" w14:textId="6E39506C" w:rsidR="001B71AD" w:rsidRPr="00E639A0" w:rsidRDefault="00207D34" w:rsidP="005E7426">
      <w:pPr>
        <w:pStyle w:val="Default"/>
        <w:numPr>
          <w:ilvl w:val="0"/>
          <w:numId w:val="33"/>
        </w:numPr>
        <w:spacing w:after="120"/>
        <w:rPr>
          <w:rFonts w:eastAsia="Arial"/>
        </w:rPr>
      </w:pPr>
      <w:r w:rsidRPr="00E639A0">
        <w:t>There</w:t>
      </w:r>
      <w:r w:rsidR="001F18BF" w:rsidRPr="00E639A0">
        <w:t xml:space="preserve"> will be a </w:t>
      </w:r>
      <w:r w:rsidRPr="00E639A0">
        <w:t>lower incidence of redundancies of pregnant women and new parents upon their return to work</w:t>
      </w:r>
      <w:r w:rsidR="00AB128C" w:rsidRPr="00E639A0">
        <w:t xml:space="preserve"> as employers are required to offer them (not just invite them to apply for) </w:t>
      </w:r>
      <w:r w:rsidR="00673634" w:rsidRPr="00E639A0">
        <w:t>any suitable remaining roles</w:t>
      </w:r>
      <w:r w:rsidR="00D829F7" w:rsidRPr="00E639A0">
        <w:t>.</w:t>
      </w:r>
    </w:p>
    <w:p w14:paraId="62E7997C" w14:textId="2FC38174" w:rsidR="001B71AD" w:rsidRPr="00E639A0" w:rsidRDefault="00207D34" w:rsidP="005E7426">
      <w:pPr>
        <w:pStyle w:val="Default"/>
        <w:numPr>
          <w:ilvl w:val="0"/>
          <w:numId w:val="33"/>
        </w:numPr>
        <w:spacing w:after="120"/>
        <w:rPr>
          <w:rFonts w:eastAsia="Arial"/>
        </w:rPr>
      </w:pPr>
      <w:r w:rsidRPr="00E639A0">
        <w:t xml:space="preserve">Individuals </w:t>
      </w:r>
      <w:r w:rsidR="001F18BF" w:rsidRPr="00E639A0">
        <w:t xml:space="preserve">will better </w:t>
      </w:r>
      <w:r w:rsidRPr="00E639A0">
        <w:t xml:space="preserve">understand their rights, and </w:t>
      </w:r>
      <w:r w:rsidR="0083471A" w:rsidRPr="00E639A0">
        <w:t>find it easier to exercise</w:t>
      </w:r>
      <w:r w:rsidR="00A04849" w:rsidRPr="00E639A0">
        <w:t xml:space="preserve"> them</w:t>
      </w:r>
      <w:r w:rsidRPr="00E639A0">
        <w:rPr>
          <w:color w:val="FF0000"/>
        </w:rPr>
        <w:t xml:space="preserve"> </w:t>
      </w:r>
      <w:r w:rsidRPr="00E639A0">
        <w:t>if any unlawful discrimination occurs</w:t>
      </w:r>
      <w:r w:rsidR="006B0E6C" w:rsidRPr="00E639A0">
        <w:t xml:space="preserve"> as the redundancy protection will apply consistently from pregnancy through to a return to work period</w:t>
      </w:r>
      <w:r w:rsidR="00491A05" w:rsidRPr="00E639A0">
        <w:t>.</w:t>
      </w:r>
    </w:p>
    <w:p w14:paraId="25FDDC8B" w14:textId="7FF645F7" w:rsidR="001B71AD" w:rsidRPr="00E639A0" w:rsidRDefault="00207D34" w:rsidP="005E7426">
      <w:pPr>
        <w:pStyle w:val="Default"/>
        <w:numPr>
          <w:ilvl w:val="0"/>
          <w:numId w:val="33"/>
        </w:numPr>
        <w:spacing w:after="120"/>
        <w:rPr>
          <w:rFonts w:eastAsia="Arial"/>
        </w:rPr>
      </w:pPr>
      <w:r w:rsidRPr="00E639A0">
        <w:t>Businesses are aware of their obligations, and of their employees’ rights around unlawful discrimination</w:t>
      </w:r>
      <w:r w:rsidR="2C55DC8B" w:rsidRPr="00E639A0">
        <w:t>. G</w:t>
      </w:r>
      <w:r w:rsidR="66D7CB2B" w:rsidRPr="00E639A0">
        <w:t>reater consistency of redundancy protect</w:t>
      </w:r>
      <w:r w:rsidR="68D0AB22" w:rsidRPr="00E639A0">
        <w:t>ion for parents</w:t>
      </w:r>
      <w:r w:rsidR="77F20AD7" w:rsidRPr="00E639A0">
        <w:t xml:space="preserve"> </w:t>
      </w:r>
      <w:r w:rsidR="387FE8FC" w:rsidRPr="00E639A0">
        <w:t xml:space="preserve">from pregnancy through to a return to work will make </w:t>
      </w:r>
      <w:r w:rsidR="2661108D" w:rsidRPr="00E639A0">
        <w:t>it easier for employers to understan</w:t>
      </w:r>
      <w:r w:rsidR="387FE8FC" w:rsidRPr="00E639A0">
        <w:t>d and comply with their obligatio</w:t>
      </w:r>
      <w:r w:rsidR="005E7426" w:rsidRPr="00E639A0">
        <w:t>ns</w:t>
      </w:r>
      <w:r w:rsidR="00491A05" w:rsidRPr="00E639A0">
        <w:t>.</w:t>
      </w:r>
      <w:r w:rsidR="7B8590A3" w:rsidRPr="00E639A0">
        <w:t xml:space="preserve"> </w:t>
      </w:r>
    </w:p>
    <w:p w14:paraId="79D638B6" w14:textId="4A02039C" w:rsidR="001B71AD" w:rsidRPr="00E639A0" w:rsidRDefault="001B71AD" w:rsidP="4BBE6707">
      <w:pPr>
        <w:pStyle w:val="ListParagraph"/>
        <w:numPr>
          <w:ilvl w:val="0"/>
          <w:numId w:val="7"/>
        </w:numPr>
        <w:spacing w:after="120"/>
        <w:rPr>
          <w:rFonts w:cs="Arial"/>
          <w:color w:val="000000" w:themeColor="text1"/>
        </w:rPr>
      </w:pPr>
      <w:r w:rsidRPr="00E639A0">
        <w:rPr>
          <w:rFonts w:cs="Arial"/>
        </w:rPr>
        <w:t>This policy is</w:t>
      </w:r>
      <w:r w:rsidR="002E1041" w:rsidRPr="00E639A0">
        <w:rPr>
          <w:rFonts w:cs="Arial"/>
        </w:rPr>
        <w:t xml:space="preserve"> part of </w:t>
      </w:r>
      <w:r w:rsidR="00060175" w:rsidRPr="00E639A0">
        <w:rPr>
          <w:rFonts w:cs="Arial"/>
        </w:rPr>
        <w:t xml:space="preserve">a range of policies aiming to tackle discrimination </w:t>
      </w:r>
      <w:r w:rsidR="00194AB9" w:rsidRPr="00E639A0">
        <w:rPr>
          <w:rFonts w:cs="Arial"/>
        </w:rPr>
        <w:t xml:space="preserve">against mothers and change the culture </w:t>
      </w:r>
      <w:r w:rsidR="00B30264" w:rsidRPr="00E639A0">
        <w:rPr>
          <w:rFonts w:cs="Arial"/>
        </w:rPr>
        <w:t xml:space="preserve">surrounding </w:t>
      </w:r>
      <w:r w:rsidR="00194AB9" w:rsidRPr="00E639A0">
        <w:rPr>
          <w:rFonts w:cs="Arial"/>
        </w:rPr>
        <w:t>mothers</w:t>
      </w:r>
      <w:r w:rsidR="00A46F0F" w:rsidRPr="00E639A0">
        <w:rPr>
          <w:rFonts w:cs="Arial"/>
        </w:rPr>
        <w:t xml:space="preserve"> and new parents</w:t>
      </w:r>
      <w:r w:rsidR="00194AB9" w:rsidRPr="00E639A0">
        <w:rPr>
          <w:rFonts w:cs="Arial"/>
        </w:rPr>
        <w:t xml:space="preserve"> in the workplace. </w:t>
      </w:r>
      <w:r w:rsidR="00722F8B" w:rsidRPr="00E639A0">
        <w:rPr>
          <w:rFonts w:cs="Arial"/>
        </w:rPr>
        <w:t xml:space="preserve">We hope that this policy will </w:t>
      </w:r>
      <w:r w:rsidR="00882E87" w:rsidRPr="00E639A0">
        <w:rPr>
          <w:rFonts w:cs="Arial"/>
        </w:rPr>
        <w:t xml:space="preserve">contribute to achieving the policy objectives set out above, </w:t>
      </w:r>
      <w:r w:rsidR="007917EF" w:rsidRPr="00E639A0">
        <w:rPr>
          <w:rFonts w:cs="Arial"/>
        </w:rPr>
        <w:t>but recognise that</w:t>
      </w:r>
      <w:r w:rsidR="00055BC4" w:rsidRPr="00E639A0">
        <w:rPr>
          <w:rFonts w:cs="Arial"/>
        </w:rPr>
        <w:t xml:space="preserve"> </w:t>
      </w:r>
      <w:r w:rsidR="001203F1" w:rsidRPr="00E639A0">
        <w:rPr>
          <w:rFonts w:cs="Arial"/>
        </w:rPr>
        <w:t>a range of other factors (such as attitudinal shifts</w:t>
      </w:r>
      <w:r w:rsidR="00A22C09" w:rsidRPr="00E639A0">
        <w:rPr>
          <w:rFonts w:cs="Arial"/>
        </w:rPr>
        <w:t xml:space="preserve"> and </w:t>
      </w:r>
      <w:r w:rsidR="00EA621D" w:rsidRPr="00E639A0">
        <w:rPr>
          <w:rFonts w:cs="Arial"/>
        </w:rPr>
        <w:t>effective enforcement</w:t>
      </w:r>
      <w:r w:rsidR="00B55EFA" w:rsidRPr="00E639A0">
        <w:rPr>
          <w:rFonts w:cs="Arial"/>
        </w:rPr>
        <w:t xml:space="preserve">) are necessary in </w:t>
      </w:r>
      <w:r w:rsidR="00735D31" w:rsidRPr="00E639A0">
        <w:rPr>
          <w:rFonts w:cs="Arial"/>
        </w:rPr>
        <w:t>parallel.</w:t>
      </w:r>
    </w:p>
    <w:p w14:paraId="1D16857E" w14:textId="05DC3234" w:rsidR="002E1DFA" w:rsidRPr="00E639A0" w:rsidRDefault="002E1DFA" w:rsidP="008C0888">
      <w:pPr>
        <w:pStyle w:val="Heading2"/>
        <w:spacing w:before="240"/>
        <w:rPr>
          <w:b/>
          <w:sz w:val="24"/>
          <w:szCs w:val="24"/>
        </w:rPr>
      </w:pPr>
      <w:r w:rsidRPr="00E639A0">
        <w:rPr>
          <w:b/>
          <w:sz w:val="24"/>
          <w:szCs w:val="24"/>
        </w:rPr>
        <w:t>Options Identification</w:t>
      </w:r>
    </w:p>
    <w:p w14:paraId="040C0353" w14:textId="16E67E9B" w:rsidR="002E1DFA" w:rsidRPr="00E639A0" w:rsidRDefault="002E1DFA" w:rsidP="006135AD">
      <w:pPr>
        <w:pStyle w:val="Default"/>
        <w:numPr>
          <w:ilvl w:val="0"/>
          <w:numId w:val="7"/>
        </w:numPr>
        <w:spacing w:after="120"/>
      </w:pPr>
      <w:r w:rsidRPr="00E639A0">
        <w:t>The main options considered are:</w:t>
      </w:r>
    </w:p>
    <w:p w14:paraId="5BE844BE" w14:textId="77777777" w:rsidR="002E1DFA" w:rsidRPr="00E639A0" w:rsidRDefault="002E1DFA" w:rsidP="002E1DFA">
      <w:pPr>
        <w:pStyle w:val="Default"/>
      </w:pPr>
    </w:p>
    <w:p w14:paraId="78A212B3" w14:textId="0805ED49" w:rsidR="002E1DFA" w:rsidRPr="00E639A0" w:rsidRDefault="002E1DFA" w:rsidP="002E1DFA">
      <w:pPr>
        <w:pStyle w:val="Default"/>
        <w:spacing w:after="120"/>
        <w:rPr>
          <w:b/>
          <w:bCs/>
        </w:rPr>
      </w:pPr>
      <w:r w:rsidRPr="00E639A0">
        <w:rPr>
          <w:b/>
          <w:bCs/>
        </w:rPr>
        <w:t xml:space="preserve">Option 1 </w:t>
      </w:r>
      <w:r w:rsidR="00876454" w:rsidRPr="00E639A0">
        <w:rPr>
          <w:b/>
          <w:bCs/>
        </w:rPr>
        <w:t>–</w:t>
      </w:r>
      <w:r w:rsidRPr="00E639A0">
        <w:rPr>
          <w:b/>
          <w:bCs/>
        </w:rPr>
        <w:t xml:space="preserve"> Do nothing</w:t>
      </w:r>
    </w:p>
    <w:p w14:paraId="7CB44985" w14:textId="38A7E102" w:rsidR="002E1DFA" w:rsidRPr="00E639A0" w:rsidRDefault="002E1DFA" w:rsidP="006135AD">
      <w:pPr>
        <w:pStyle w:val="ListParagraph"/>
        <w:numPr>
          <w:ilvl w:val="0"/>
          <w:numId w:val="7"/>
        </w:numPr>
        <w:rPr>
          <w:rFonts w:cs="Arial"/>
          <w:bCs/>
          <w:color w:val="000000"/>
          <w:lang w:eastAsia="en-GB"/>
        </w:rPr>
      </w:pPr>
      <w:r w:rsidRPr="00E639A0">
        <w:rPr>
          <w:rFonts w:cs="Arial"/>
          <w:color w:val="000000" w:themeColor="text1"/>
          <w:lang w:eastAsia="en-GB"/>
        </w:rPr>
        <w:t xml:space="preserve">The protection against redundancy afforded by MAPLE would continue to apply only during the </w:t>
      </w:r>
      <w:r w:rsidR="00961288" w:rsidRPr="00E639A0">
        <w:rPr>
          <w:rFonts w:cs="Arial"/>
          <w:color w:val="000000" w:themeColor="text1"/>
          <w:lang w:eastAsia="en-GB"/>
        </w:rPr>
        <w:t xml:space="preserve">relevant </w:t>
      </w:r>
      <w:r w:rsidRPr="00E639A0">
        <w:rPr>
          <w:rFonts w:cs="Arial"/>
          <w:color w:val="000000" w:themeColor="text1"/>
          <w:lang w:eastAsia="en-GB"/>
        </w:rPr>
        <w:t>leave period</w:t>
      </w:r>
      <w:r w:rsidR="00961288" w:rsidRPr="00E639A0">
        <w:rPr>
          <w:rFonts w:cs="Arial"/>
          <w:color w:val="000000" w:themeColor="text1"/>
          <w:lang w:eastAsia="en-GB"/>
        </w:rPr>
        <w:t xml:space="preserve"> (</w:t>
      </w:r>
      <w:r w:rsidR="00F94989" w:rsidRPr="00E639A0">
        <w:rPr>
          <w:rFonts w:cs="Arial"/>
          <w:color w:val="000000" w:themeColor="text1"/>
          <w:lang w:eastAsia="en-GB"/>
        </w:rPr>
        <w:t>Maternity Leave, Adoption Leave and Shared Parental Leave)</w:t>
      </w:r>
      <w:r w:rsidRPr="00E639A0">
        <w:rPr>
          <w:rFonts w:cs="Arial"/>
          <w:color w:val="000000" w:themeColor="text1"/>
          <w:lang w:eastAsia="en-GB"/>
        </w:rPr>
        <w:t xml:space="preserve">. The issue of employers making a new mother or parent redundant immediately on return to work would remain. Discrimination against pregnant women and new parents would likely remain pervasive. </w:t>
      </w:r>
    </w:p>
    <w:p w14:paraId="2B75741F" w14:textId="77777777" w:rsidR="002E1DFA" w:rsidRPr="00E639A0" w:rsidRDefault="002E1DFA" w:rsidP="00020B04">
      <w:pPr>
        <w:pStyle w:val="BodyText1"/>
        <w:rPr>
          <w:sz w:val="24"/>
          <w:szCs w:val="24"/>
        </w:rPr>
      </w:pPr>
    </w:p>
    <w:p w14:paraId="53F48607" w14:textId="78E7D54C" w:rsidR="002E1DFA" w:rsidRPr="00E639A0" w:rsidRDefault="002E1DFA" w:rsidP="002E1DFA">
      <w:pPr>
        <w:pStyle w:val="Default"/>
        <w:spacing w:after="120"/>
        <w:rPr>
          <w:b/>
          <w:bCs/>
        </w:rPr>
      </w:pPr>
      <w:r w:rsidRPr="00E639A0">
        <w:rPr>
          <w:b/>
          <w:bCs/>
        </w:rPr>
        <w:t>Option 2 – More effective advice and guidance</w:t>
      </w:r>
    </w:p>
    <w:p w14:paraId="41557660" w14:textId="630F4643" w:rsidR="006F0905" w:rsidRPr="00E639A0" w:rsidRDefault="002E1DFA" w:rsidP="006135AD">
      <w:pPr>
        <w:pStyle w:val="ListParagraph"/>
        <w:numPr>
          <w:ilvl w:val="0"/>
          <w:numId w:val="7"/>
        </w:numPr>
        <w:rPr>
          <w:rFonts w:cs="Arial"/>
          <w:bCs/>
          <w:color w:val="000000"/>
          <w:lang w:eastAsia="en-GB"/>
        </w:rPr>
      </w:pPr>
      <w:r w:rsidRPr="00E639A0">
        <w:rPr>
          <w:rFonts w:cs="Arial"/>
          <w:color w:val="000000" w:themeColor="text1"/>
          <w:lang w:eastAsia="en-GB"/>
        </w:rPr>
        <w:t xml:space="preserve">A promotional campaign </w:t>
      </w:r>
      <w:r w:rsidR="00360837" w:rsidRPr="00E639A0">
        <w:rPr>
          <w:rFonts w:cs="Arial"/>
          <w:color w:val="000000" w:themeColor="text1"/>
          <w:lang w:eastAsia="en-GB"/>
        </w:rPr>
        <w:t xml:space="preserve">and </w:t>
      </w:r>
      <w:r w:rsidRPr="00E639A0">
        <w:rPr>
          <w:rFonts w:cs="Arial"/>
          <w:color w:val="000000" w:themeColor="text1"/>
          <w:lang w:eastAsia="en-GB"/>
        </w:rPr>
        <w:t xml:space="preserve">further guidance for employers </w:t>
      </w:r>
      <w:r w:rsidR="00360837" w:rsidRPr="00E639A0">
        <w:rPr>
          <w:rFonts w:cs="Arial"/>
          <w:color w:val="000000" w:themeColor="text1"/>
          <w:lang w:eastAsia="en-GB"/>
        </w:rPr>
        <w:t xml:space="preserve">is unlikely to be </w:t>
      </w:r>
      <w:r w:rsidRPr="00E639A0">
        <w:rPr>
          <w:rFonts w:cs="Arial"/>
          <w:color w:val="000000" w:themeColor="text1"/>
          <w:lang w:eastAsia="en-GB"/>
        </w:rPr>
        <w:t xml:space="preserve">a sufficient response to the problem of pregnancy and maternity discrimination. </w:t>
      </w:r>
      <w:r w:rsidR="00DC4B0B" w:rsidRPr="00E639A0">
        <w:rPr>
          <w:rFonts w:cs="Arial"/>
          <w:color w:val="000000" w:themeColor="text1"/>
          <w:lang w:eastAsia="en-GB"/>
        </w:rPr>
        <w:t>70</w:t>
      </w:r>
      <w:r w:rsidRPr="00E639A0">
        <w:rPr>
          <w:rFonts w:cs="Arial"/>
          <w:color w:val="000000" w:themeColor="text1"/>
          <w:lang w:eastAsia="en-GB"/>
        </w:rPr>
        <w:t xml:space="preserve">% of employers reported a high level of awareness of pregnant employees’ rights (BIS/EHRC survey), and this percentage increased with firm size up to 89% for large employers, suggesting that awareness is not the issue. </w:t>
      </w:r>
    </w:p>
    <w:p w14:paraId="6D326FE4" w14:textId="77777777" w:rsidR="006F0905" w:rsidRPr="00E639A0" w:rsidRDefault="006F0905" w:rsidP="006F0905">
      <w:pPr>
        <w:pStyle w:val="ListParagraph"/>
        <w:rPr>
          <w:rFonts w:cs="Arial"/>
          <w:bCs/>
          <w:color w:val="000000"/>
          <w:lang w:eastAsia="en-GB"/>
        </w:rPr>
      </w:pPr>
    </w:p>
    <w:p w14:paraId="11ED5173" w14:textId="77777777" w:rsidR="006F0905" w:rsidRPr="00E639A0" w:rsidRDefault="002E1DFA" w:rsidP="006135AD">
      <w:pPr>
        <w:pStyle w:val="ListParagraph"/>
        <w:numPr>
          <w:ilvl w:val="0"/>
          <w:numId w:val="7"/>
        </w:numPr>
        <w:rPr>
          <w:rFonts w:cs="Arial"/>
          <w:bCs/>
          <w:color w:val="000000"/>
          <w:lang w:eastAsia="en-GB"/>
        </w:rPr>
      </w:pPr>
      <w:r w:rsidRPr="00E639A0">
        <w:rPr>
          <w:rFonts w:cs="Arial"/>
        </w:rPr>
        <w:t xml:space="preserve">Despite this, we have committed to review and update advice and guidance on pregnancy and maternity discrimination generally to ensure guidance is effective as it can be. </w:t>
      </w:r>
    </w:p>
    <w:p w14:paraId="216C05EE" w14:textId="77777777" w:rsidR="006F0905" w:rsidRPr="00E639A0" w:rsidRDefault="006F0905" w:rsidP="006F0905">
      <w:pPr>
        <w:pStyle w:val="ListParagraph"/>
        <w:rPr>
          <w:rFonts w:cs="Arial"/>
          <w:bCs/>
          <w:color w:val="000000"/>
          <w:lang w:eastAsia="en-GB"/>
        </w:rPr>
      </w:pPr>
    </w:p>
    <w:p w14:paraId="25B208D0" w14:textId="5564C20A" w:rsidR="00AF53D0" w:rsidRPr="00E639A0" w:rsidRDefault="004F7D30" w:rsidP="006135AD">
      <w:pPr>
        <w:pStyle w:val="ListParagraph"/>
        <w:numPr>
          <w:ilvl w:val="0"/>
          <w:numId w:val="7"/>
        </w:numPr>
        <w:rPr>
          <w:rFonts w:cs="Arial"/>
          <w:bCs/>
          <w:color w:val="000000"/>
          <w:lang w:eastAsia="en-GB"/>
        </w:rPr>
      </w:pPr>
      <w:r w:rsidRPr="00E639A0">
        <w:rPr>
          <w:rFonts w:cs="Arial"/>
        </w:rPr>
        <w:t>We have e</w:t>
      </w:r>
      <w:r w:rsidR="00AF53D0" w:rsidRPr="00E639A0">
        <w:rPr>
          <w:rFonts w:cs="Arial"/>
        </w:rPr>
        <w:t>stablish</w:t>
      </w:r>
      <w:r w:rsidRPr="00E639A0">
        <w:rPr>
          <w:rFonts w:cs="Arial"/>
        </w:rPr>
        <w:t>ed</w:t>
      </w:r>
      <w:r w:rsidR="00AF53D0" w:rsidRPr="00E639A0">
        <w:rPr>
          <w:rFonts w:cs="Arial"/>
        </w:rPr>
        <w:t xml:space="preserve"> a taskforce of employer and family representative groups that make recommendations on what improvements can be made to the information available to employers and families on pregnancy and maternity discrimination. </w:t>
      </w:r>
      <w:r w:rsidRPr="00E639A0">
        <w:rPr>
          <w:rFonts w:cs="Arial"/>
        </w:rPr>
        <w:t>However, a</w:t>
      </w:r>
      <w:r w:rsidR="00AF53D0" w:rsidRPr="00E639A0">
        <w:rPr>
          <w:rFonts w:cs="Arial"/>
        </w:rPr>
        <w:t xml:space="preserve">dvice and guidance </w:t>
      </w:r>
      <w:r w:rsidR="003E2FD0" w:rsidRPr="00E639A0">
        <w:rPr>
          <w:rFonts w:cs="Arial"/>
        </w:rPr>
        <w:t xml:space="preserve">alone </w:t>
      </w:r>
      <w:r w:rsidR="00AF53D0" w:rsidRPr="00E639A0">
        <w:rPr>
          <w:rFonts w:cs="Arial"/>
        </w:rPr>
        <w:t xml:space="preserve">cannot address the issue of different levels of protection applying across pregnancy, maternity, adoption and shared parental leave periods. This can only be addressed through legislation. </w:t>
      </w:r>
    </w:p>
    <w:p w14:paraId="0C4ADA02" w14:textId="77777777" w:rsidR="002E1DFA" w:rsidRPr="00E639A0" w:rsidRDefault="002E1DFA" w:rsidP="002E1DFA">
      <w:pPr>
        <w:rPr>
          <w:rFonts w:cs="Arial"/>
          <w:b/>
        </w:rPr>
      </w:pPr>
    </w:p>
    <w:p w14:paraId="2E9A3E31" w14:textId="2E35C6B9" w:rsidR="002E1DFA" w:rsidRPr="00E639A0" w:rsidRDefault="002E1DFA" w:rsidP="00803764">
      <w:pPr>
        <w:pStyle w:val="Default"/>
        <w:spacing w:after="120"/>
        <w:rPr>
          <w:b/>
          <w:bCs/>
        </w:rPr>
      </w:pPr>
      <w:r w:rsidRPr="00E639A0">
        <w:rPr>
          <w:b/>
          <w:bCs/>
        </w:rPr>
        <w:t xml:space="preserve">Option 3 </w:t>
      </w:r>
      <w:r w:rsidR="00876454" w:rsidRPr="00E639A0">
        <w:rPr>
          <w:b/>
          <w:bCs/>
        </w:rPr>
        <w:t>–</w:t>
      </w:r>
      <w:r w:rsidRPr="00E639A0">
        <w:rPr>
          <w:b/>
          <w:bCs/>
        </w:rPr>
        <w:t xml:space="preserve"> Legislate to extend the existing </w:t>
      </w:r>
      <w:r w:rsidR="00E44ED5" w:rsidRPr="00E639A0">
        <w:rPr>
          <w:b/>
          <w:bCs/>
        </w:rPr>
        <w:t xml:space="preserve">MAPLE </w:t>
      </w:r>
      <w:r w:rsidRPr="00E639A0">
        <w:rPr>
          <w:b/>
          <w:bCs/>
        </w:rPr>
        <w:t xml:space="preserve">protections </w:t>
      </w:r>
      <w:r w:rsidR="00E44ED5" w:rsidRPr="00E639A0">
        <w:rPr>
          <w:b/>
          <w:bCs/>
        </w:rPr>
        <w:t>to pregnant women</w:t>
      </w:r>
      <w:r w:rsidRPr="00E639A0">
        <w:rPr>
          <w:b/>
          <w:bCs/>
        </w:rPr>
        <w:t>, and</w:t>
      </w:r>
      <w:r w:rsidR="008531D9" w:rsidRPr="00E639A0">
        <w:rPr>
          <w:b/>
          <w:bCs/>
        </w:rPr>
        <w:t xml:space="preserve"> to</w:t>
      </w:r>
      <w:r w:rsidRPr="00E639A0">
        <w:rPr>
          <w:b/>
          <w:bCs/>
        </w:rPr>
        <w:t xml:space="preserve"> new </w:t>
      </w:r>
      <w:r w:rsidR="00803764" w:rsidRPr="00E639A0">
        <w:rPr>
          <w:b/>
          <w:bCs/>
        </w:rPr>
        <w:t xml:space="preserve">    </w:t>
      </w:r>
      <w:r w:rsidRPr="00E639A0">
        <w:rPr>
          <w:b/>
          <w:bCs/>
        </w:rPr>
        <w:t xml:space="preserve">parents </w:t>
      </w:r>
      <w:r w:rsidR="008531D9" w:rsidRPr="00E639A0">
        <w:rPr>
          <w:b/>
          <w:bCs/>
        </w:rPr>
        <w:t>returning from</w:t>
      </w:r>
      <w:r w:rsidRPr="00E639A0">
        <w:rPr>
          <w:b/>
          <w:bCs/>
        </w:rPr>
        <w:t xml:space="preserve"> </w:t>
      </w:r>
      <w:r w:rsidR="008531D9" w:rsidRPr="00E639A0">
        <w:rPr>
          <w:b/>
          <w:bCs/>
        </w:rPr>
        <w:t xml:space="preserve">Maternity/Adoption/Shared Parental Leave. </w:t>
      </w:r>
    </w:p>
    <w:p w14:paraId="7AD44754" w14:textId="444035B1" w:rsidR="001E7C8D" w:rsidRPr="00E639A0" w:rsidRDefault="002E1DFA" w:rsidP="006135AD">
      <w:pPr>
        <w:pStyle w:val="ListParagraph"/>
        <w:numPr>
          <w:ilvl w:val="0"/>
          <w:numId w:val="7"/>
        </w:numPr>
        <w:rPr>
          <w:rFonts w:cs="Arial"/>
        </w:rPr>
      </w:pPr>
      <w:r w:rsidRPr="00E639A0">
        <w:rPr>
          <w:rFonts w:cs="Arial"/>
        </w:rPr>
        <w:t>This option require</w:t>
      </w:r>
      <w:r w:rsidR="001E3BB0" w:rsidRPr="00E639A0">
        <w:rPr>
          <w:rFonts w:cs="Arial"/>
        </w:rPr>
        <w:t>s</w:t>
      </w:r>
      <w:r w:rsidRPr="00E639A0">
        <w:rPr>
          <w:rFonts w:cs="Arial"/>
        </w:rPr>
        <w:t xml:space="preserve"> primary legislation</w:t>
      </w:r>
      <w:r w:rsidR="00F5391E" w:rsidRPr="00E639A0">
        <w:rPr>
          <w:rFonts w:cs="Arial"/>
        </w:rPr>
        <w:t>.</w:t>
      </w:r>
      <w:r w:rsidR="00501F07" w:rsidRPr="00E639A0">
        <w:rPr>
          <w:rFonts w:cs="Arial"/>
        </w:rPr>
        <w:t xml:space="preserve"> Redundancy protection w</w:t>
      </w:r>
      <w:r w:rsidR="00D765F7" w:rsidRPr="00E639A0">
        <w:rPr>
          <w:rFonts w:cs="Arial"/>
        </w:rPr>
        <w:t>ill</w:t>
      </w:r>
      <w:r w:rsidR="00501F07" w:rsidRPr="00E639A0">
        <w:rPr>
          <w:rFonts w:cs="Arial"/>
        </w:rPr>
        <w:t xml:space="preserve"> be extended to eligible pregnant women, and </w:t>
      </w:r>
      <w:r w:rsidR="00957A23" w:rsidRPr="00E639A0">
        <w:rPr>
          <w:rFonts w:cs="Arial"/>
        </w:rPr>
        <w:t xml:space="preserve">a blanket 18-month period of protection would </w:t>
      </w:r>
      <w:r w:rsidR="00596AEC" w:rsidRPr="00E639A0">
        <w:rPr>
          <w:rFonts w:cs="Arial"/>
        </w:rPr>
        <w:t>apply for</w:t>
      </w:r>
      <w:r w:rsidR="00501F07" w:rsidRPr="00E639A0">
        <w:rPr>
          <w:rFonts w:cs="Arial"/>
        </w:rPr>
        <w:t xml:space="preserve"> parents </w:t>
      </w:r>
      <w:r w:rsidR="004E66A9" w:rsidRPr="00E639A0">
        <w:rPr>
          <w:rFonts w:cs="Arial"/>
        </w:rPr>
        <w:t>taking relevant leave (</w:t>
      </w:r>
      <w:r w:rsidR="00301C99" w:rsidRPr="00E639A0">
        <w:rPr>
          <w:rFonts w:cs="Arial"/>
        </w:rPr>
        <w:t>Maternity/Adoption/Shared Parental Leave</w:t>
      </w:r>
      <w:r w:rsidR="004E66A9" w:rsidRPr="00E639A0">
        <w:rPr>
          <w:rFonts w:cs="Arial"/>
        </w:rPr>
        <w:t>)</w:t>
      </w:r>
      <w:r w:rsidR="00301C99" w:rsidRPr="00E639A0">
        <w:rPr>
          <w:rFonts w:cs="Arial"/>
        </w:rPr>
        <w:t>.</w:t>
      </w:r>
      <w:r w:rsidR="00933449" w:rsidRPr="00E639A0">
        <w:rPr>
          <w:rFonts w:cs="Arial"/>
        </w:rPr>
        <w:t xml:space="preserve"> </w:t>
      </w:r>
      <w:bookmarkStart w:id="25" w:name="_Hlk110595474"/>
    </w:p>
    <w:bookmarkEnd w:id="25"/>
    <w:p w14:paraId="5E78E813" w14:textId="77777777" w:rsidR="001E7C8D" w:rsidRPr="00E639A0" w:rsidRDefault="001E7C8D" w:rsidP="001E7C8D">
      <w:pPr>
        <w:pStyle w:val="ListParagraph"/>
        <w:rPr>
          <w:rFonts w:cs="Arial"/>
        </w:rPr>
      </w:pPr>
    </w:p>
    <w:p w14:paraId="37D5C201" w14:textId="4919F686" w:rsidR="00C5383B" w:rsidRPr="00E639A0" w:rsidRDefault="002E1DFA" w:rsidP="006135AD">
      <w:pPr>
        <w:pStyle w:val="ListParagraph"/>
        <w:numPr>
          <w:ilvl w:val="0"/>
          <w:numId w:val="7"/>
        </w:numPr>
        <w:rPr>
          <w:rFonts w:cs="Arial"/>
        </w:rPr>
      </w:pPr>
      <w:r w:rsidRPr="00E639A0">
        <w:rPr>
          <w:rFonts w:cs="Arial"/>
        </w:rPr>
        <w:t>There is a clear preference for this option</w:t>
      </w:r>
      <w:r w:rsidR="008A6E3C" w:rsidRPr="00E639A0">
        <w:rPr>
          <w:rFonts w:cs="Arial"/>
        </w:rPr>
        <w:t>. O</w:t>
      </w:r>
      <w:r w:rsidRPr="00E639A0">
        <w:rPr>
          <w:rFonts w:cs="Arial"/>
        </w:rPr>
        <w:t>ver three quarters of consultation respondents agree that redundancy protection should apply for mothers returning to work. 75% of respondents felt that 6 months upon return to work is an appropriate time period.</w:t>
      </w:r>
      <w:r w:rsidR="00B25A07" w:rsidRPr="00E639A0">
        <w:rPr>
          <w:rFonts w:cs="Arial"/>
        </w:rPr>
        <w:t xml:space="preserve"> </w:t>
      </w:r>
      <w:r w:rsidR="00DB0532" w:rsidRPr="00E639A0">
        <w:rPr>
          <w:rFonts w:cs="Arial"/>
        </w:rPr>
        <w:t xml:space="preserve">The protections will </w:t>
      </w:r>
      <w:r w:rsidR="00FE4963" w:rsidRPr="00E639A0">
        <w:rPr>
          <w:rFonts w:cs="Arial"/>
        </w:rPr>
        <w:t xml:space="preserve">also </w:t>
      </w:r>
      <w:r w:rsidR="00DB0532" w:rsidRPr="00E639A0">
        <w:rPr>
          <w:rFonts w:cs="Arial"/>
        </w:rPr>
        <w:t xml:space="preserve">apply to </w:t>
      </w:r>
      <w:r w:rsidR="004328AA" w:rsidRPr="00E639A0">
        <w:rPr>
          <w:rFonts w:cs="Arial"/>
        </w:rPr>
        <w:t xml:space="preserve">partners </w:t>
      </w:r>
      <w:r w:rsidR="00DB0532" w:rsidRPr="00E639A0">
        <w:rPr>
          <w:rFonts w:cs="Arial"/>
        </w:rPr>
        <w:t xml:space="preserve">returning from </w:t>
      </w:r>
      <w:r w:rsidR="00F903BD" w:rsidRPr="00E639A0">
        <w:rPr>
          <w:rFonts w:cs="Arial"/>
        </w:rPr>
        <w:t xml:space="preserve">Adoption Leave and </w:t>
      </w:r>
      <w:r w:rsidR="00DB0532" w:rsidRPr="00E639A0">
        <w:rPr>
          <w:rFonts w:cs="Arial"/>
        </w:rPr>
        <w:t>Shared Parental Leave (SPL). Over 80% of consultation responses favoured redundancy protection for these groups too.</w:t>
      </w:r>
    </w:p>
    <w:p w14:paraId="3EAC934B" w14:textId="77777777" w:rsidR="00C5383B" w:rsidRPr="00E639A0" w:rsidRDefault="00C5383B" w:rsidP="00C5383B">
      <w:pPr>
        <w:pStyle w:val="ListParagraph"/>
        <w:rPr>
          <w:rFonts w:cs="Arial"/>
        </w:rPr>
      </w:pPr>
    </w:p>
    <w:p w14:paraId="4E5B4508" w14:textId="041350A5" w:rsidR="00C5383B" w:rsidRPr="00E639A0" w:rsidRDefault="00DB0532" w:rsidP="00FE407E">
      <w:pPr>
        <w:pStyle w:val="BodyText1"/>
        <w:rPr>
          <w:sz w:val="24"/>
          <w:szCs w:val="24"/>
        </w:rPr>
      </w:pPr>
      <w:r w:rsidRPr="00E639A0">
        <w:rPr>
          <w:sz w:val="24"/>
          <w:szCs w:val="24"/>
        </w:rPr>
        <w:t>Whilst Maternity and Adoption Leave are taken as a single block, SPL is designed to give parents flexibility</w:t>
      </w:r>
      <w:r w:rsidR="00A26200" w:rsidRPr="00E639A0">
        <w:rPr>
          <w:sz w:val="24"/>
          <w:szCs w:val="24"/>
        </w:rPr>
        <w:t xml:space="preserve">. It </w:t>
      </w:r>
      <w:r w:rsidRPr="00E639A0">
        <w:rPr>
          <w:sz w:val="24"/>
          <w:szCs w:val="24"/>
        </w:rPr>
        <w:t>can be taken in multiple blocks</w:t>
      </w:r>
      <w:r w:rsidR="0077109F" w:rsidRPr="00E639A0">
        <w:rPr>
          <w:sz w:val="24"/>
          <w:szCs w:val="24"/>
        </w:rPr>
        <w:t xml:space="preserve">, for varying lengths of time, </w:t>
      </w:r>
      <w:r w:rsidRPr="00E639A0">
        <w:rPr>
          <w:sz w:val="24"/>
          <w:szCs w:val="24"/>
        </w:rPr>
        <w:t xml:space="preserve">throughout the first year of a child’s life. Providing redundancy protection to </w:t>
      </w:r>
      <w:r w:rsidR="004328AA" w:rsidRPr="00E639A0">
        <w:rPr>
          <w:sz w:val="24"/>
          <w:szCs w:val="24"/>
        </w:rPr>
        <w:t>partners</w:t>
      </w:r>
      <w:r w:rsidRPr="00E639A0">
        <w:rPr>
          <w:sz w:val="24"/>
          <w:szCs w:val="24"/>
        </w:rPr>
        <w:t xml:space="preserve"> returning from SPL is, therefore, more complicated than for adoptive parents and mothers. Giving an SPL parent 6 months redundancy protection following one week of SPL, say, would not be in the spirit of the policy. We propose a blanket 18-month period</w:t>
      </w:r>
      <w:r w:rsidR="00E8431E" w:rsidRPr="00E639A0">
        <w:rPr>
          <w:sz w:val="24"/>
          <w:szCs w:val="24"/>
        </w:rPr>
        <w:t xml:space="preserve"> from </w:t>
      </w:r>
      <w:r w:rsidR="007B0356" w:rsidRPr="00E639A0">
        <w:rPr>
          <w:sz w:val="24"/>
          <w:szCs w:val="24"/>
        </w:rPr>
        <w:t xml:space="preserve">child’s </w:t>
      </w:r>
      <w:r w:rsidR="00E8431E" w:rsidRPr="00E639A0">
        <w:rPr>
          <w:sz w:val="24"/>
          <w:szCs w:val="24"/>
        </w:rPr>
        <w:t>birth</w:t>
      </w:r>
      <w:r w:rsidR="006B0FF1" w:rsidRPr="00E639A0">
        <w:rPr>
          <w:sz w:val="24"/>
          <w:szCs w:val="24"/>
        </w:rPr>
        <w:t xml:space="preserve"> </w:t>
      </w:r>
      <w:r w:rsidRPr="00E639A0">
        <w:rPr>
          <w:sz w:val="24"/>
          <w:szCs w:val="24"/>
        </w:rPr>
        <w:t>of redundancy protection for parents</w:t>
      </w:r>
      <w:r w:rsidR="00AC1DC6" w:rsidRPr="00E639A0">
        <w:rPr>
          <w:sz w:val="24"/>
          <w:szCs w:val="24"/>
        </w:rPr>
        <w:t xml:space="preserve">.  We are undertaking further consultations </w:t>
      </w:r>
      <w:r w:rsidR="00AC1DC6" w:rsidRPr="00E639A0">
        <w:rPr>
          <w:rFonts w:eastAsia="Times New Roman"/>
          <w:color w:val="auto"/>
          <w:sz w:val="24"/>
          <w:szCs w:val="24"/>
          <w:lang w:eastAsia="en-US"/>
        </w:rPr>
        <w:t>on the purpose of, need for and length of a qualifying period of relevant leave to ensure that the ensuing regulations provide appropriate prot</w:t>
      </w:r>
      <w:r w:rsidR="008A0342" w:rsidRPr="00E639A0">
        <w:rPr>
          <w:rFonts w:eastAsia="Times New Roman"/>
          <w:color w:val="auto"/>
          <w:sz w:val="24"/>
          <w:szCs w:val="24"/>
          <w:lang w:eastAsia="en-US"/>
        </w:rPr>
        <w:t>ection.</w:t>
      </w:r>
      <w:r w:rsidRPr="00E639A0">
        <w:rPr>
          <w:sz w:val="24"/>
          <w:szCs w:val="24"/>
        </w:rPr>
        <w:t xml:space="preserve"> </w:t>
      </w:r>
    </w:p>
    <w:p w14:paraId="65F10DB7" w14:textId="77777777" w:rsidR="00C5383B" w:rsidRPr="00E639A0" w:rsidRDefault="00C5383B" w:rsidP="00C5383B">
      <w:pPr>
        <w:pStyle w:val="ListParagraph"/>
        <w:rPr>
          <w:rFonts w:cs="Arial"/>
        </w:rPr>
      </w:pPr>
    </w:p>
    <w:p w14:paraId="111A6882" w14:textId="288679FB" w:rsidR="0099302A" w:rsidRPr="00E639A0" w:rsidRDefault="006B0FF1" w:rsidP="006135AD">
      <w:pPr>
        <w:pStyle w:val="ListParagraph"/>
        <w:numPr>
          <w:ilvl w:val="0"/>
          <w:numId w:val="7"/>
        </w:numPr>
        <w:rPr>
          <w:rFonts w:cs="Arial"/>
        </w:rPr>
      </w:pPr>
      <w:r w:rsidRPr="00E639A0">
        <w:rPr>
          <w:rFonts w:cs="Arial"/>
        </w:rPr>
        <w:t xml:space="preserve">The protection period will </w:t>
      </w:r>
      <w:r w:rsidR="008A13FB" w:rsidRPr="00E639A0">
        <w:rPr>
          <w:rFonts w:cs="Arial"/>
        </w:rPr>
        <w:t>start as soon as you tell your employer that you are pregnant</w:t>
      </w:r>
      <w:r w:rsidR="00C5383B" w:rsidRPr="00E639A0">
        <w:rPr>
          <w:rFonts w:cs="Arial"/>
        </w:rPr>
        <w:t>. Th</w:t>
      </w:r>
      <w:r w:rsidR="0099302A" w:rsidRPr="00E639A0">
        <w:rPr>
          <w:rFonts w:cs="Arial"/>
        </w:rPr>
        <w:t>e</w:t>
      </w:r>
      <w:r w:rsidR="00C5383B" w:rsidRPr="00E639A0">
        <w:rPr>
          <w:rFonts w:cs="Arial"/>
        </w:rPr>
        <w:t xml:space="preserve"> protection </w:t>
      </w:r>
      <w:r w:rsidR="0099302A" w:rsidRPr="00E639A0">
        <w:rPr>
          <w:rFonts w:cs="Arial"/>
        </w:rPr>
        <w:t>continues to</w:t>
      </w:r>
      <w:r w:rsidR="00C5383B" w:rsidRPr="00E639A0">
        <w:rPr>
          <w:rFonts w:cs="Arial"/>
        </w:rPr>
        <w:t xml:space="preserve"> appl</w:t>
      </w:r>
      <w:r w:rsidR="0099302A" w:rsidRPr="00E639A0">
        <w:rPr>
          <w:rFonts w:cs="Arial"/>
        </w:rPr>
        <w:t xml:space="preserve">y for the entire period of maternity leave as is currently the case through MAPLE 1999 – which can be up to 12 months. We plan to extend this further, for a period of 6 months of return to work. </w:t>
      </w:r>
      <w:r w:rsidR="00835B31" w:rsidRPr="00E639A0">
        <w:rPr>
          <w:rFonts w:cs="Arial"/>
        </w:rPr>
        <w:t>This means a</w:t>
      </w:r>
      <w:r w:rsidR="0099302A" w:rsidRPr="00E639A0">
        <w:rPr>
          <w:rFonts w:cs="Arial"/>
        </w:rPr>
        <w:t xml:space="preserve"> total duration of up to 27 months.</w:t>
      </w:r>
      <w:r w:rsidR="00843D80" w:rsidRPr="00E639A0">
        <w:rPr>
          <w:rFonts w:cs="Arial"/>
        </w:rPr>
        <w:t xml:space="preserve"> </w:t>
      </w:r>
      <w:r w:rsidR="003B2594" w:rsidRPr="00E639A0">
        <w:rPr>
          <w:rFonts w:cs="Arial"/>
        </w:rPr>
        <w:t>Given w</w:t>
      </w:r>
      <w:r w:rsidR="00843D80" w:rsidRPr="00E639A0">
        <w:rPr>
          <w:rFonts w:cs="Arial"/>
        </w:rPr>
        <w:t>omen are currently protected during Mat</w:t>
      </w:r>
      <w:r w:rsidR="004933EF" w:rsidRPr="00E639A0">
        <w:rPr>
          <w:rFonts w:cs="Arial"/>
        </w:rPr>
        <w:t>ernity</w:t>
      </w:r>
      <w:r w:rsidR="00843D80" w:rsidRPr="00E639A0">
        <w:rPr>
          <w:rFonts w:cs="Arial"/>
        </w:rPr>
        <w:t xml:space="preserve"> Leave</w:t>
      </w:r>
      <w:r w:rsidR="003B2594" w:rsidRPr="00E639A0">
        <w:rPr>
          <w:rFonts w:cs="Arial"/>
        </w:rPr>
        <w:t xml:space="preserve">, </w:t>
      </w:r>
      <w:r w:rsidR="00843D80" w:rsidRPr="00E639A0">
        <w:rPr>
          <w:rFonts w:cs="Arial"/>
        </w:rPr>
        <w:t>the additional period of protection will be 15 months</w:t>
      </w:r>
      <w:r w:rsidR="003B2594" w:rsidRPr="00E639A0">
        <w:rPr>
          <w:rFonts w:cs="Arial"/>
        </w:rPr>
        <w:t xml:space="preserve"> (</w:t>
      </w:r>
      <w:r w:rsidR="00843D80" w:rsidRPr="00E639A0">
        <w:rPr>
          <w:rFonts w:cs="Arial"/>
        </w:rPr>
        <w:t>9 months during pregnancy and then 6 months on return following Mat</w:t>
      </w:r>
      <w:r w:rsidR="004933EF" w:rsidRPr="00E639A0">
        <w:rPr>
          <w:rFonts w:cs="Arial"/>
        </w:rPr>
        <w:t>ernity</w:t>
      </w:r>
      <w:r w:rsidR="00843D80" w:rsidRPr="00E639A0">
        <w:rPr>
          <w:rFonts w:cs="Arial"/>
        </w:rPr>
        <w:t xml:space="preserve"> Leave</w:t>
      </w:r>
      <w:r w:rsidR="003B2594" w:rsidRPr="00E639A0">
        <w:rPr>
          <w:rFonts w:cs="Arial"/>
        </w:rPr>
        <w:t>)</w:t>
      </w:r>
      <w:r w:rsidR="00843D80" w:rsidRPr="00E639A0">
        <w:rPr>
          <w:rFonts w:cs="Arial"/>
        </w:rPr>
        <w:t>.</w:t>
      </w:r>
    </w:p>
    <w:p w14:paraId="40E84C4C" w14:textId="77777777" w:rsidR="0099302A" w:rsidRPr="00E639A0" w:rsidRDefault="0099302A" w:rsidP="0099302A">
      <w:pPr>
        <w:pStyle w:val="ListParagraph"/>
        <w:rPr>
          <w:rFonts w:cs="Arial"/>
        </w:rPr>
      </w:pPr>
    </w:p>
    <w:p w14:paraId="6E98B1C6" w14:textId="73708654" w:rsidR="00876454" w:rsidRPr="00E639A0" w:rsidRDefault="0099302A">
      <w:pPr>
        <w:pStyle w:val="ListParagraph"/>
        <w:numPr>
          <w:ilvl w:val="0"/>
          <w:numId w:val="7"/>
        </w:numPr>
        <w:rPr>
          <w:rFonts w:cs="Arial"/>
          <w:bCs/>
          <w:color w:val="000000"/>
          <w:lang w:eastAsia="en-GB"/>
        </w:rPr>
      </w:pPr>
      <w:r w:rsidRPr="00E639A0">
        <w:rPr>
          <w:rFonts w:cs="Arial"/>
        </w:rPr>
        <w:t>Crucially, p</w:t>
      </w:r>
      <w:r w:rsidR="004F570C" w:rsidRPr="00E639A0">
        <w:rPr>
          <w:rFonts w:cs="Arial"/>
        </w:rPr>
        <w:t xml:space="preserve">regnant women </w:t>
      </w:r>
      <w:r w:rsidR="00637311" w:rsidRPr="00E639A0">
        <w:rPr>
          <w:rFonts w:cs="Arial"/>
        </w:rPr>
        <w:t>will</w:t>
      </w:r>
      <w:r w:rsidR="004F570C" w:rsidRPr="00E639A0">
        <w:rPr>
          <w:rFonts w:cs="Arial"/>
        </w:rPr>
        <w:t xml:space="preserve"> be</w:t>
      </w:r>
      <w:r w:rsidRPr="00E639A0">
        <w:rPr>
          <w:rFonts w:cs="Arial"/>
        </w:rPr>
        <w:t xml:space="preserve"> </w:t>
      </w:r>
      <w:r w:rsidR="004F570C" w:rsidRPr="00E639A0">
        <w:rPr>
          <w:rFonts w:cs="Arial"/>
        </w:rPr>
        <w:t xml:space="preserve">protected from redundancy </w:t>
      </w:r>
      <w:r w:rsidRPr="00E639A0">
        <w:rPr>
          <w:rFonts w:cs="Arial"/>
        </w:rPr>
        <w:t xml:space="preserve">when </w:t>
      </w:r>
      <w:r w:rsidR="004F570C" w:rsidRPr="00E639A0">
        <w:rPr>
          <w:rFonts w:cs="Arial"/>
        </w:rPr>
        <w:t xml:space="preserve">they inform their employer. </w:t>
      </w:r>
      <w:r w:rsidR="002E1DFA" w:rsidRPr="00E639A0">
        <w:rPr>
          <w:rFonts w:cs="Arial"/>
        </w:rPr>
        <w:t xml:space="preserve">Over two-thirds of </w:t>
      </w:r>
      <w:r w:rsidR="000B5BA2" w:rsidRPr="00E639A0">
        <w:rPr>
          <w:rFonts w:cs="Arial"/>
        </w:rPr>
        <w:t xml:space="preserve">consultation </w:t>
      </w:r>
      <w:r w:rsidR="002E1DFA" w:rsidRPr="00E639A0">
        <w:rPr>
          <w:rFonts w:cs="Arial"/>
        </w:rPr>
        <w:t xml:space="preserve">respondents agree that redundancy protection for pregnant mothers should apply </w:t>
      </w:r>
      <w:r w:rsidR="006B0114" w:rsidRPr="00E639A0">
        <w:rPr>
          <w:rFonts w:cs="Arial"/>
        </w:rPr>
        <w:t>at this point.</w:t>
      </w:r>
      <w:r w:rsidR="002E1DFA" w:rsidRPr="00E639A0">
        <w:rPr>
          <w:rFonts w:cs="Arial"/>
        </w:rPr>
        <w:br/>
      </w:r>
    </w:p>
    <w:p w14:paraId="5AE4764C" w14:textId="0C208239" w:rsidR="006B0FF1" w:rsidRPr="00E639A0" w:rsidRDefault="007A6157" w:rsidP="006135AD">
      <w:pPr>
        <w:pStyle w:val="ListParagraph"/>
        <w:numPr>
          <w:ilvl w:val="0"/>
          <w:numId w:val="7"/>
        </w:numPr>
        <w:rPr>
          <w:rFonts w:cs="Arial"/>
          <w:bCs/>
          <w:color w:val="000000"/>
          <w:lang w:eastAsia="en-GB"/>
        </w:rPr>
      </w:pPr>
      <w:r w:rsidRPr="00E639A0">
        <w:rPr>
          <w:rFonts w:cs="Arial"/>
          <w:color w:val="000000" w:themeColor="text1"/>
          <w:lang w:eastAsia="en-GB"/>
        </w:rPr>
        <w:t>Having considered multiple options on the length of pro</w:t>
      </w:r>
      <w:r w:rsidR="00360F1B" w:rsidRPr="00E639A0">
        <w:rPr>
          <w:rFonts w:cs="Arial"/>
          <w:color w:val="000000" w:themeColor="text1"/>
          <w:lang w:eastAsia="en-GB"/>
        </w:rPr>
        <w:t>t</w:t>
      </w:r>
      <w:r w:rsidRPr="00E639A0">
        <w:rPr>
          <w:rFonts w:cs="Arial"/>
          <w:color w:val="000000" w:themeColor="text1"/>
          <w:lang w:eastAsia="en-GB"/>
        </w:rPr>
        <w:t>ection</w:t>
      </w:r>
      <w:r w:rsidR="002E1DFA" w:rsidRPr="00E639A0">
        <w:rPr>
          <w:rFonts w:cs="Arial"/>
          <w:color w:val="000000" w:themeColor="text1"/>
          <w:lang w:eastAsia="en-GB"/>
        </w:rPr>
        <w:t>,</w:t>
      </w:r>
      <w:r w:rsidR="00E2223A" w:rsidRPr="00E639A0">
        <w:rPr>
          <w:rFonts w:cs="Arial"/>
          <w:color w:val="000000" w:themeColor="text1"/>
          <w:lang w:eastAsia="en-GB"/>
        </w:rPr>
        <w:t xml:space="preserve"> </w:t>
      </w:r>
      <w:r w:rsidR="00FB4C8F" w:rsidRPr="00E639A0">
        <w:rPr>
          <w:rFonts w:cs="Arial"/>
          <w:color w:val="000000" w:themeColor="text1"/>
          <w:lang w:eastAsia="en-GB"/>
        </w:rPr>
        <w:t>a blanket 18-month period</w:t>
      </w:r>
      <w:r w:rsidR="006B0FF1" w:rsidRPr="00E639A0">
        <w:rPr>
          <w:rFonts w:cs="Arial"/>
          <w:color w:val="000000" w:themeColor="text1"/>
          <w:lang w:eastAsia="en-GB"/>
        </w:rPr>
        <w:t xml:space="preserve"> following the child’s birth</w:t>
      </w:r>
      <w:r w:rsidR="002E1DFA" w:rsidRPr="00E639A0">
        <w:rPr>
          <w:rFonts w:cs="Arial"/>
          <w:color w:val="000000" w:themeColor="text1"/>
          <w:lang w:eastAsia="en-GB"/>
        </w:rPr>
        <w:t xml:space="preserve"> is considered </w:t>
      </w:r>
      <w:r w:rsidR="005C4396" w:rsidRPr="00E639A0">
        <w:rPr>
          <w:rFonts w:cs="Arial"/>
          <w:color w:val="000000" w:themeColor="text1"/>
          <w:lang w:eastAsia="en-GB"/>
        </w:rPr>
        <w:t xml:space="preserve">sufficient time for </w:t>
      </w:r>
      <w:r w:rsidR="002E1DFA" w:rsidRPr="00E639A0">
        <w:rPr>
          <w:rFonts w:cs="Arial"/>
          <w:color w:val="000000" w:themeColor="text1"/>
          <w:lang w:eastAsia="en-GB"/>
        </w:rPr>
        <w:t>new parent</w:t>
      </w:r>
      <w:r w:rsidR="006E2F5B" w:rsidRPr="00E639A0">
        <w:rPr>
          <w:rFonts w:cs="Arial"/>
          <w:color w:val="000000" w:themeColor="text1"/>
          <w:lang w:eastAsia="en-GB"/>
        </w:rPr>
        <w:t>s</w:t>
      </w:r>
      <w:r w:rsidR="00FB4C8F" w:rsidRPr="00E639A0">
        <w:rPr>
          <w:rFonts w:cs="Arial"/>
          <w:color w:val="000000" w:themeColor="text1"/>
          <w:lang w:eastAsia="en-GB"/>
        </w:rPr>
        <w:t xml:space="preserve"> </w:t>
      </w:r>
      <w:r w:rsidR="002E1DFA" w:rsidRPr="00E639A0">
        <w:rPr>
          <w:rFonts w:cs="Arial"/>
          <w:color w:val="000000" w:themeColor="text1"/>
          <w:lang w:eastAsia="en-GB"/>
        </w:rPr>
        <w:t>to re-establish themselves in the workplace</w:t>
      </w:r>
      <w:r w:rsidR="007A1896" w:rsidRPr="00E639A0">
        <w:rPr>
          <w:rFonts w:cs="Arial"/>
          <w:color w:val="000000" w:themeColor="text1"/>
          <w:lang w:eastAsia="en-GB"/>
        </w:rPr>
        <w:t xml:space="preserve"> </w:t>
      </w:r>
      <w:r w:rsidR="002E1DFA" w:rsidRPr="00E639A0">
        <w:rPr>
          <w:rFonts w:cs="Arial"/>
          <w:color w:val="000000" w:themeColor="text1"/>
          <w:lang w:eastAsia="en-GB"/>
        </w:rPr>
        <w:t xml:space="preserve">and demonstrate their value to the employer. There is limited evidence on the effectiveness of similar proposals in other countries, </w:t>
      </w:r>
      <w:r w:rsidR="00394170" w:rsidRPr="00E639A0">
        <w:rPr>
          <w:rFonts w:cs="Arial"/>
          <w:color w:val="000000" w:themeColor="text1"/>
          <w:lang w:eastAsia="en-GB"/>
        </w:rPr>
        <w:t xml:space="preserve">but in Germany the redundancy protection period is 4 months. </w:t>
      </w:r>
      <w:r w:rsidR="002E1DFA" w:rsidRPr="00E639A0">
        <w:rPr>
          <w:rFonts w:cs="Arial"/>
          <w:color w:val="000000" w:themeColor="text1"/>
          <w:lang w:eastAsia="en-GB"/>
        </w:rPr>
        <w:t>WESC recommended a</w:t>
      </w:r>
      <w:r w:rsidR="00063338" w:rsidRPr="00E639A0">
        <w:rPr>
          <w:rFonts w:cs="Arial"/>
          <w:color w:val="000000" w:themeColor="text1"/>
          <w:lang w:eastAsia="en-GB"/>
        </w:rPr>
        <w:t xml:space="preserve"> protection</w:t>
      </w:r>
      <w:r w:rsidR="002E1DFA" w:rsidRPr="00E639A0">
        <w:rPr>
          <w:rFonts w:cs="Arial"/>
          <w:color w:val="000000" w:themeColor="text1"/>
          <w:lang w:eastAsia="en-GB"/>
        </w:rPr>
        <w:t xml:space="preserve"> period of 6 </w:t>
      </w:r>
      <w:r w:rsidR="00877E5F" w:rsidRPr="00E639A0">
        <w:rPr>
          <w:rFonts w:cs="Arial"/>
          <w:color w:val="000000" w:themeColor="text1"/>
          <w:lang w:eastAsia="en-GB"/>
        </w:rPr>
        <w:t>months.</w:t>
      </w:r>
      <w:r w:rsidR="002813E1" w:rsidRPr="00E639A0">
        <w:rPr>
          <w:rFonts w:cs="Arial"/>
          <w:color w:val="000000" w:themeColor="text1"/>
          <w:lang w:eastAsia="en-GB"/>
        </w:rPr>
        <w:t xml:space="preserve"> </w:t>
      </w:r>
      <w:r w:rsidR="00C409D2" w:rsidRPr="00E639A0">
        <w:rPr>
          <w:rFonts w:cs="Arial"/>
          <w:color w:val="000000" w:themeColor="text1"/>
          <w:lang w:eastAsia="en-GB"/>
        </w:rPr>
        <w:t>A blanket 18-month period of protection wil</w:t>
      </w:r>
      <w:r w:rsidR="00025718" w:rsidRPr="00E639A0">
        <w:rPr>
          <w:rFonts w:cs="Arial"/>
          <w:color w:val="000000" w:themeColor="text1"/>
          <w:lang w:eastAsia="en-GB"/>
        </w:rPr>
        <w:t xml:space="preserve">l </w:t>
      </w:r>
      <w:r w:rsidR="001C3E43" w:rsidRPr="00E639A0">
        <w:rPr>
          <w:rFonts w:cs="Arial"/>
          <w:color w:val="000000" w:themeColor="text1"/>
          <w:lang w:eastAsia="en-GB"/>
        </w:rPr>
        <w:t xml:space="preserve">ensure that most new parents are protected for at least 6 months. The average duration of Maternity Leave is </w:t>
      </w:r>
      <w:r w:rsidR="00EE487F" w:rsidRPr="00E639A0">
        <w:rPr>
          <w:rFonts w:cs="Arial"/>
          <w:color w:val="000000" w:themeColor="text1"/>
          <w:lang w:eastAsia="en-GB"/>
        </w:rPr>
        <w:t>estimated at</w:t>
      </w:r>
      <w:r w:rsidR="005B7358" w:rsidRPr="00E639A0">
        <w:rPr>
          <w:rFonts w:cs="Arial"/>
          <w:color w:val="000000" w:themeColor="text1"/>
          <w:lang w:eastAsia="en-GB"/>
        </w:rPr>
        <w:t xml:space="preserve"> </w:t>
      </w:r>
      <w:r w:rsidR="001C3E43" w:rsidRPr="00E639A0">
        <w:rPr>
          <w:rFonts w:cs="Arial"/>
          <w:color w:val="000000" w:themeColor="text1"/>
          <w:lang w:eastAsia="en-GB"/>
        </w:rPr>
        <w:t>9 months, based on evidence from the Maternity and Paternity Rights Survey (2008)</w:t>
      </w:r>
      <w:r w:rsidR="00673297" w:rsidRPr="00E639A0">
        <w:rPr>
          <w:rFonts w:cs="Arial"/>
          <w:color w:val="000000" w:themeColor="text1"/>
          <w:lang w:eastAsia="en-GB"/>
        </w:rPr>
        <w:t>,</w:t>
      </w:r>
      <w:r w:rsidR="00D619FD" w:rsidRPr="00E639A0">
        <w:rPr>
          <w:rFonts w:cs="Arial"/>
          <w:color w:val="000000" w:themeColor="text1"/>
          <w:lang w:eastAsia="en-GB"/>
        </w:rPr>
        <w:t xml:space="preserve"> </w:t>
      </w:r>
      <w:r w:rsidR="00653A5A" w:rsidRPr="00E639A0">
        <w:rPr>
          <w:rFonts w:cs="Arial"/>
          <w:color w:val="000000" w:themeColor="text1"/>
          <w:lang w:eastAsia="en-GB"/>
        </w:rPr>
        <w:t xml:space="preserve">and the maximum duration </w:t>
      </w:r>
      <w:r w:rsidR="00D801A0" w:rsidRPr="00E639A0">
        <w:rPr>
          <w:rFonts w:cs="Arial"/>
          <w:color w:val="000000" w:themeColor="text1"/>
          <w:lang w:eastAsia="en-GB"/>
        </w:rPr>
        <w:t xml:space="preserve">is 12 months. </w:t>
      </w:r>
      <w:r w:rsidR="00E55EFF" w:rsidRPr="00E639A0">
        <w:rPr>
          <w:rFonts w:cs="Arial"/>
          <w:color w:val="000000" w:themeColor="text1"/>
          <w:lang w:eastAsia="en-GB"/>
        </w:rPr>
        <w:t xml:space="preserve"> </w:t>
      </w:r>
    </w:p>
    <w:p w14:paraId="1F53529F" w14:textId="77777777" w:rsidR="006B0FF1" w:rsidRPr="00E639A0" w:rsidRDefault="006B0FF1" w:rsidP="006B0FF1">
      <w:pPr>
        <w:pStyle w:val="ListParagraph"/>
        <w:rPr>
          <w:rFonts w:cs="Arial"/>
          <w:bCs/>
          <w:color w:val="000000"/>
          <w:lang w:eastAsia="en-GB"/>
        </w:rPr>
      </w:pPr>
    </w:p>
    <w:p w14:paraId="37B1307D" w14:textId="065FB5DC" w:rsidR="002E1DFA" w:rsidRPr="00E639A0" w:rsidRDefault="0092462C" w:rsidP="006135AD">
      <w:pPr>
        <w:pStyle w:val="ListParagraph"/>
        <w:numPr>
          <w:ilvl w:val="0"/>
          <w:numId w:val="7"/>
        </w:numPr>
        <w:rPr>
          <w:rFonts w:cs="Arial"/>
          <w:bCs/>
          <w:color w:val="000000"/>
          <w:lang w:eastAsia="en-GB"/>
        </w:rPr>
      </w:pPr>
      <w:r w:rsidRPr="00E639A0">
        <w:rPr>
          <w:rFonts w:cs="Arial"/>
        </w:rPr>
        <w:t xml:space="preserve">Extending MAPLE protections to the new </w:t>
      </w:r>
      <w:r w:rsidR="003B4F07" w:rsidRPr="00E639A0">
        <w:rPr>
          <w:rFonts w:cs="Arial"/>
        </w:rPr>
        <w:t xml:space="preserve">periods of time </w:t>
      </w:r>
      <w:r w:rsidR="008A6AC8" w:rsidRPr="00E639A0">
        <w:rPr>
          <w:rFonts w:cs="Arial"/>
        </w:rPr>
        <w:t>and types</w:t>
      </w:r>
      <w:r w:rsidR="008B7AFF" w:rsidRPr="00E639A0">
        <w:rPr>
          <w:rFonts w:cs="Arial"/>
        </w:rPr>
        <w:t xml:space="preserve"> of leave</w:t>
      </w:r>
      <w:r w:rsidRPr="00E639A0">
        <w:rPr>
          <w:rFonts w:cs="Arial"/>
        </w:rPr>
        <w:t xml:space="preserve"> </w:t>
      </w:r>
      <w:r w:rsidR="00232A15" w:rsidRPr="00E639A0">
        <w:rPr>
          <w:rFonts w:cs="Arial"/>
        </w:rPr>
        <w:t xml:space="preserve">will ensure consistency across legislations </w:t>
      </w:r>
      <w:r w:rsidRPr="00E639A0">
        <w:rPr>
          <w:rFonts w:cs="Arial"/>
        </w:rPr>
        <w:t xml:space="preserve">and </w:t>
      </w:r>
      <w:r w:rsidR="00C177F7" w:rsidRPr="00E639A0">
        <w:rPr>
          <w:rFonts w:cs="Arial"/>
        </w:rPr>
        <w:t xml:space="preserve">providing a blanket 18-month protection period </w:t>
      </w:r>
      <w:r w:rsidR="00232A15" w:rsidRPr="00E639A0">
        <w:rPr>
          <w:rFonts w:cs="Arial"/>
        </w:rPr>
        <w:t xml:space="preserve">is </w:t>
      </w:r>
      <w:r w:rsidR="008E6FB5" w:rsidRPr="00E639A0">
        <w:rPr>
          <w:rFonts w:cs="Arial"/>
        </w:rPr>
        <w:t xml:space="preserve">a simple approach </w:t>
      </w:r>
      <w:r w:rsidR="00D155D2" w:rsidRPr="00E639A0">
        <w:rPr>
          <w:rFonts w:cs="Arial"/>
        </w:rPr>
        <w:t xml:space="preserve">that will </w:t>
      </w:r>
      <w:r w:rsidR="00D80F21" w:rsidRPr="00E639A0">
        <w:rPr>
          <w:rFonts w:cs="Arial"/>
        </w:rPr>
        <w:t>be easy to understand for employers and employees.</w:t>
      </w:r>
      <w:r w:rsidR="00FB7E4E" w:rsidRPr="00E639A0">
        <w:rPr>
          <w:rFonts w:cs="Arial"/>
        </w:rPr>
        <w:t xml:space="preserve"> Including SPL and </w:t>
      </w:r>
      <w:r w:rsidR="00771B9A" w:rsidRPr="00E639A0">
        <w:rPr>
          <w:rFonts w:cs="Arial"/>
        </w:rPr>
        <w:t xml:space="preserve">Adoption Leave </w:t>
      </w:r>
      <w:r w:rsidR="00737241" w:rsidRPr="00E639A0">
        <w:rPr>
          <w:rFonts w:cs="Arial"/>
        </w:rPr>
        <w:t>also ensures that we are not discrim</w:t>
      </w:r>
      <w:r w:rsidR="00047D70" w:rsidRPr="00E639A0">
        <w:rPr>
          <w:rFonts w:cs="Arial"/>
        </w:rPr>
        <w:t>in</w:t>
      </w:r>
      <w:r w:rsidR="00737241" w:rsidRPr="00E639A0">
        <w:rPr>
          <w:rFonts w:cs="Arial"/>
        </w:rPr>
        <w:t>ating against</w:t>
      </w:r>
      <w:r w:rsidR="009F1216" w:rsidRPr="00E639A0">
        <w:rPr>
          <w:rFonts w:cs="Arial"/>
        </w:rPr>
        <w:t xml:space="preserve"> </w:t>
      </w:r>
      <w:r w:rsidR="00EF143D" w:rsidRPr="00E639A0">
        <w:rPr>
          <w:rFonts w:cs="Arial"/>
        </w:rPr>
        <w:t>parents</w:t>
      </w:r>
      <w:r w:rsidR="00737241" w:rsidRPr="00E639A0">
        <w:rPr>
          <w:rFonts w:cs="Arial"/>
        </w:rPr>
        <w:t xml:space="preserve"> who have taken long period</w:t>
      </w:r>
      <w:r w:rsidR="005D7106" w:rsidRPr="00E639A0">
        <w:rPr>
          <w:rFonts w:cs="Arial"/>
        </w:rPr>
        <w:t>s of</w:t>
      </w:r>
      <w:r w:rsidR="00D57E79" w:rsidRPr="00E639A0">
        <w:rPr>
          <w:rFonts w:cs="Arial"/>
        </w:rPr>
        <w:t xml:space="preserve"> these leave entitlements. </w:t>
      </w:r>
      <w:r w:rsidR="00737241" w:rsidRPr="00E639A0">
        <w:rPr>
          <w:rFonts w:cs="Arial"/>
        </w:rPr>
        <w:t xml:space="preserve"> </w:t>
      </w:r>
    </w:p>
    <w:p w14:paraId="51085FE2" w14:textId="77777777" w:rsidR="00876454" w:rsidRPr="00E639A0" w:rsidRDefault="00876454" w:rsidP="00876454">
      <w:pPr>
        <w:pStyle w:val="ListParagraph"/>
        <w:rPr>
          <w:rFonts w:cs="Arial"/>
        </w:rPr>
      </w:pPr>
    </w:p>
    <w:p w14:paraId="239E00FB" w14:textId="1CFA4FB8" w:rsidR="002E1DFA" w:rsidRPr="00E639A0" w:rsidRDefault="002E1DFA" w:rsidP="006135AD">
      <w:pPr>
        <w:pStyle w:val="ListParagraph"/>
        <w:numPr>
          <w:ilvl w:val="0"/>
          <w:numId w:val="7"/>
        </w:numPr>
        <w:rPr>
          <w:rFonts w:cs="Arial"/>
        </w:rPr>
      </w:pPr>
      <w:r w:rsidRPr="00E639A0">
        <w:rPr>
          <w:rFonts w:cs="Arial"/>
        </w:rPr>
        <w:t xml:space="preserve">The Government is also committed to improving the provision of information on maternity rights to ensure that employees can better understand their rights and employers are aware of their obligations. In response to the Taylor review of modern working practices, the Government committed to consolidating the maternity and discrimination pages on </w:t>
      </w:r>
      <w:r w:rsidR="00F96F1B" w:rsidRPr="00E639A0">
        <w:rPr>
          <w:rFonts w:cs="Arial"/>
        </w:rPr>
        <w:t>GOV.UK</w:t>
      </w:r>
      <w:r w:rsidRPr="00E639A0">
        <w:rPr>
          <w:rFonts w:cs="Arial"/>
        </w:rPr>
        <w:t xml:space="preserve"> and working more closely with a range of partners such Acas and EHRC.</w:t>
      </w:r>
    </w:p>
    <w:p w14:paraId="66EA1DB4" w14:textId="77777777" w:rsidR="002E239F" w:rsidRPr="00E639A0" w:rsidRDefault="002E239F" w:rsidP="002E239F">
      <w:pPr>
        <w:pStyle w:val="ListParagraph"/>
        <w:rPr>
          <w:rFonts w:cs="Arial"/>
        </w:rPr>
      </w:pPr>
    </w:p>
    <w:p w14:paraId="766D5E56" w14:textId="41D3FF11" w:rsidR="002E239F" w:rsidRPr="00E639A0" w:rsidRDefault="002E239F" w:rsidP="006135AD">
      <w:pPr>
        <w:pStyle w:val="ListParagraph"/>
        <w:numPr>
          <w:ilvl w:val="0"/>
          <w:numId w:val="7"/>
        </w:numPr>
        <w:rPr>
          <w:rFonts w:cs="Arial"/>
        </w:rPr>
      </w:pPr>
      <w:r w:rsidRPr="00E639A0">
        <w:rPr>
          <w:rFonts w:cs="Arial"/>
        </w:rPr>
        <w:t>The consultation</w:t>
      </w:r>
      <w:r w:rsidR="00170FC7" w:rsidRPr="00E639A0">
        <w:rPr>
          <w:rFonts w:cs="Arial"/>
        </w:rPr>
        <w:t>, Government response</w:t>
      </w:r>
      <w:r w:rsidRPr="00E639A0">
        <w:rPr>
          <w:rFonts w:cs="Arial"/>
        </w:rPr>
        <w:t xml:space="preserve"> and accompanying consultation</w:t>
      </w:r>
      <w:r w:rsidR="001C5433" w:rsidRPr="00E639A0">
        <w:rPr>
          <w:rFonts w:cs="Arial"/>
        </w:rPr>
        <w:t xml:space="preserve"> </w:t>
      </w:r>
      <w:r w:rsidRPr="00E639A0">
        <w:rPr>
          <w:rFonts w:cs="Arial"/>
        </w:rPr>
        <w:t xml:space="preserve">stage Impact Assessment </w:t>
      </w:r>
      <w:r w:rsidR="00A26511" w:rsidRPr="00E639A0">
        <w:rPr>
          <w:rFonts w:cs="Arial"/>
        </w:rPr>
        <w:t>have been published</w:t>
      </w:r>
      <w:r w:rsidR="00A26511" w:rsidRPr="00E639A0">
        <w:rPr>
          <w:rStyle w:val="FootnoteReference"/>
          <w:rFonts w:cs="Arial"/>
          <w:sz w:val="24"/>
        </w:rPr>
        <w:footnoteReference w:id="16"/>
      </w:r>
      <w:r w:rsidR="00A26511" w:rsidRPr="00E639A0">
        <w:rPr>
          <w:rFonts w:cs="Arial"/>
        </w:rPr>
        <w:t>.</w:t>
      </w:r>
    </w:p>
    <w:p w14:paraId="7F98614A" w14:textId="77777777" w:rsidR="002E1DFA" w:rsidRPr="00E639A0" w:rsidRDefault="002E1DFA" w:rsidP="008C0888">
      <w:pPr>
        <w:pStyle w:val="Heading2"/>
        <w:spacing w:before="240"/>
        <w:rPr>
          <w:b/>
          <w:sz w:val="24"/>
          <w:szCs w:val="24"/>
        </w:rPr>
      </w:pPr>
      <w:r w:rsidRPr="00E639A0">
        <w:rPr>
          <w:b/>
          <w:sz w:val="24"/>
          <w:szCs w:val="24"/>
        </w:rPr>
        <w:t>Rationale and evidence that justify the level analysis using in the IA (proportionality approach):</w:t>
      </w:r>
    </w:p>
    <w:p w14:paraId="13D9585C" w14:textId="5E057839" w:rsidR="00282D28" w:rsidRPr="00E639A0" w:rsidRDefault="002E1DFA" w:rsidP="006135AD">
      <w:pPr>
        <w:pStyle w:val="ListParagraph"/>
        <w:numPr>
          <w:ilvl w:val="0"/>
          <w:numId w:val="7"/>
        </w:numPr>
        <w:rPr>
          <w:rFonts w:cs="Arial"/>
        </w:rPr>
      </w:pPr>
      <w:r w:rsidRPr="00E639A0">
        <w:rPr>
          <w:rFonts w:cs="Arial"/>
        </w:rPr>
        <w:t xml:space="preserve">For a final stage IA we have modelled the costs and benefits to the best of our ability with the evidence </w:t>
      </w:r>
      <w:r w:rsidR="00463116" w:rsidRPr="00E639A0">
        <w:rPr>
          <w:rFonts w:cs="Arial"/>
        </w:rPr>
        <w:t>available</w:t>
      </w:r>
      <w:r w:rsidR="004B4B18" w:rsidRPr="00E639A0">
        <w:rPr>
          <w:rFonts w:cs="Arial"/>
        </w:rPr>
        <w:t>,</w:t>
      </w:r>
      <w:r w:rsidRPr="00E639A0">
        <w:rPr>
          <w:rFonts w:cs="Arial"/>
        </w:rPr>
        <w:t xml:space="preserve"> and strengthened the evidence base with consultation responses.</w:t>
      </w:r>
      <w:r w:rsidR="004B4B18" w:rsidRPr="00E639A0">
        <w:rPr>
          <w:rFonts w:cs="Arial"/>
        </w:rPr>
        <w:t xml:space="preserve"> </w:t>
      </w:r>
      <w:r w:rsidRPr="00E639A0">
        <w:rPr>
          <w:rFonts w:cs="Arial"/>
        </w:rPr>
        <w:t>We have made use of data sources available to us, such as Labour Force Statistics</w:t>
      </w:r>
      <w:r w:rsidR="00234AB6" w:rsidRPr="00E639A0">
        <w:rPr>
          <w:rFonts w:cs="Arial"/>
        </w:rPr>
        <w:t xml:space="preserve"> microdata and survey data</w:t>
      </w:r>
      <w:r w:rsidRPr="00E639A0">
        <w:rPr>
          <w:rFonts w:cs="Arial"/>
        </w:rPr>
        <w:t>, and drawn on relevant academic research to evidence our assumptions and policy development. We have taken a proportionate approach to analysis for this IA, given that there is substantial uncertainty around the behavioural response of firms to the proposed policy. We have attempted to address this uncertainty by analysing different scenarios for firm behaviour and conducting sensitivity analysis</w:t>
      </w:r>
      <w:r w:rsidR="003E068E" w:rsidRPr="00E639A0">
        <w:rPr>
          <w:rFonts w:cs="Arial"/>
        </w:rPr>
        <w:t xml:space="preserve"> included in the Annex</w:t>
      </w:r>
      <w:r w:rsidR="005E3CF2" w:rsidRPr="00E639A0">
        <w:rPr>
          <w:rFonts w:cs="Arial"/>
        </w:rPr>
        <w:t xml:space="preserve">. </w:t>
      </w:r>
    </w:p>
    <w:p w14:paraId="6F2C003F" w14:textId="77777777" w:rsidR="00282D28" w:rsidRPr="00E639A0" w:rsidRDefault="00282D28">
      <w:pPr>
        <w:rPr>
          <w:rFonts w:cs="Arial"/>
        </w:rPr>
      </w:pPr>
      <w:r w:rsidRPr="00E639A0">
        <w:rPr>
          <w:rFonts w:cs="Arial"/>
        </w:rPr>
        <w:br w:type="page"/>
      </w:r>
    </w:p>
    <w:p w14:paraId="141F7A4C" w14:textId="77777777" w:rsidR="002E1DFA" w:rsidRPr="00E639A0" w:rsidRDefault="002E1DFA" w:rsidP="008C0888">
      <w:pPr>
        <w:pStyle w:val="Heading2"/>
        <w:rPr>
          <w:b/>
          <w:sz w:val="24"/>
          <w:szCs w:val="24"/>
        </w:rPr>
      </w:pPr>
      <w:r w:rsidRPr="00E639A0">
        <w:rPr>
          <w:b/>
          <w:sz w:val="24"/>
          <w:szCs w:val="24"/>
        </w:rPr>
        <w:t>Monetised costs and benefits</w:t>
      </w:r>
    </w:p>
    <w:p w14:paraId="16A363EB" w14:textId="734DC9FC" w:rsidR="002E1DFA" w:rsidRPr="00E639A0" w:rsidRDefault="00A71FBC" w:rsidP="00AB7CB0">
      <w:pPr>
        <w:pStyle w:val="EBBodyPara"/>
        <w:ind w:firstLine="360"/>
        <w:rPr>
          <w:i/>
          <w:sz w:val="24"/>
          <w:szCs w:val="24"/>
        </w:rPr>
      </w:pPr>
      <w:r w:rsidRPr="00E639A0">
        <w:rPr>
          <w:i/>
          <w:noProof/>
          <w:sz w:val="24"/>
          <w:szCs w:val="24"/>
        </w:rPr>
        <w:t>The</w:t>
      </w:r>
      <w:r w:rsidR="00610C9A" w:rsidRPr="00E639A0">
        <w:rPr>
          <w:i/>
          <w:noProof/>
          <w:sz w:val="24"/>
          <w:szCs w:val="24"/>
        </w:rPr>
        <w:t xml:space="preserve"> </w:t>
      </w:r>
      <w:r w:rsidR="002E1DFA" w:rsidRPr="00E639A0">
        <w:rPr>
          <w:i/>
          <w:sz w:val="24"/>
          <w:szCs w:val="24"/>
        </w:rPr>
        <w:t>Methodological Approach</w:t>
      </w:r>
    </w:p>
    <w:p w14:paraId="3BE23B7D" w14:textId="77777777" w:rsidR="00824C29" w:rsidRPr="00E639A0" w:rsidRDefault="00824C29" w:rsidP="00AB7CB0">
      <w:pPr>
        <w:pStyle w:val="EBBodyPara"/>
        <w:ind w:firstLine="360"/>
        <w:rPr>
          <w:i/>
          <w:sz w:val="24"/>
          <w:szCs w:val="24"/>
        </w:rPr>
      </w:pPr>
    </w:p>
    <w:p w14:paraId="724C1C30" w14:textId="77777777" w:rsidR="00824C29" w:rsidRPr="00E639A0" w:rsidRDefault="00824C29" w:rsidP="00824C29">
      <w:pPr>
        <w:pStyle w:val="ListParagraph"/>
        <w:numPr>
          <w:ilvl w:val="0"/>
          <w:numId w:val="7"/>
        </w:numPr>
        <w:rPr>
          <w:rFonts w:cs="Arial"/>
        </w:rPr>
      </w:pPr>
      <w:r w:rsidRPr="00E639A0">
        <w:rPr>
          <w:rFonts w:cs="Arial"/>
        </w:rPr>
        <w:t>The flowchart below sets out a high-level approach of the cost and benefit modelling. We firstly estimate the eligible population before modelling costs and benefits to individuals, businesses and the Exchequer of the regulatory change.</w:t>
      </w:r>
    </w:p>
    <w:p w14:paraId="28BF0597" w14:textId="063197ED" w:rsidR="00804477" w:rsidRPr="00E639A0" w:rsidRDefault="00824C29" w:rsidP="00824C29">
      <w:pPr>
        <w:rPr>
          <w:rFonts w:cs="Arial"/>
          <w:highlight w:val="yellow"/>
        </w:rPr>
      </w:pPr>
      <w:r w:rsidRPr="00E639A0">
        <w:rPr>
          <w:rFonts w:cs="Arial"/>
          <w:noProof/>
        </w:rPr>
        <w:drawing>
          <wp:anchor distT="0" distB="0" distL="114300" distR="114300" simplePos="0" relativeHeight="251658241" behindDoc="1" locked="0" layoutInCell="1" allowOverlap="1" wp14:anchorId="72557C91" wp14:editId="1BD8CF1A">
            <wp:simplePos x="0" y="0"/>
            <wp:positionH relativeFrom="margin">
              <wp:posOffset>235585</wp:posOffset>
            </wp:positionH>
            <wp:positionV relativeFrom="paragraph">
              <wp:posOffset>239395</wp:posOffset>
            </wp:positionV>
            <wp:extent cx="6012180" cy="3605530"/>
            <wp:effectExtent l="0" t="0" r="7620" b="0"/>
            <wp:wrapTight wrapText="bothSides">
              <wp:wrapPolygon edited="0">
                <wp:start x="0" y="0"/>
                <wp:lineTo x="0" y="21455"/>
                <wp:lineTo x="21559" y="21455"/>
                <wp:lineTo x="2155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1" b="29090"/>
                    <a:stretch/>
                  </pic:blipFill>
                  <pic:spPr bwMode="auto">
                    <a:xfrm>
                      <a:off x="0" y="0"/>
                      <a:ext cx="6012180" cy="36055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BE48AFF" w14:textId="7549EB16" w:rsidR="002330F0" w:rsidRPr="00E639A0" w:rsidRDefault="002330F0" w:rsidP="002330F0">
      <w:pPr>
        <w:pStyle w:val="ListParagraph"/>
        <w:rPr>
          <w:rFonts w:cs="Arial"/>
          <w:highlight w:val="yellow"/>
        </w:rPr>
      </w:pPr>
    </w:p>
    <w:p w14:paraId="6B52E2DD" w14:textId="77777777" w:rsidR="00024306" w:rsidRPr="00E639A0" w:rsidRDefault="00024306" w:rsidP="002330F0">
      <w:pPr>
        <w:pStyle w:val="ListParagraph"/>
        <w:rPr>
          <w:rFonts w:cs="Arial"/>
          <w:highlight w:val="yellow"/>
        </w:rPr>
      </w:pPr>
    </w:p>
    <w:p w14:paraId="63F5CA69" w14:textId="0F4784F8" w:rsidR="002E1DFA" w:rsidRPr="00E639A0" w:rsidRDefault="002E1DFA" w:rsidP="00CF7CF6">
      <w:pPr>
        <w:pStyle w:val="EBBodyPara"/>
        <w:ind w:left="360"/>
        <w:rPr>
          <w:i/>
          <w:sz w:val="24"/>
          <w:szCs w:val="24"/>
        </w:rPr>
      </w:pPr>
      <w:r w:rsidRPr="00E639A0">
        <w:rPr>
          <w:i/>
          <w:sz w:val="24"/>
          <w:szCs w:val="24"/>
        </w:rPr>
        <w:t>Eligible population</w:t>
      </w:r>
    </w:p>
    <w:p w14:paraId="297AD207" w14:textId="77777777" w:rsidR="009B307E" w:rsidRPr="00E639A0" w:rsidRDefault="009B307E" w:rsidP="00CF7CF6">
      <w:pPr>
        <w:pStyle w:val="EBBodyPara"/>
        <w:ind w:left="360"/>
        <w:rPr>
          <w:i/>
          <w:sz w:val="24"/>
          <w:szCs w:val="24"/>
        </w:rPr>
      </w:pPr>
    </w:p>
    <w:p w14:paraId="19075320" w14:textId="6BCE6AD0" w:rsidR="000F1698" w:rsidRPr="00E639A0" w:rsidRDefault="009B307E" w:rsidP="009B307E">
      <w:pPr>
        <w:pStyle w:val="EBBodyPara"/>
        <w:ind w:left="360"/>
        <w:rPr>
          <w:b/>
          <w:bCs w:val="0"/>
          <w:iCs/>
          <w:sz w:val="24"/>
          <w:szCs w:val="24"/>
        </w:rPr>
      </w:pPr>
      <w:r w:rsidRPr="00E639A0">
        <w:rPr>
          <w:b/>
          <w:bCs w:val="0"/>
          <w:iCs/>
          <w:sz w:val="24"/>
          <w:szCs w:val="24"/>
        </w:rPr>
        <w:t>Pregnant women and those returning from maternity leave</w:t>
      </w:r>
    </w:p>
    <w:p w14:paraId="5A0ADFF6" w14:textId="7CDAE2B2" w:rsidR="00CF510F" w:rsidRPr="00E639A0" w:rsidRDefault="002E1DFA" w:rsidP="006135AD">
      <w:pPr>
        <w:pStyle w:val="ListParagraph"/>
        <w:numPr>
          <w:ilvl w:val="0"/>
          <w:numId w:val="7"/>
        </w:numPr>
        <w:rPr>
          <w:rFonts w:cs="Arial"/>
        </w:rPr>
      </w:pPr>
      <w:r w:rsidRPr="00E639A0">
        <w:rPr>
          <w:rFonts w:cs="Arial"/>
        </w:rPr>
        <w:t>To estimate the total number of new and expectant mothers in employment, we use data on the number of births a year and female employment rates</w:t>
      </w:r>
      <w:r w:rsidR="0032065C" w:rsidRPr="00E639A0">
        <w:rPr>
          <w:rStyle w:val="FootnoteReference"/>
          <w:rFonts w:cs="Arial"/>
          <w:sz w:val="24"/>
        </w:rPr>
        <w:footnoteReference w:id="17"/>
      </w:r>
      <w:r w:rsidRPr="00E639A0">
        <w:rPr>
          <w:rFonts w:cs="Arial"/>
        </w:rPr>
        <w:t xml:space="preserve">. </w:t>
      </w:r>
    </w:p>
    <w:p w14:paraId="7AA4F074" w14:textId="77777777" w:rsidR="00CF510F" w:rsidRPr="00E639A0" w:rsidRDefault="00CF510F" w:rsidP="00CF510F">
      <w:pPr>
        <w:pStyle w:val="ListParagraph"/>
        <w:rPr>
          <w:rFonts w:cs="Arial"/>
        </w:rPr>
      </w:pPr>
    </w:p>
    <w:p w14:paraId="533B7185" w14:textId="09F607D8" w:rsidR="00691E41" w:rsidRPr="00E639A0" w:rsidRDefault="002E1DFA" w:rsidP="006135AD">
      <w:pPr>
        <w:pStyle w:val="ListParagraph"/>
        <w:numPr>
          <w:ilvl w:val="0"/>
          <w:numId w:val="7"/>
        </w:numPr>
        <w:rPr>
          <w:rFonts w:cs="Arial"/>
        </w:rPr>
      </w:pPr>
      <w:r w:rsidRPr="00E639A0">
        <w:rPr>
          <w:rFonts w:cs="Arial"/>
        </w:rPr>
        <w:t>Since the policy only affects those in employment, we estimate the employment rate for females of child-bearing age. Analysis of 20</w:t>
      </w:r>
      <w:r w:rsidR="00A01AFF" w:rsidRPr="00E639A0">
        <w:rPr>
          <w:rFonts w:cs="Arial"/>
        </w:rPr>
        <w:t>20</w:t>
      </w:r>
      <w:r w:rsidRPr="00E639A0">
        <w:rPr>
          <w:rFonts w:cs="Arial"/>
        </w:rPr>
        <w:t xml:space="preserve"> ONS data shows that almost 100% of births are to women aged 45 or under</w:t>
      </w:r>
      <w:r w:rsidRPr="00E639A0">
        <w:rPr>
          <w:rFonts w:cs="Arial"/>
          <w:vertAlign w:val="superscript"/>
        </w:rPr>
        <w:footnoteReference w:id="18"/>
      </w:r>
      <w:r w:rsidRPr="00E639A0">
        <w:rPr>
          <w:rFonts w:cs="Arial"/>
        </w:rPr>
        <w:t>. We assume that women of child-bearing age are aged 16-49. As the age bands in the data for female employment rate and age of mother at childbirth do not align, we use female employment rates for ages 16-49. This relies on the assumption that the employment rate for females aged 46-49 is similar to that of females aged 35-45. This assumption is reasonable as those aged 46-49 will not have reached the State Pension age (65 for women) yet, and</w:t>
      </w:r>
      <w:r w:rsidR="009524D2" w:rsidRPr="00E639A0">
        <w:rPr>
          <w:rFonts w:cs="Arial"/>
        </w:rPr>
        <w:t xml:space="preserve"> published</w:t>
      </w:r>
      <w:r w:rsidRPr="00E639A0">
        <w:rPr>
          <w:rFonts w:cs="Arial"/>
        </w:rPr>
        <w:t xml:space="preserve"> </w:t>
      </w:r>
      <w:r w:rsidR="00C81286" w:rsidRPr="00E639A0">
        <w:rPr>
          <w:rFonts w:cs="Arial"/>
        </w:rPr>
        <w:t>ONS 2022 data</w:t>
      </w:r>
      <w:r w:rsidRPr="00E639A0">
        <w:rPr>
          <w:rFonts w:cs="Arial"/>
          <w:vertAlign w:val="superscript"/>
        </w:rPr>
        <w:footnoteReference w:id="19"/>
      </w:r>
      <w:r w:rsidRPr="00E639A0">
        <w:rPr>
          <w:rFonts w:cs="Arial"/>
        </w:rPr>
        <w:t xml:space="preserve"> </w:t>
      </w:r>
      <w:r w:rsidR="00C81286" w:rsidRPr="00E639A0">
        <w:rPr>
          <w:rFonts w:cs="Arial"/>
        </w:rPr>
        <w:t xml:space="preserve">estimates </w:t>
      </w:r>
      <w:r w:rsidRPr="00E639A0">
        <w:rPr>
          <w:rFonts w:cs="Arial"/>
        </w:rPr>
        <w:t xml:space="preserve">the employment rate of women aged 25-54 was </w:t>
      </w:r>
      <w:r w:rsidR="00C81286" w:rsidRPr="00E639A0">
        <w:rPr>
          <w:rFonts w:cs="Arial"/>
        </w:rPr>
        <w:t>80</w:t>
      </w:r>
      <w:r w:rsidRPr="00E639A0">
        <w:rPr>
          <w:rFonts w:cs="Arial"/>
        </w:rPr>
        <w:t>% in 20</w:t>
      </w:r>
      <w:r w:rsidR="00BE4F8C" w:rsidRPr="00E639A0">
        <w:rPr>
          <w:rFonts w:cs="Arial"/>
        </w:rPr>
        <w:t>21</w:t>
      </w:r>
      <w:r w:rsidRPr="00E639A0">
        <w:rPr>
          <w:rFonts w:cs="Arial"/>
        </w:rPr>
        <w:t xml:space="preserve">, which is close to the rate for </w:t>
      </w:r>
      <w:r w:rsidR="00B8755D" w:rsidRPr="00E639A0">
        <w:rPr>
          <w:rFonts w:cs="Arial"/>
        </w:rPr>
        <w:t>women</w:t>
      </w:r>
      <w:r w:rsidRPr="00E639A0">
        <w:rPr>
          <w:rFonts w:cs="Arial"/>
        </w:rPr>
        <w:t xml:space="preserve"> aged 35-49</w:t>
      </w:r>
      <w:r w:rsidR="00FC6321" w:rsidRPr="00E639A0">
        <w:rPr>
          <w:rStyle w:val="FootnoteReference"/>
          <w:rFonts w:cs="Arial"/>
          <w:sz w:val="24"/>
        </w:rPr>
        <w:footnoteReference w:id="20"/>
      </w:r>
      <w:r w:rsidRPr="00E639A0">
        <w:rPr>
          <w:rFonts w:cs="Arial"/>
        </w:rPr>
        <w:t>. To calculate the employment rate for females aged 16-49 we estimate the size of the labour force across age bands using ONS data</w:t>
      </w:r>
      <w:r w:rsidRPr="00E639A0">
        <w:rPr>
          <w:rFonts w:cs="Arial"/>
          <w:vertAlign w:val="superscript"/>
        </w:rPr>
        <w:footnoteReference w:id="21"/>
      </w:r>
      <w:r w:rsidRPr="00E639A0">
        <w:rPr>
          <w:rFonts w:cs="Arial"/>
        </w:rPr>
        <w:t>.</w:t>
      </w:r>
    </w:p>
    <w:p w14:paraId="40ED2FCE" w14:textId="15F99D71" w:rsidR="00D619FD" w:rsidRPr="00E639A0" w:rsidRDefault="00D619FD">
      <w:pPr>
        <w:rPr>
          <w:rFonts w:cs="Arial"/>
        </w:rPr>
      </w:pPr>
      <w:r w:rsidRPr="00E639A0">
        <w:rPr>
          <w:rFonts w:cs="Arial"/>
        </w:rPr>
        <w:br w:type="page"/>
      </w:r>
    </w:p>
    <w:p w14:paraId="0EC66E6F" w14:textId="0B03ED10" w:rsidR="00FB6B2B" w:rsidRPr="00E639A0" w:rsidRDefault="002E1DFA" w:rsidP="003C75DA">
      <w:pPr>
        <w:pStyle w:val="Heading4"/>
        <w:rPr>
          <w:sz w:val="24"/>
          <w:szCs w:val="24"/>
        </w:rPr>
      </w:pPr>
      <w:r w:rsidRPr="00E639A0">
        <w:rPr>
          <w:sz w:val="24"/>
          <w:szCs w:val="24"/>
        </w:rPr>
        <w:t>Table 1 – Employment</w:t>
      </w:r>
      <w:r w:rsidR="003223FC" w:rsidRPr="00E639A0">
        <w:rPr>
          <w:sz w:val="24"/>
          <w:szCs w:val="24"/>
        </w:rPr>
        <w:t xml:space="preserve"> levels and</w:t>
      </w:r>
      <w:r w:rsidRPr="00E639A0">
        <w:rPr>
          <w:sz w:val="24"/>
          <w:szCs w:val="24"/>
        </w:rPr>
        <w:t xml:space="preserve"> rate for females aged 16–49, </w:t>
      </w:r>
      <w:r w:rsidR="00691E41" w:rsidRPr="00E639A0">
        <w:rPr>
          <w:sz w:val="24"/>
          <w:szCs w:val="24"/>
        </w:rPr>
        <w:t xml:space="preserve">Jun-Aug 2021, </w:t>
      </w:r>
      <w:r w:rsidRPr="00E639A0">
        <w:rPr>
          <w:sz w:val="24"/>
          <w:szCs w:val="24"/>
        </w:rPr>
        <w:t>UK</w:t>
      </w:r>
    </w:p>
    <w:tbl>
      <w:tblPr>
        <w:tblW w:w="0" w:type="auto"/>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8"/>
        <w:gridCol w:w="2268"/>
        <w:gridCol w:w="2268"/>
        <w:gridCol w:w="2268"/>
      </w:tblGrid>
      <w:tr w:rsidR="00CB235B" w:rsidRPr="00E639A0" w14:paraId="42C847A2" w14:textId="77777777" w:rsidTr="00B36546">
        <w:tc>
          <w:tcPr>
            <w:tcW w:w="2268" w:type="dxa"/>
          </w:tcPr>
          <w:p w14:paraId="7E59BC64" w14:textId="4154960E" w:rsidR="00CB235B" w:rsidRPr="00E639A0" w:rsidRDefault="00CB235B" w:rsidP="00CB235B">
            <w:pPr>
              <w:jc w:val="center"/>
              <w:rPr>
                <w:rFonts w:cs="Arial"/>
                <w:b/>
                <w:bCs/>
              </w:rPr>
            </w:pPr>
            <w:r w:rsidRPr="00E639A0">
              <w:rPr>
                <w:rFonts w:cs="Arial"/>
                <w:b/>
                <w:bCs/>
              </w:rPr>
              <w:t>Age group</w:t>
            </w:r>
          </w:p>
        </w:tc>
        <w:tc>
          <w:tcPr>
            <w:tcW w:w="2268" w:type="dxa"/>
          </w:tcPr>
          <w:p w14:paraId="539D53B2" w14:textId="650D7F02" w:rsidR="00CB235B" w:rsidRPr="00E639A0" w:rsidRDefault="00CB235B" w:rsidP="00CB235B">
            <w:pPr>
              <w:jc w:val="center"/>
              <w:rPr>
                <w:rFonts w:cs="Arial"/>
                <w:b/>
                <w:bCs/>
              </w:rPr>
            </w:pPr>
            <w:r w:rsidRPr="00E639A0">
              <w:rPr>
                <w:rFonts w:cs="Arial"/>
                <w:b/>
                <w:bCs/>
              </w:rPr>
              <w:t>Population</w:t>
            </w:r>
          </w:p>
        </w:tc>
        <w:tc>
          <w:tcPr>
            <w:tcW w:w="2268" w:type="dxa"/>
          </w:tcPr>
          <w:p w14:paraId="55A0B359" w14:textId="51CE6D75" w:rsidR="00CB235B" w:rsidRPr="00E639A0" w:rsidRDefault="00CB235B" w:rsidP="00CB235B">
            <w:pPr>
              <w:jc w:val="center"/>
              <w:rPr>
                <w:rFonts w:cs="Arial"/>
                <w:b/>
                <w:bCs/>
              </w:rPr>
            </w:pPr>
            <w:r w:rsidRPr="00E639A0">
              <w:rPr>
                <w:rFonts w:cs="Arial"/>
                <w:b/>
                <w:bCs/>
              </w:rPr>
              <w:t>Employment level</w:t>
            </w:r>
          </w:p>
        </w:tc>
        <w:tc>
          <w:tcPr>
            <w:tcW w:w="2268" w:type="dxa"/>
          </w:tcPr>
          <w:p w14:paraId="110D3573" w14:textId="7749F366" w:rsidR="00CB235B" w:rsidRPr="00E639A0" w:rsidRDefault="00CB235B" w:rsidP="00CB235B">
            <w:pPr>
              <w:jc w:val="center"/>
              <w:rPr>
                <w:rFonts w:cs="Arial"/>
                <w:b/>
                <w:bCs/>
              </w:rPr>
            </w:pPr>
            <w:r w:rsidRPr="00E639A0">
              <w:rPr>
                <w:rFonts w:cs="Arial"/>
                <w:b/>
                <w:bCs/>
              </w:rPr>
              <w:t>Employment Rate</w:t>
            </w:r>
          </w:p>
        </w:tc>
      </w:tr>
      <w:tr w:rsidR="00CB235B" w:rsidRPr="00E639A0" w14:paraId="3DEFE7FE" w14:textId="77777777" w:rsidTr="00B36546">
        <w:tc>
          <w:tcPr>
            <w:tcW w:w="2268" w:type="dxa"/>
          </w:tcPr>
          <w:p w14:paraId="1870D6F0" w14:textId="5CC96FF0" w:rsidR="00CB235B" w:rsidRPr="00E639A0" w:rsidRDefault="00CB235B" w:rsidP="00CB235B">
            <w:pPr>
              <w:rPr>
                <w:rFonts w:cs="Arial"/>
              </w:rPr>
            </w:pPr>
            <w:r w:rsidRPr="00E639A0">
              <w:rPr>
                <w:rFonts w:cs="Arial"/>
              </w:rPr>
              <w:t>16 -17</w:t>
            </w:r>
          </w:p>
        </w:tc>
        <w:tc>
          <w:tcPr>
            <w:tcW w:w="2268" w:type="dxa"/>
          </w:tcPr>
          <w:p w14:paraId="3BF27ACC" w14:textId="36D83290" w:rsidR="00CB235B" w:rsidRPr="00E639A0" w:rsidRDefault="00CB235B" w:rsidP="00CB235B">
            <w:pPr>
              <w:jc w:val="right"/>
              <w:rPr>
                <w:rFonts w:cs="Arial"/>
              </w:rPr>
            </w:pPr>
            <w:r w:rsidRPr="00E639A0">
              <w:rPr>
                <w:rFonts w:cs="Arial"/>
              </w:rPr>
              <w:t>712,000</w:t>
            </w:r>
          </w:p>
        </w:tc>
        <w:tc>
          <w:tcPr>
            <w:tcW w:w="2268" w:type="dxa"/>
          </w:tcPr>
          <w:p w14:paraId="605DB422" w14:textId="1F189921" w:rsidR="00CB235B" w:rsidRPr="00E639A0" w:rsidRDefault="00CB235B" w:rsidP="00CB235B">
            <w:pPr>
              <w:jc w:val="right"/>
              <w:rPr>
                <w:rFonts w:cs="Arial"/>
              </w:rPr>
            </w:pPr>
            <w:r w:rsidRPr="00E639A0">
              <w:rPr>
                <w:rFonts w:cs="Arial"/>
              </w:rPr>
              <w:t>170,000</w:t>
            </w:r>
          </w:p>
        </w:tc>
        <w:tc>
          <w:tcPr>
            <w:tcW w:w="2268" w:type="dxa"/>
          </w:tcPr>
          <w:p w14:paraId="05D455E5" w14:textId="0DB74029" w:rsidR="00CB235B" w:rsidRPr="00E639A0" w:rsidRDefault="00CB235B" w:rsidP="00CB235B">
            <w:pPr>
              <w:jc w:val="right"/>
              <w:rPr>
                <w:rFonts w:cs="Arial"/>
              </w:rPr>
            </w:pPr>
            <w:r w:rsidRPr="00E639A0">
              <w:rPr>
                <w:rFonts w:cs="Arial"/>
              </w:rPr>
              <w:t>27.7%</w:t>
            </w:r>
          </w:p>
        </w:tc>
      </w:tr>
      <w:tr w:rsidR="00CB235B" w:rsidRPr="00E639A0" w14:paraId="2AB9426A" w14:textId="77777777" w:rsidTr="00B36546">
        <w:tc>
          <w:tcPr>
            <w:tcW w:w="2268" w:type="dxa"/>
          </w:tcPr>
          <w:p w14:paraId="37A3BEC9" w14:textId="4A252F13" w:rsidR="00CB235B" w:rsidRPr="00E639A0" w:rsidRDefault="00CB235B" w:rsidP="00CB235B">
            <w:pPr>
              <w:rPr>
                <w:rFonts w:cs="Arial"/>
              </w:rPr>
            </w:pPr>
            <w:r w:rsidRPr="00E639A0">
              <w:rPr>
                <w:rFonts w:cs="Arial"/>
              </w:rPr>
              <w:t>18 -24</w:t>
            </w:r>
          </w:p>
        </w:tc>
        <w:tc>
          <w:tcPr>
            <w:tcW w:w="2268" w:type="dxa"/>
          </w:tcPr>
          <w:p w14:paraId="1FDAF1C0" w14:textId="0F8BBF00" w:rsidR="00CB235B" w:rsidRPr="00E639A0" w:rsidRDefault="00CB235B" w:rsidP="00CB235B">
            <w:pPr>
              <w:jc w:val="right"/>
              <w:rPr>
                <w:rFonts w:cs="Arial"/>
              </w:rPr>
            </w:pPr>
            <w:r w:rsidRPr="00E639A0">
              <w:rPr>
                <w:rFonts w:cs="Arial"/>
              </w:rPr>
              <w:t>2,612,000</w:t>
            </w:r>
          </w:p>
        </w:tc>
        <w:tc>
          <w:tcPr>
            <w:tcW w:w="2268" w:type="dxa"/>
          </w:tcPr>
          <w:p w14:paraId="2D79063A" w14:textId="7F2B2755" w:rsidR="00CB235B" w:rsidRPr="00E639A0" w:rsidRDefault="00CB235B" w:rsidP="00CB235B">
            <w:pPr>
              <w:jc w:val="right"/>
              <w:rPr>
                <w:rFonts w:cs="Arial"/>
              </w:rPr>
            </w:pPr>
            <w:r w:rsidRPr="00E639A0">
              <w:rPr>
                <w:rFonts w:cs="Arial"/>
              </w:rPr>
              <w:t>1,610,000</w:t>
            </w:r>
          </w:p>
        </w:tc>
        <w:tc>
          <w:tcPr>
            <w:tcW w:w="2268" w:type="dxa"/>
          </w:tcPr>
          <w:p w14:paraId="16F0B0BF" w14:textId="3590DAE5" w:rsidR="00CB235B" w:rsidRPr="00E639A0" w:rsidRDefault="00CB235B" w:rsidP="00CB235B">
            <w:pPr>
              <w:jc w:val="right"/>
              <w:rPr>
                <w:rFonts w:cs="Arial"/>
              </w:rPr>
            </w:pPr>
            <w:r w:rsidRPr="00E639A0">
              <w:rPr>
                <w:rFonts w:cs="Arial"/>
              </w:rPr>
              <w:t>61.6%</w:t>
            </w:r>
          </w:p>
        </w:tc>
      </w:tr>
      <w:tr w:rsidR="00CB235B" w:rsidRPr="00E639A0" w14:paraId="54C9962A" w14:textId="77777777" w:rsidTr="00B36546">
        <w:tc>
          <w:tcPr>
            <w:tcW w:w="2268" w:type="dxa"/>
          </w:tcPr>
          <w:p w14:paraId="2035AABC" w14:textId="1E4B3D43" w:rsidR="00CB235B" w:rsidRPr="00E639A0" w:rsidRDefault="00CB235B" w:rsidP="00CB235B">
            <w:pPr>
              <w:rPr>
                <w:rFonts w:cs="Arial"/>
              </w:rPr>
            </w:pPr>
            <w:r w:rsidRPr="00E639A0">
              <w:rPr>
                <w:rFonts w:cs="Arial"/>
              </w:rPr>
              <w:t xml:space="preserve">25 </w:t>
            </w:r>
            <w:r w:rsidR="00876454" w:rsidRPr="00E639A0">
              <w:rPr>
                <w:rFonts w:cs="Arial"/>
              </w:rPr>
              <w:t>–</w:t>
            </w:r>
            <w:r w:rsidRPr="00E639A0">
              <w:rPr>
                <w:rFonts w:cs="Arial"/>
              </w:rPr>
              <w:t xml:space="preserve"> 34</w:t>
            </w:r>
          </w:p>
        </w:tc>
        <w:tc>
          <w:tcPr>
            <w:tcW w:w="2268" w:type="dxa"/>
          </w:tcPr>
          <w:p w14:paraId="45E3BA0D" w14:textId="2037597A" w:rsidR="00CB235B" w:rsidRPr="00E639A0" w:rsidRDefault="00CB235B" w:rsidP="00CB235B">
            <w:pPr>
              <w:jc w:val="right"/>
              <w:rPr>
                <w:rFonts w:cs="Arial"/>
              </w:rPr>
            </w:pPr>
            <w:r w:rsidRPr="00E639A0">
              <w:rPr>
                <w:rFonts w:cs="Arial"/>
              </w:rPr>
              <w:t>4,400,000</w:t>
            </w:r>
          </w:p>
        </w:tc>
        <w:tc>
          <w:tcPr>
            <w:tcW w:w="2268" w:type="dxa"/>
          </w:tcPr>
          <w:p w14:paraId="4C6550B3" w14:textId="06707238" w:rsidR="00CB235B" w:rsidRPr="00E639A0" w:rsidRDefault="00CB235B" w:rsidP="00CB235B">
            <w:pPr>
              <w:jc w:val="right"/>
              <w:rPr>
                <w:rFonts w:cs="Arial"/>
              </w:rPr>
            </w:pPr>
            <w:r w:rsidRPr="00E639A0">
              <w:rPr>
                <w:rFonts w:cs="Arial"/>
              </w:rPr>
              <w:t>3,535,000</w:t>
            </w:r>
          </w:p>
        </w:tc>
        <w:tc>
          <w:tcPr>
            <w:tcW w:w="2268" w:type="dxa"/>
          </w:tcPr>
          <w:p w14:paraId="65D5C3E8" w14:textId="22DA7A1B" w:rsidR="00CB235B" w:rsidRPr="00E639A0" w:rsidRDefault="00CB235B" w:rsidP="00CB235B">
            <w:pPr>
              <w:jc w:val="right"/>
              <w:rPr>
                <w:rFonts w:cs="Arial"/>
              </w:rPr>
            </w:pPr>
            <w:r w:rsidRPr="00E639A0">
              <w:rPr>
                <w:rFonts w:cs="Arial"/>
              </w:rPr>
              <w:t>80.3%</w:t>
            </w:r>
          </w:p>
        </w:tc>
      </w:tr>
      <w:tr w:rsidR="00CB235B" w:rsidRPr="00E639A0" w14:paraId="001B6873" w14:textId="77777777" w:rsidTr="00B36546">
        <w:tc>
          <w:tcPr>
            <w:tcW w:w="2268" w:type="dxa"/>
          </w:tcPr>
          <w:p w14:paraId="54929EE6" w14:textId="2F0AFE63" w:rsidR="00CB235B" w:rsidRPr="00E639A0" w:rsidRDefault="00CB235B" w:rsidP="00CB235B">
            <w:pPr>
              <w:rPr>
                <w:rFonts w:cs="Arial"/>
              </w:rPr>
            </w:pPr>
            <w:r w:rsidRPr="00E639A0">
              <w:rPr>
                <w:rFonts w:cs="Arial"/>
              </w:rPr>
              <w:t xml:space="preserve">35 </w:t>
            </w:r>
            <w:r w:rsidR="00876454" w:rsidRPr="00E639A0">
              <w:rPr>
                <w:rFonts w:cs="Arial"/>
              </w:rPr>
              <w:t>–</w:t>
            </w:r>
            <w:r w:rsidRPr="00E639A0">
              <w:rPr>
                <w:rFonts w:cs="Arial"/>
              </w:rPr>
              <w:t xml:space="preserve"> 49</w:t>
            </w:r>
          </w:p>
        </w:tc>
        <w:tc>
          <w:tcPr>
            <w:tcW w:w="2268" w:type="dxa"/>
          </w:tcPr>
          <w:p w14:paraId="17E6CF00" w14:textId="1C95EA05" w:rsidR="00CB235B" w:rsidRPr="00E639A0" w:rsidRDefault="00CB235B" w:rsidP="00CB235B">
            <w:pPr>
              <w:jc w:val="right"/>
              <w:rPr>
                <w:rFonts w:cs="Arial"/>
              </w:rPr>
            </w:pPr>
            <w:r w:rsidRPr="00E639A0">
              <w:rPr>
                <w:rFonts w:cs="Arial"/>
              </w:rPr>
              <w:t>6,382,000</w:t>
            </w:r>
          </w:p>
        </w:tc>
        <w:tc>
          <w:tcPr>
            <w:tcW w:w="2268" w:type="dxa"/>
          </w:tcPr>
          <w:p w14:paraId="0C9FE6A1" w14:textId="3E3F8FD1" w:rsidR="00CB235B" w:rsidRPr="00E639A0" w:rsidRDefault="00CB235B" w:rsidP="00CB235B">
            <w:pPr>
              <w:jc w:val="right"/>
              <w:rPr>
                <w:rFonts w:cs="Arial"/>
              </w:rPr>
            </w:pPr>
            <w:r w:rsidRPr="00E639A0">
              <w:rPr>
                <w:rFonts w:cs="Arial"/>
              </w:rPr>
              <w:t>5,159,000</w:t>
            </w:r>
          </w:p>
        </w:tc>
        <w:tc>
          <w:tcPr>
            <w:tcW w:w="2268" w:type="dxa"/>
          </w:tcPr>
          <w:p w14:paraId="6D5F67BB" w14:textId="277D2223" w:rsidR="00CB235B" w:rsidRPr="00E639A0" w:rsidRDefault="00CB235B" w:rsidP="00CB235B">
            <w:pPr>
              <w:jc w:val="right"/>
              <w:rPr>
                <w:rFonts w:cs="Arial"/>
              </w:rPr>
            </w:pPr>
            <w:r w:rsidRPr="00E639A0">
              <w:rPr>
                <w:rFonts w:cs="Arial"/>
              </w:rPr>
              <w:t>80.8%</w:t>
            </w:r>
          </w:p>
        </w:tc>
      </w:tr>
      <w:tr w:rsidR="00CB235B" w:rsidRPr="00E639A0" w14:paraId="30C6B713" w14:textId="77777777" w:rsidTr="00B36546">
        <w:tc>
          <w:tcPr>
            <w:tcW w:w="2268" w:type="dxa"/>
          </w:tcPr>
          <w:p w14:paraId="53BD57A3" w14:textId="0693710F" w:rsidR="00CB235B" w:rsidRPr="00E639A0" w:rsidRDefault="00CB235B" w:rsidP="00CB235B">
            <w:pPr>
              <w:rPr>
                <w:rFonts w:cs="Arial"/>
                <w:b/>
                <w:bCs/>
              </w:rPr>
            </w:pPr>
            <w:r w:rsidRPr="00E639A0">
              <w:rPr>
                <w:rFonts w:cs="Arial"/>
                <w:b/>
                <w:bCs/>
              </w:rPr>
              <w:t>16-49 (grouped)</w:t>
            </w:r>
          </w:p>
        </w:tc>
        <w:tc>
          <w:tcPr>
            <w:tcW w:w="2268" w:type="dxa"/>
          </w:tcPr>
          <w:p w14:paraId="21D7DC96" w14:textId="616505D8" w:rsidR="00CB235B" w:rsidRPr="00E639A0" w:rsidRDefault="00CB235B" w:rsidP="00CB235B">
            <w:pPr>
              <w:jc w:val="right"/>
              <w:rPr>
                <w:rFonts w:cs="Arial"/>
                <w:b/>
                <w:bCs/>
              </w:rPr>
            </w:pPr>
            <w:r w:rsidRPr="00E639A0">
              <w:rPr>
                <w:rFonts w:cs="Arial"/>
                <w:b/>
                <w:bCs/>
              </w:rPr>
              <w:t>14,106,000</w:t>
            </w:r>
          </w:p>
        </w:tc>
        <w:tc>
          <w:tcPr>
            <w:tcW w:w="2268" w:type="dxa"/>
          </w:tcPr>
          <w:p w14:paraId="71362E32" w14:textId="7B9E0E8D" w:rsidR="00CB235B" w:rsidRPr="00E639A0" w:rsidRDefault="00CB235B" w:rsidP="00CB235B">
            <w:pPr>
              <w:jc w:val="right"/>
              <w:rPr>
                <w:rFonts w:cs="Arial"/>
                <w:b/>
                <w:bCs/>
              </w:rPr>
            </w:pPr>
            <w:r w:rsidRPr="00E639A0">
              <w:rPr>
                <w:rFonts w:cs="Arial"/>
                <w:b/>
                <w:bCs/>
              </w:rPr>
              <w:t>10,474,000</w:t>
            </w:r>
          </w:p>
        </w:tc>
        <w:tc>
          <w:tcPr>
            <w:tcW w:w="2268" w:type="dxa"/>
          </w:tcPr>
          <w:p w14:paraId="46972DD9" w14:textId="79A12451" w:rsidR="00CB235B" w:rsidRPr="00E639A0" w:rsidRDefault="00CB235B" w:rsidP="00CB235B">
            <w:pPr>
              <w:jc w:val="right"/>
              <w:rPr>
                <w:rFonts w:cs="Arial"/>
                <w:b/>
                <w:bCs/>
              </w:rPr>
            </w:pPr>
            <w:r w:rsidRPr="00E639A0">
              <w:rPr>
                <w:rFonts w:cs="Arial"/>
                <w:b/>
                <w:bCs/>
              </w:rPr>
              <w:t>74.2%</w:t>
            </w:r>
          </w:p>
        </w:tc>
      </w:tr>
    </w:tbl>
    <w:p w14:paraId="2B01A2EF" w14:textId="43364EFD" w:rsidR="002E1DFA" w:rsidRPr="00E639A0" w:rsidRDefault="002E1DFA" w:rsidP="00020B04">
      <w:pPr>
        <w:pStyle w:val="BodyText1"/>
        <w:rPr>
          <w:sz w:val="24"/>
          <w:szCs w:val="24"/>
        </w:rPr>
      </w:pPr>
    </w:p>
    <w:p w14:paraId="1798E893" w14:textId="2ED82D49" w:rsidR="00BF7149" w:rsidRPr="00E639A0" w:rsidRDefault="002E1DFA" w:rsidP="00CA044D">
      <w:pPr>
        <w:pStyle w:val="ListParagraph"/>
        <w:numPr>
          <w:ilvl w:val="0"/>
          <w:numId w:val="7"/>
        </w:numPr>
        <w:rPr>
          <w:rFonts w:cs="Arial"/>
        </w:rPr>
      </w:pPr>
      <w:r w:rsidRPr="00E639A0">
        <w:rPr>
          <w:rFonts w:cs="Arial"/>
        </w:rPr>
        <w:t>Applying the employment figure above to the total number of births</w:t>
      </w:r>
      <w:r w:rsidR="00EF143D" w:rsidRPr="00E639A0">
        <w:rPr>
          <w:rStyle w:val="FootnoteReference"/>
          <w:rFonts w:cs="Arial"/>
          <w:sz w:val="24"/>
        </w:rPr>
        <w:footnoteReference w:id="22"/>
      </w:r>
      <w:r w:rsidR="00EF143D" w:rsidRPr="00E639A0">
        <w:rPr>
          <w:rFonts w:cs="Arial"/>
        </w:rPr>
        <w:t xml:space="preserve"> </w:t>
      </w:r>
      <w:r w:rsidRPr="00E639A0">
        <w:rPr>
          <w:rFonts w:cs="Arial"/>
        </w:rPr>
        <w:t xml:space="preserve">gives us the total number of new and expectant mothers in employment. Since the self-employed fall outside the scope of the policy we strip these out of the eligible population. </w:t>
      </w:r>
      <w:r w:rsidR="008D5AFD" w:rsidRPr="00E639A0">
        <w:rPr>
          <w:rFonts w:cs="Arial"/>
        </w:rPr>
        <w:t>In the absence of published age breakdowns for women who are self-employed, w</w:t>
      </w:r>
      <w:r w:rsidRPr="00E639A0">
        <w:rPr>
          <w:rFonts w:cs="Arial"/>
        </w:rPr>
        <w:t>e make use of the overall self-employment rate (16 – 64) for women as proxy for self-employment rate new mothers (</w:t>
      </w:r>
      <w:r w:rsidR="00412B7E" w:rsidRPr="00E639A0">
        <w:rPr>
          <w:rFonts w:cs="Arial"/>
        </w:rPr>
        <w:t>9</w:t>
      </w:r>
      <w:r w:rsidRPr="00E639A0">
        <w:rPr>
          <w:rFonts w:cs="Arial"/>
        </w:rPr>
        <w:t>.</w:t>
      </w:r>
      <w:r w:rsidR="00412B7E" w:rsidRPr="00E639A0">
        <w:rPr>
          <w:rFonts w:cs="Arial"/>
        </w:rPr>
        <w:t>8</w:t>
      </w:r>
      <w:r w:rsidRPr="00E639A0">
        <w:rPr>
          <w:rFonts w:cs="Arial"/>
        </w:rPr>
        <w:t>%)</w:t>
      </w:r>
      <w:r w:rsidRPr="00E639A0">
        <w:rPr>
          <w:rFonts w:cs="Arial"/>
          <w:vertAlign w:val="superscript"/>
        </w:rPr>
        <w:footnoteReference w:id="23"/>
      </w:r>
      <w:r w:rsidRPr="00E639A0">
        <w:rPr>
          <w:rFonts w:cs="Arial"/>
        </w:rPr>
        <w:t xml:space="preserve"> and remove these from the employed population.</w:t>
      </w:r>
    </w:p>
    <w:p w14:paraId="23E5FF12" w14:textId="77777777" w:rsidR="00BF7149" w:rsidRPr="00E639A0" w:rsidRDefault="00BF7149" w:rsidP="00BF7149">
      <w:pPr>
        <w:pStyle w:val="ListParagraph"/>
        <w:rPr>
          <w:rFonts w:cs="Arial"/>
        </w:rPr>
      </w:pPr>
    </w:p>
    <w:p w14:paraId="139BB1FC" w14:textId="77777777" w:rsidR="00BF7149" w:rsidRPr="00E639A0" w:rsidRDefault="002E1DFA" w:rsidP="006135AD">
      <w:pPr>
        <w:pStyle w:val="ListParagraph"/>
        <w:numPr>
          <w:ilvl w:val="0"/>
          <w:numId w:val="7"/>
        </w:numPr>
        <w:rPr>
          <w:rFonts w:cs="Arial"/>
        </w:rPr>
      </w:pPr>
      <w:r w:rsidRPr="00E639A0">
        <w:rPr>
          <w:rFonts w:cs="Arial"/>
        </w:rPr>
        <w:t>We exclude new and expectant mothers working in businesses with only one employee</w:t>
      </w:r>
      <w:r w:rsidRPr="00E639A0">
        <w:rPr>
          <w:rFonts w:cs="Arial"/>
          <w:vertAlign w:val="superscript"/>
        </w:rPr>
        <w:footnoteReference w:id="24"/>
      </w:r>
      <w:r w:rsidR="00494D7D" w:rsidRPr="00E639A0">
        <w:rPr>
          <w:rFonts w:cs="Arial"/>
        </w:rPr>
        <w:t xml:space="preserve"> </w:t>
      </w:r>
      <w:r w:rsidRPr="00E639A0">
        <w:rPr>
          <w:rFonts w:cs="Arial"/>
        </w:rPr>
        <w:t>under the simplifying assumption that a proportion of these firms will genuinely require a redundancy and have no other staff who can be made redundant instead</w:t>
      </w:r>
      <w:r w:rsidR="00494D7D" w:rsidRPr="00E639A0">
        <w:rPr>
          <w:rFonts w:cs="Arial"/>
        </w:rPr>
        <w:t>.</w:t>
      </w:r>
    </w:p>
    <w:p w14:paraId="71A30AEB" w14:textId="77777777" w:rsidR="00D80F72" w:rsidRPr="00E639A0" w:rsidRDefault="00D80F72" w:rsidP="00D80F72">
      <w:pPr>
        <w:pStyle w:val="ListParagraph"/>
        <w:rPr>
          <w:rFonts w:cs="Arial"/>
        </w:rPr>
      </w:pPr>
    </w:p>
    <w:p w14:paraId="1080D2D6" w14:textId="4C9F780C" w:rsidR="00D80F72" w:rsidRPr="00E639A0" w:rsidRDefault="00D80F72" w:rsidP="00D80F72">
      <w:pPr>
        <w:pStyle w:val="ListParagraph"/>
        <w:numPr>
          <w:ilvl w:val="0"/>
          <w:numId w:val="7"/>
        </w:numPr>
        <w:rPr>
          <w:rFonts w:cs="Arial"/>
        </w:rPr>
      </w:pPr>
      <w:r w:rsidRPr="00E639A0">
        <w:rPr>
          <w:rFonts w:cs="Arial"/>
        </w:rPr>
        <w:t>Following this, we then use findings from the BIS/EHRC report, using the proportion of pregnant women and mothers returning from maternity leave who were made redundant, which were 1% and 2% respectively</w:t>
      </w:r>
      <w:r w:rsidRPr="00E639A0">
        <w:rPr>
          <w:rStyle w:val="FootnoteReference"/>
          <w:rFonts w:cs="Arial"/>
          <w:sz w:val="24"/>
        </w:rPr>
        <w:footnoteReference w:id="25"/>
      </w:r>
      <w:r w:rsidRPr="00E639A0">
        <w:rPr>
          <w:rFonts w:cs="Arial"/>
        </w:rPr>
        <w:t>. This gives us the total number of women made redundant (including voluntary redundancies) whilst pregnant and on return from maternity leave. To derive the number of women made involuntarily redundant we focus on the proportion of cases where an alternative position was not offered, or a position was offered at a lower level (73%)</w:t>
      </w:r>
      <w:r w:rsidRPr="00E639A0">
        <w:rPr>
          <w:rStyle w:val="FootnoteReference"/>
          <w:rFonts w:eastAsia="SimSun" w:cs="Arial"/>
          <w:sz w:val="24"/>
        </w:rPr>
        <w:footnoteReference w:id="26"/>
      </w:r>
      <w:r w:rsidRPr="00E639A0">
        <w:rPr>
          <w:rFonts w:cs="Arial"/>
        </w:rPr>
        <w:t xml:space="preserve">; the remaining 27% were offered alternative positions at the same or higher level. The 73% figure is applied to the estimated number of women made redundant (including voluntary redundancies) to obtain the populations of pregnant women/new mothers made involuntarily redundant. The boxes </w:t>
      </w:r>
      <w:r w:rsidR="000E7D96" w:rsidRPr="00E639A0">
        <w:rPr>
          <w:rFonts w:cs="Arial"/>
        </w:rPr>
        <w:t>on page 1</w:t>
      </w:r>
      <w:r w:rsidR="001E2163" w:rsidRPr="00E639A0">
        <w:rPr>
          <w:rFonts w:cs="Arial"/>
        </w:rPr>
        <w:t>5</w:t>
      </w:r>
      <w:r w:rsidRPr="00E639A0">
        <w:rPr>
          <w:rFonts w:cs="Arial"/>
        </w:rPr>
        <w:t xml:space="preserve"> show how we have calculated the final populations for pregnant women and returning mothers. </w:t>
      </w:r>
    </w:p>
    <w:p w14:paraId="39252639" w14:textId="77777777" w:rsidR="00D80F72" w:rsidRPr="00E639A0" w:rsidRDefault="00D80F72" w:rsidP="00D80F72">
      <w:pPr>
        <w:pStyle w:val="ListParagraph"/>
        <w:rPr>
          <w:rFonts w:cs="Arial"/>
        </w:rPr>
      </w:pPr>
    </w:p>
    <w:p w14:paraId="61382150" w14:textId="77D9AF9D" w:rsidR="00D80F72" w:rsidRPr="00E639A0" w:rsidRDefault="00D80F72" w:rsidP="00D80F72">
      <w:pPr>
        <w:pStyle w:val="ListParagraph"/>
        <w:numPr>
          <w:ilvl w:val="0"/>
          <w:numId w:val="7"/>
        </w:numPr>
        <w:rPr>
          <w:rFonts w:cs="Arial"/>
        </w:rPr>
      </w:pPr>
      <w:r w:rsidRPr="00E639A0">
        <w:rPr>
          <w:rFonts w:cs="Arial"/>
        </w:rPr>
        <w:t>We rely on evidence from the BIS/EHRC research to underpin assumptions on the proportion of pregnant women and mothers returning from maternity leave made redundant, and the percentage of women who are made involuntarily redundant. These figures represent the best evidence that we have and are supported by more recent findings from the Parental Rights Survey. The consultation responses further indicate the need for legislative reform.</w:t>
      </w:r>
    </w:p>
    <w:p w14:paraId="5AF7FBF2" w14:textId="77777777" w:rsidR="00C01176" w:rsidRPr="00E639A0" w:rsidRDefault="00C01176" w:rsidP="00C01176">
      <w:pPr>
        <w:pStyle w:val="ListParagraph"/>
        <w:rPr>
          <w:rFonts w:cs="Arial"/>
        </w:rPr>
      </w:pPr>
    </w:p>
    <w:p w14:paraId="077675F2" w14:textId="6DFC4366" w:rsidR="00D80F72" w:rsidRPr="00E639A0" w:rsidRDefault="00D80F72" w:rsidP="00D80F72">
      <w:pPr>
        <w:pStyle w:val="ListParagraph"/>
        <w:numPr>
          <w:ilvl w:val="0"/>
          <w:numId w:val="7"/>
        </w:numPr>
        <w:rPr>
          <w:rFonts w:cs="Arial"/>
        </w:rPr>
      </w:pPr>
      <w:r w:rsidRPr="00E639A0">
        <w:rPr>
          <w:rFonts w:cs="Arial"/>
        </w:rPr>
        <w:t>We have cautiously assumed that, following the implementation of the policy, the percentage of businesses offering alternative positions at a lower level (73%) will remain the same as estimated in the 2016 research as we cannot directly calculate firms’ behavioural response. Firms may respond to the policy by ensuring they offer pregnant women/new parents suitable alternative positions (at the same or higher level). However, under MAPLE, it is already unlawful to not do this – those on maternity leave who are made redundant are entitled to be offered a suitable alternative vacancy.</w:t>
      </w:r>
      <w:r w:rsidR="00EF6113" w:rsidRPr="00E639A0">
        <w:rPr>
          <w:rFonts w:cs="Arial"/>
        </w:rPr>
        <w:t xml:space="preserve"> </w:t>
      </w:r>
      <w:r w:rsidRPr="00E639A0">
        <w:rPr>
          <w:rFonts w:cs="Arial"/>
        </w:rPr>
        <w:t>There is also little evidence available on how the improved advice and guidance may have improved employer behaviour in the meantime</w:t>
      </w:r>
      <w:r w:rsidR="005717A7" w:rsidRPr="00E639A0">
        <w:rPr>
          <w:rFonts w:cs="Arial"/>
        </w:rPr>
        <w:t>,</w:t>
      </w:r>
      <w:r w:rsidRPr="00E639A0">
        <w:rPr>
          <w:rFonts w:cs="Arial"/>
        </w:rPr>
        <w:t xml:space="preserve"> so the 73% assumption remains the best available evidence and can be viewed as capturing the upper range of costs</w:t>
      </w:r>
      <w:r w:rsidRPr="00E639A0">
        <w:rPr>
          <w:rStyle w:val="FootnoteReference"/>
          <w:rFonts w:cs="Arial"/>
          <w:sz w:val="24"/>
        </w:rPr>
        <w:footnoteReference w:id="27"/>
      </w:r>
      <w:r w:rsidRPr="00E639A0">
        <w:rPr>
          <w:rFonts w:cs="Arial"/>
        </w:rPr>
        <w:t>.</w:t>
      </w:r>
    </w:p>
    <w:p w14:paraId="669789B2" w14:textId="77777777" w:rsidR="00D80F72" w:rsidRPr="00E639A0" w:rsidRDefault="00D80F72" w:rsidP="00D80F72">
      <w:pPr>
        <w:pStyle w:val="ListParagraph"/>
        <w:rPr>
          <w:rFonts w:cs="Arial"/>
        </w:rPr>
      </w:pPr>
    </w:p>
    <w:p w14:paraId="5E8A6820" w14:textId="6287A4F3" w:rsidR="00D80F72" w:rsidRPr="00E639A0" w:rsidRDefault="00D80F72" w:rsidP="00D80F72">
      <w:pPr>
        <w:pStyle w:val="ListParagraph"/>
        <w:numPr>
          <w:ilvl w:val="0"/>
          <w:numId w:val="7"/>
        </w:numPr>
        <w:rPr>
          <w:rFonts w:cs="Arial"/>
        </w:rPr>
      </w:pPr>
      <w:r w:rsidRPr="00E639A0">
        <w:rPr>
          <w:rFonts w:cs="Arial"/>
        </w:rPr>
        <w:t xml:space="preserve">Following introduction of the policy, some employers may incur administrative costs from collecting evidence for a redundancy decision. These costs have not been estimated as we assume that in the counterfactual scenario businesses already collect such evidence. In the case of women facing maternity discrimination, under the Equality Act 2010 it is unlawful to treat women less favourably due to their maternity. In this case, redundancy may amount to unfair dismissal. Employers must follow a fair redundancy process, and good practice involves using objective criteria to select employees at risk of redundancy, or firms risk appeals against unfair dismissal and the potential of Employment Tribunal cases. This process would involve collecting evidence to justify the redundancy decision. Unfair selection criteria include pregnancy, maternity, paternity and parental leave and thus the same reasoning applies for pregnant women (who have even stronger protections under MAPLE), and for adoptive parents and </w:t>
      </w:r>
      <w:r w:rsidR="00CB7D88" w:rsidRPr="00E639A0">
        <w:rPr>
          <w:rFonts w:cs="Arial"/>
        </w:rPr>
        <w:t xml:space="preserve">parents who take </w:t>
      </w:r>
      <w:r w:rsidRPr="00E639A0">
        <w:rPr>
          <w:rFonts w:cs="Arial"/>
        </w:rPr>
        <w:t>SPL (who have similar protections under the Equality Act 2010).</w:t>
      </w:r>
    </w:p>
    <w:p w14:paraId="7EC97421" w14:textId="77777777" w:rsidR="00D80F72" w:rsidRPr="00E639A0" w:rsidRDefault="00D80F72" w:rsidP="00D80F72">
      <w:pPr>
        <w:pStyle w:val="ListParagraph"/>
        <w:rPr>
          <w:rFonts w:cs="Arial"/>
        </w:rPr>
      </w:pPr>
    </w:p>
    <w:p w14:paraId="5DCF37F8" w14:textId="476AED98" w:rsidR="00D80F72" w:rsidRPr="00E639A0" w:rsidRDefault="00D80F72" w:rsidP="00D80F72">
      <w:pPr>
        <w:pStyle w:val="ListParagraph"/>
        <w:numPr>
          <w:ilvl w:val="0"/>
          <w:numId w:val="7"/>
        </w:numPr>
        <w:rPr>
          <w:rFonts w:cs="Arial"/>
        </w:rPr>
      </w:pPr>
      <w:r w:rsidRPr="00E639A0">
        <w:rPr>
          <w:rFonts w:cs="Arial"/>
        </w:rPr>
        <w:t>Under the current system</w:t>
      </w:r>
      <w:r w:rsidR="006625FA" w:rsidRPr="00E639A0">
        <w:rPr>
          <w:rFonts w:cs="Arial"/>
        </w:rPr>
        <w:t>,</w:t>
      </w:r>
      <w:r w:rsidRPr="00E639A0">
        <w:rPr>
          <w:rFonts w:cs="Arial"/>
        </w:rPr>
        <w:t xml:space="preserve"> employers could still be justified in making pregnant women/returning mothers redundant for reasons unrelated to pregnancy and where it can be demonstrated that no suitable alternative position exists</w:t>
      </w:r>
      <w:r w:rsidR="006625FA" w:rsidRPr="00E639A0">
        <w:rPr>
          <w:rFonts w:cs="Arial"/>
        </w:rPr>
        <w:t>,</w:t>
      </w:r>
      <w:r w:rsidRPr="00E639A0">
        <w:rPr>
          <w:rFonts w:cs="Arial"/>
        </w:rPr>
        <w:t xml:space="preserve"> e.g. where businesses faced the threat of bankruptcy and closure. Since this would still follow under the proposed policy</w:t>
      </w:r>
      <w:r w:rsidR="006625FA" w:rsidRPr="00E639A0">
        <w:rPr>
          <w:rFonts w:cs="Arial"/>
        </w:rPr>
        <w:t>,</w:t>
      </w:r>
      <w:r w:rsidRPr="00E639A0">
        <w:rPr>
          <w:rFonts w:cs="Arial"/>
        </w:rPr>
        <w:t xml:space="preserve"> we attempt to carve out these cases, using data from European Restructuring Monitor (ERM)</w:t>
      </w:r>
      <w:r w:rsidRPr="00E639A0">
        <w:rPr>
          <w:rStyle w:val="FootnoteReference"/>
          <w:rFonts w:cs="Arial"/>
          <w:sz w:val="24"/>
        </w:rPr>
        <w:footnoteReference w:id="28"/>
      </w:r>
      <w:r w:rsidRPr="00E639A0">
        <w:rPr>
          <w:rFonts w:cs="Arial"/>
        </w:rPr>
        <w:t>, which provides information on the large restructuring events reported in national media across EU member states. The data shows that 31% of job losses can be attributed to bankruptcy/closure, offshoring or relocation</w:t>
      </w:r>
      <w:r w:rsidRPr="00E639A0">
        <w:rPr>
          <w:rStyle w:val="FootnoteReference"/>
          <w:rFonts w:cs="Arial"/>
          <w:sz w:val="24"/>
        </w:rPr>
        <w:footnoteReference w:id="29"/>
      </w:r>
      <w:r w:rsidRPr="00E639A0">
        <w:rPr>
          <w:rFonts w:cs="Arial"/>
        </w:rPr>
        <w:t>. We deduct the percentage of cases from the entire target population to arrive at a final figure below. One limitation with the data source is that the monitor almost exclusively reports on restructuring in medium and larger size firms. Whilst we do not have information for small firms</w:t>
      </w:r>
      <w:r w:rsidR="006625FA" w:rsidRPr="00E639A0">
        <w:rPr>
          <w:rFonts w:cs="Arial"/>
        </w:rPr>
        <w:t>,</w:t>
      </w:r>
      <w:r w:rsidRPr="00E639A0">
        <w:rPr>
          <w:rFonts w:cs="Arial"/>
        </w:rPr>
        <w:t xml:space="preserve"> we would imagine that the percentage of jobs lost to bankruptcy or closure in these firms would likely to be higher</w:t>
      </w:r>
      <w:r w:rsidR="006625FA" w:rsidRPr="00E639A0">
        <w:rPr>
          <w:rFonts w:cs="Arial"/>
        </w:rPr>
        <w:t>,</w:t>
      </w:r>
      <w:r w:rsidRPr="00E639A0">
        <w:rPr>
          <w:rFonts w:cs="Arial"/>
        </w:rPr>
        <w:t xml:space="preserve"> since small firms tend to have less complex organisational structures and are likely to incur job losses for more conventional reasons. The database has covered restructuring events since 2002 so is unlikely to be adversely impacted by the economic downturns.</w:t>
      </w:r>
      <w:r w:rsidR="00705D0D" w:rsidRPr="00E639A0">
        <w:rPr>
          <w:rFonts w:cs="Arial"/>
        </w:rPr>
        <w:t xml:space="preserve"> Moreover</w:t>
      </w:r>
      <w:r w:rsidR="00A04849" w:rsidRPr="00E639A0">
        <w:rPr>
          <w:rFonts w:cs="Arial"/>
        </w:rPr>
        <w:t>,</w:t>
      </w:r>
      <w:r w:rsidR="00705D0D" w:rsidRPr="00E639A0">
        <w:rPr>
          <w:rFonts w:cs="Arial"/>
        </w:rPr>
        <w:t xml:space="preserve"> the </w:t>
      </w:r>
      <w:r w:rsidR="00D057C0" w:rsidRPr="00E639A0">
        <w:rPr>
          <w:rFonts w:cs="Arial"/>
        </w:rPr>
        <w:t xml:space="preserve">overall </w:t>
      </w:r>
      <w:r w:rsidR="000C5906" w:rsidRPr="00E639A0">
        <w:rPr>
          <w:rFonts w:cs="Arial"/>
        </w:rPr>
        <w:t xml:space="preserve">percentage </w:t>
      </w:r>
      <w:r w:rsidR="00E64FD7" w:rsidRPr="00E639A0">
        <w:rPr>
          <w:rFonts w:cs="Arial"/>
        </w:rPr>
        <w:t xml:space="preserve">of </w:t>
      </w:r>
      <w:r w:rsidR="00A04849" w:rsidRPr="00E639A0">
        <w:rPr>
          <w:rFonts w:cs="Arial"/>
        </w:rPr>
        <w:t>employees</w:t>
      </w:r>
      <w:r w:rsidR="00E64FD7" w:rsidRPr="00E639A0">
        <w:rPr>
          <w:rFonts w:cs="Arial"/>
        </w:rPr>
        <w:t xml:space="preserve"> made redundant </w:t>
      </w:r>
      <w:r w:rsidR="003D3FEE" w:rsidRPr="00E639A0">
        <w:rPr>
          <w:rFonts w:cs="Arial"/>
        </w:rPr>
        <w:t xml:space="preserve">for legitimate reasons </w:t>
      </w:r>
      <w:r w:rsidR="00E64FD7" w:rsidRPr="00E639A0">
        <w:rPr>
          <w:rFonts w:cs="Arial"/>
        </w:rPr>
        <w:t xml:space="preserve">across all </w:t>
      </w:r>
      <w:r w:rsidR="00352882" w:rsidRPr="00E639A0">
        <w:rPr>
          <w:rFonts w:cs="Arial"/>
        </w:rPr>
        <w:t xml:space="preserve">businesses could be higher, as there may be other </w:t>
      </w:r>
      <w:r w:rsidR="003D3FEE" w:rsidRPr="00E639A0">
        <w:rPr>
          <w:rFonts w:cs="Arial"/>
        </w:rPr>
        <w:t xml:space="preserve">legitimate </w:t>
      </w:r>
      <w:r w:rsidR="00EE52D1" w:rsidRPr="00E639A0">
        <w:rPr>
          <w:rFonts w:cs="Arial"/>
        </w:rPr>
        <w:t>r</w:t>
      </w:r>
      <w:r w:rsidR="00352882" w:rsidRPr="00E639A0">
        <w:rPr>
          <w:rFonts w:cs="Arial"/>
        </w:rPr>
        <w:t xml:space="preserve">easons other than bankruptcy/closure, offshoring or relocation </w:t>
      </w:r>
      <w:r w:rsidR="00EE52D1" w:rsidRPr="00E639A0">
        <w:rPr>
          <w:rFonts w:cs="Arial"/>
        </w:rPr>
        <w:t>for redundancy</w:t>
      </w:r>
      <w:r w:rsidR="00E32B2F" w:rsidRPr="00E639A0">
        <w:rPr>
          <w:rFonts w:cs="Arial"/>
        </w:rPr>
        <w:t>.</w:t>
      </w:r>
    </w:p>
    <w:p w14:paraId="53CDE0AC" w14:textId="77777777" w:rsidR="00876454" w:rsidRPr="00E639A0" w:rsidRDefault="00876454" w:rsidP="00876454">
      <w:pPr>
        <w:pStyle w:val="ListParagraph"/>
        <w:rPr>
          <w:rFonts w:cs="Arial"/>
        </w:rPr>
      </w:pPr>
    </w:p>
    <w:p w14:paraId="6E31A5B3" w14:textId="5CC02E0B" w:rsidR="007A40A4" w:rsidRPr="00E639A0" w:rsidRDefault="007A40A4" w:rsidP="006135AD">
      <w:pPr>
        <w:pStyle w:val="ListParagraph"/>
        <w:numPr>
          <w:ilvl w:val="0"/>
          <w:numId w:val="7"/>
        </w:numPr>
        <w:rPr>
          <w:rFonts w:cs="Arial"/>
        </w:rPr>
      </w:pPr>
      <w:r w:rsidRPr="00E639A0">
        <w:rPr>
          <w:rFonts w:cs="Arial"/>
        </w:rPr>
        <w:t xml:space="preserve">The </w:t>
      </w:r>
      <w:r w:rsidR="00E0728A" w:rsidRPr="00E639A0">
        <w:rPr>
          <w:rFonts w:cs="Arial"/>
        </w:rPr>
        <w:t>box</w:t>
      </w:r>
      <w:r w:rsidRPr="00E639A0">
        <w:rPr>
          <w:rFonts w:cs="Arial"/>
        </w:rPr>
        <w:t xml:space="preserve"> below shows the calculation steps involved </w:t>
      </w:r>
      <w:r w:rsidR="00841882" w:rsidRPr="00E639A0">
        <w:rPr>
          <w:rFonts w:cs="Arial"/>
        </w:rPr>
        <w:t xml:space="preserve">in identifying the </w:t>
      </w:r>
      <w:r w:rsidR="008932FA" w:rsidRPr="00E639A0">
        <w:rPr>
          <w:rFonts w:cs="Arial"/>
        </w:rPr>
        <w:t xml:space="preserve">potential </w:t>
      </w:r>
      <w:r w:rsidR="00841882" w:rsidRPr="00E639A0">
        <w:rPr>
          <w:rFonts w:cs="Arial"/>
        </w:rPr>
        <w:t xml:space="preserve">policy population </w:t>
      </w:r>
      <w:r w:rsidR="007A3E2F" w:rsidRPr="00E639A0">
        <w:rPr>
          <w:rFonts w:cs="Arial"/>
        </w:rPr>
        <w:t>within scope</w:t>
      </w:r>
      <w:r w:rsidR="00F7726F" w:rsidRPr="00E639A0">
        <w:rPr>
          <w:rStyle w:val="FootnoteReference"/>
          <w:rFonts w:cs="Arial"/>
          <w:sz w:val="24"/>
        </w:rPr>
        <w:footnoteReference w:id="30"/>
      </w:r>
      <w:r w:rsidR="007A3E2F" w:rsidRPr="00E639A0">
        <w:rPr>
          <w:rFonts w:cs="Arial"/>
        </w:rPr>
        <w:t>.</w:t>
      </w:r>
    </w:p>
    <w:p w14:paraId="6BF8AD15" w14:textId="77777777" w:rsidR="00307BB8" w:rsidRPr="00E639A0" w:rsidRDefault="00307BB8" w:rsidP="00D80F72">
      <w:pPr>
        <w:pStyle w:val="ListParagraph"/>
        <w:rPr>
          <w:rFonts w:cs="Arial"/>
        </w:rPr>
      </w:pPr>
    </w:p>
    <w:p w14:paraId="7AC9179E" w14:textId="0DBE521D" w:rsidR="00AB6A5D" w:rsidRPr="00E639A0" w:rsidRDefault="007F70D6">
      <w:pPr>
        <w:rPr>
          <w:rFonts w:cs="Arial"/>
        </w:rPr>
      </w:pPr>
      <w:r w:rsidRPr="00E639A0">
        <w:rPr>
          <w:rFonts w:cs="Arial"/>
          <w:noProof/>
        </w:rPr>
        <mc:AlternateContent>
          <mc:Choice Requires="wps">
            <w:drawing>
              <wp:anchor distT="45720" distB="45720" distL="114300" distR="114300" simplePos="0" relativeHeight="251658243" behindDoc="0" locked="0" layoutInCell="1" allowOverlap="1" wp14:anchorId="170337F0" wp14:editId="37EDD15A">
                <wp:simplePos x="0" y="0"/>
                <wp:positionH relativeFrom="column">
                  <wp:posOffset>3355340</wp:posOffset>
                </wp:positionH>
                <wp:positionV relativeFrom="paragraph">
                  <wp:posOffset>311150</wp:posOffset>
                </wp:positionV>
                <wp:extent cx="2771775" cy="5505450"/>
                <wp:effectExtent l="0" t="0" r="28575" b="1905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5505450"/>
                        </a:xfrm>
                        <a:prstGeom prst="rect">
                          <a:avLst/>
                        </a:prstGeom>
                        <a:solidFill>
                          <a:srgbClr val="FFFFFF"/>
                        </a:solidFill>
                        <a:ln w="9525">
                          <a:solidFill>
                            <a:srgbClr val="000000"/>
                          </a:solidFill>
                          <a:miter lim="800000"/>
                          <a:headEnd/>
                          <a:tailEnd/>
                        </a:ln>
                      </wps:spPr>
                      <wps:txbx>
                        <w:txbxContent>
                          <w:p w14:paraId="5FA74CD0" w14:textId="5BDCB6ED" w:rsidR="00FE319D" w:rsidRPr="00153B32" w:rsidRDefault="00FE319D" w:rsidP="00FE319D">
                            <w:pPr>
                              <w:jc w:val="center"/>
                              <w:rPr>
                                <w:b/>
                                <w:bCs/>
                                <w:sz w:val="20"/>
                                <w:szCs w:val="20"/>
                              </w:rPr>
                            </w:pPr>
                            <w:r>
                              <w:rPr>
                                <w:b/>
                                <w:bCs/>
                                <w:sz w:val="20"/>
                                <w:szCs w:val="20"/>
                              </w:rPr>
                              <w:t xml:space="preserve">Protection </w:t>
                            </w:r>
                            <w:r w:rsidR="00A96A8D">
                              <w:rPr>
                                <w:b/>
                                <w:bCs/>
                                <w:sz w:val="20"/>
                                <w:szCs w:val="20"/>
                              </w:rPr>
                              <w:t>while pregnant</w:t>
                            </w:r>
                          </w:p>
                          <w:p w14:paraId="234BD4DD" w14:textId="77777777" w:rsidR="00644944" w:rsidRDefault="00644944" w:rsidP="006A17EF">
                            <w:pPr>
                              <w:jc w:val="center"/>
                              <w:rPr>
                                <w:sz w:val="20"/>
                                <w:szCs w:val="20"/>
                              </w:rPr>
                            </w:pPr>
                          </w:p>
                          <w:p w14:paraId="1C762635" w14:textId="556F20D8" w:rsidR="006A17EF" w:rsidRPr="006A17EF" w:rsidRDefault="006A17EF" w:rsidP="006A17EF">
                            <w:pPr>
                              <w:jc w:val="center"/>
                              <w:rPr>
                                <w:sz w:val="20"/>
                                <w:szCs w:val="20"/>
                              </w:rPr>
                            </w:pPr>
                            <w:r w:rsidRPr="006A17EF">
                              <w:rPr>
                                <w:sz w:val="20"/>
                                <w:szCs w:val="20"/>
                              </w:rPr>
                              <w:t>Total number of women made redundant while pregnant including ‘voluntary’ redundancies =  Total number of new and expectant mothers employed in workplaces with more than 1 employee x Proportion of all mothers reported being made redundant whilst pregnant</w:t>
                            </w:r>
                          </w:p>
                          <w:p w14:paraId="7BA46DDB" w14:textId="77777777" w:rsidR="006A17EF" w:rsidRPr="006A17EF" w:rsidRDefault="006A17EF" w:rsidP="006A17EF">
                            <w:pPr>
                              <w:jc w:val="center"/>
                              <w:rPr>
                                <w:sz w:val="20"/>
                                <w:szCs w:val="20"/>
                              </w:rPr>
                            </w:pPr>
                          </w:p>
                          <w:p w14:paraId="6E176A02" w14:textId="07D995F0" w:rsidR="006A17EF" w:rsidRPr="006A17EF" w:rsidRDefault="006A17EF" w:rsidP="006A17EF">
                            <w:pPr>
                              <w:jc w:val="center"/>
                              <w:rPr>
                                <w:sz w:val="20"/>
                                <w:szCs w:val="20"/>
                              </w:rPr>
                            </w:pPr>
                            <w:r w:rsidRPr="006A17EF">
                              <w:rPr>
                                <w:sz w:val="20"/>
                                <w:szCs w:val="20"/>
                              </w:rPr>
                              <w:t>= 48</w:t>
                            </w:r>
                            <w:r w:rsidR="00514805">
                              <w:rPr>
                                <w:sz w:val="20"/>
                                <w:szCs w:val="20"/>
                              </w:rPr>
                              <w:t>8</w:t>
                            </w:r>
                            <w:r w:rsidRPr="006A17EF">
                              <w:rPr>
                                <w:sz w:val="20"/>
                                <w:szCs w:val="20"/>
                              </w:rPr>
                              <w:t>,</w:t>
                            </w:r>
                            <w:r w:rsidR="00514805">
                              <w:rPr>
                                <w:sz w:val="20"/>
                                <w:szCs w:val="20"/>
                              </w:rPr>
                              <w:t>9</w:t>
                            </w:r>
                            <w:r w:rsidRPr="006A17EF">
                              <w:rPr>
                                <w:sz w:val="20"/>
                                <w:szCs w:val="20"/>
                              </w:rPr>
                              <w:t xml:space="preserve">00 x </w:t>
                            </w:r>
                            <w:r w:rsidRPr="006027E7">
                              <w:rPr>
                                <w:b/>
                                <w:bCs/>
                                <w:sz w:val="20"/>
                                <w:szCs w:val="20"/>
                              </w:rPr>
                              <w:t>1%</w:t>
                            </w:r>
                            <w:r w:rsidRPr="006A17EF">
                              <w:rPr>
                                <w:sz w:val="20"/>
                                <w:szCs w:val="20"/>
                              </w:rPr>
                              <w:t xml:space="preserve"> = 4,900</w:t>
                            </w:r>
                          </w:p>
                          <w:p w14:paraId="08F05F29" w14:textId="10A4C715" w:rsidR="006A17EF" w:rsidRPr="006A17EF" w:rsidRDefault="006A17EF" w:rsidP="006027E7">
                            <w:pPr>
                              <w:rPr>
                                <w:sz w:val="20"/>
                                <w:szCs w:val="20"/>
                              </w:rPr>
                            </w:pPr>
                          </w:p>
                          <w:p w14:paraId="7CC9EC33" w14:textId="6681A95C" w:rsidR="006A17EF" w:rsidRPr="006A17EF" w:rsidRDefault="006A17EF" w:rsidP="006A17EF">
                            <w:pPr>
                              <w:jc w:val="center"/>
                              <w:rPr>
                                <w:sz w:val="20"/>
                                <w:szCs w:val="20"/>
                              </w:rPr>
                            </w:pPr>
                            <w:r w:rsidRPr="006A17EF">
                              <w:rPr>
                                <w:sz w:val="20"/>
                                <w:szCs w:val="20"/>
                              </w:rPr>
                              <w:t>Women who would be protected from redundancy while pregnant excluding voluntary redundancies =</w:t>
                            </w:r>
                          </w:p>
                          <w:p w14:paraId="69775809" w14:textId="77777777" w:rsidR="006A17EF" w:rsidRPr="006A17EF" w:rsidRDefault="006A17EF" w:rsidP="006A17EF">
                            <w:pPr>
                              <w:jc w:val="center"/>
                              <w:rPr>
                                <w:sz w:val="20"/>
                                <w:szCs w:val="20"/>
                              </w:rPr>
                            </w:pPr>
                            <w:r w:rsidRPr="006A17EF">
                              <w:rPr>
                                <w:sz w:val="20"/>
                                <w:szCs w:val="20"/>
                              </w:rPr>
                              <w:t>Total number of women made redundant while pregnant including 'voluntary' redundancies x Share of new and expectant mothers were made redundant where no alternative position offered/lower level</w:t>
                            </w:r>
                          </w:p>
                          <w:p w14:paraId="227946AF" w14:textId="77777777" w:rsidR="006A17EF" w:rsidRPr="006A17EF" w:rsidRDefault="006A17EF" w:rsidP="006A17EF">
                            <w:pPr>
                              <w:jc w:val="center"/>
                              <w:rPr>
                                <w:sz w:val="20"/>
                                <w:szCs w:val="20"/>
                              </w:rPr>
                            </w:pPr>
                          </w:p>
                          <w:p w14:paraId="21997341" w14:textId="77777777" w:rsidR="006A17EF" w:rsidRPr="006A17EF" w:rsidRDefault="006A17EF" w:rsidP="006A17EF">
                            <w:pPr>
                              <w:jc w:val="center"/>
                              <w:rPr>
                                <w:sz w:val="20"/>
                                <w:szCs w:val="20"/>
                              </w:rPr>
                            </w:pPr>
                            <w:r w:rsidRPr="006A17EF">
                              <w:rPr>
                                <w:sz w:val="20"/>
                                <w:szCs w:val="20"/>
                              </w:rPr>
                              <w:t>= 4,900 x 73% = 3,600</w:t>
                            </w:r>
                          </w:p>
                          <w:p w14:paraId="16E749A0" w14:textId="77777777" w:rsidR="006A17EF" w:rsidRPr="006A17EF" w:rsidRDefault="006A17EF" w:rsidP="006A17EF">
                            <w:pPr>
                              <w:jc w:val="center"/>
                              <w:rPr>
                                <w:sz w:val="20"/>
                                <w:szCs w:val="20"/>
                              </w:rPr>
                            </w:pPr>
                          </w:p>
                          <w:p w14:paraId="42003DC4" w14:textId="4FCA9D6E" w:rsidR="006A17EF" w:rsidRPr="00EE34D0" w:rsidRDefault="006A17EF" w:rsidP="006A17EF">
                            <w:pPr>
                              <w:jc w:val="center"/>
                              <w:rPr>
                                <w:sz w:val="20"/>
                                <w:szCs w:val="20"/>
                              </w:rPr>
                            </w:pPr>
                            <w:r w:rsidRPr="006A17EF">
                              <w:rPr>
                                <w:sz w:val="20"/>
                                <w:szCs w:val="20"/>
                              </w:rPr>
                              <w:t>Women who would be protected from redundancy while pregnant excluding voluntary redundancies (</w:t>
                            </w:r>
                            <w:r w:rsidR="001362ED">
                              <w:rPr>
                                <w:sz w:val="20"/>
                                <w:szCs w:val="20"/>
                              </w:rPr>
                              <w:t>e</w:t>
                            </w:r>
                            <w:r w:rsidRPr="006A17EF">
                              <w:rPr>
                                <w:sz w:val="20"/>
                                <w:szCs w:val="20"/>
                              </w:rPr>
                              <w:t xml:space="preserve">xcluding </w:t>
                            </w:r>
                            <w:r w:rsidRPr="00EE34D0">
                              <w:rPr>
                                <w:sz w:val="20"/>
                                <w:szCs w:val="20"/>
                              </w:rPr>
                              <w:t>bankruptcy/closure cases/offshoring/relocation) =</w:t>
                            </w:r>
                          </w:p>
                          <w:p w14:paraId="1E4E5C5A" w14:textId="77777777" w:rsidR="006A17EF" w:rsidRPr="00EE34D0" w:rsidRDefault="006A17EF" w:rsidP="004C2F9E">
                            <w:pPr>
                              <w:jc w:val="center"/>
                              <w:rPr>
                                <w:sz w:val="20"/>
                                <w:szCs w:val="20"/>
                              </w:rPr>
                            </w:pPr>
                            <w:r w:rsidRPr="00EE34D0">
                              <w:rPr>
                                <w:sz w:val="20"/>
                                <w:szCs w:val="20"/>
                              </w:rPr>
                              <w:t>Women who would be protected from redundancy while pregnant excluding voluntary redundancies x Percentage of job losses not due to bankruptcy/closure/offshoring/relocation</w:t>
                            </w:r>
                          </w:p>
                          <w:p w14:paraId="3F399B7F" w14:textId="77777777" w:rsidR="006A17EF" w:rsidRPr="00EE34D0" w:rsidRDefault="006A17EF" w:rsidP="004C2F9E">
                            <w:pPr>
                              <w:jc w:val="center"/>
                              <w:rPr>
                                <w:sz w:val="20"/>
                                <w:szCs w:val="20"/>
                              </w:rPr>
                            </w:pPr>
                          </w:p>
                          <w:p w14:paraId="76EEB2CB" w14:textId="200F36D3" w:rsidR="006A17EF" w:rsidRPr="00EE34D0" w:rsidRDefault="006A17EF" w:rsidP="004C2F9E">
                            <w:pPr>
                              <w:jc w:val="center"/>
                              <w:rPr>
                                <w:sz w:val="20"/>
                                <w:szCs w:val="20"/>
                              </w:rPr>
                            </w:pPr>
                            <w:r w:rsidRPr="00EE34D0">
                              <w:rPr>
                                <w:sz w:val="20"/>
                                <w:szCs w:val="20"/>
                              </w:rPr>
                              <w:t xml:space="preserve">= 3,600 x 69% = </w:t>
                            </w:r>
                            <w:r w:rsidRPr="004C2F9E">
                              <w:rPr>
                                <w:b/>
                                <w:bCs/>
                                <w:sz w:val="20"/>
                                <w:szCs w:val="20"/>
                              </w:rPr>
                              <w:t>2,500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0337F0" id="_x0000_t202" coordsize="21600,21600" o:spt="202" path="m,l,21600r21600,l21600,xe">
                <v:stroke joinstyle="miter"/>
                <v:path gradientshapeok="t" o:connecttype="rect"/>
              </v:shapetype>
              <v:shape id="_x0000_s1026" type="#_x0000_t202" style="position:absolute;margin-left:264.2pt;margin-top:24.5pt;width:218.25pt;height:433.5pt;z-index:251658243;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BIeEQIAACAEAAAOAAAAZHJzL2Uyb0RvYy54bWysU1Fv0zAQfkfiP1h+p0mrhm5R02l0FCGN&#10;gTT4Aa7jNBaOz5zdJuXXc3a6rhrwgvCD5fOdP999993yZugMOyj0GmzFp5OcM2Ul1NruKv7t6+bN&#10;FWc+CFsLA1ZV/Kg8v1m9frXsXalm0IKpFTICsb7sXcXbEFyZZV62qhN+Ak5ZcjaAnQhk4i6rUfSE&#10;3plsludvsx6wdghSeU+3d6OTrxJ+0ygZPjeNV4GZilNuIe2Y9m3cs9VSlDsUrtXylIb4hyw6oS19&#10;eoa6E0GwPerfoDotETw0YSKhy6BptFSpBqpmmr+o5rEVTqVaiBzvzjT5/wcrHw6P7guyMLyDgRqY&#10;ivDuHuR3zyysW2F36hYR+laJmj6eRsqy3vny9DRS7UsfQbb9J6ipyWIfIAENDXaRFaqTETo14Hgm&#10;XQ2BSbqcLRbTxaLgTJKvKPJiXqS2ZKJ8eu7Qhw8KOhYPFUfqaoIXh3sfYjqifAqJv3kwut5oY5KB&#10;u+3aIDsIUsAmrVTBizBjWV/x62JWjAz8FSJP608QnQ4kZaO7il+dg0QZeXtv6yS0ILQZz5SysSci&#10;I3cji2HYDhQYCd1CfSRKEUbJ0ojRoQX8yVlPcq24/7EXqDgzHy215Xo6n0d9J2NeLGZk4KVne+kR&#10;VhJUxQNn43Ed0kxEwizcUvsanYh9zuSUK8kw8X0amajzSztFPQ/26hcAAAD//wMAUEsDBBQABgAI&#10;AAAAIQCSWjX84AAAAAoBAAAPAAAAZHJzL2Rvd25yZXYueG1sTI/BTsMwDIbvSLxDZCQuiKUbpbSl&#10;6YSQQOwGA8E1a7y2onFKknXl7TEnuNnyp9/fX61nO4gJfegdKVguEhBIjTM9tQreXh8ucxAhajJ6&#10;cIQKvjHAuj49qXRp3JFecNrGVnAIhVIr6GIcSylD06HVYeFGJL7tnbc68upbabw+crgd5CpJMml1&#10;T/yh0yPed9h8bg9WQZ4+TR9hc/X83mT7oYgXN9Pjl1fq/Gy+uwURcY5/MPzqszrU7LRzBzJBDAqu&#10;V3nKqIK04E4MFFlagNjxsMwSkHUl/1eofwAAAP//AwBQSwECLQAUAAYACAAAACEAtoM4kv4AAADh&#10;AQAAEwAAAAAAAAAAAAAAAAAAAAAAW0NvbnRlbnRfVHlwZXNdLnhtbFBLAQItABQABgAIAAAAIQA4&#10;/SH/1gAAAJQBAAALAAAAAAAAAAAAAAAAAC8BAABfcmVscy8ucmVsc1BLAQItABQABgAIAAAAIQBY&#10;qBIeEQIAACAEAAAOAAAAAAAAAAAAAAAAAC4CAABkcnMvZTJvRG9jLnhtbFBLAQItABQABgAIAAAA&#10;IQCSWjX84AAAAAoBAAAPAAAAAAAAAAAAAAAAAGsEAABkcnMvZG93bnJldi54bWxQSwUGAAAAAAQA&#10;BADzAAAAeAUAAAAA&#10;">
                <v:textbox>
                  <w:txbxContent>
                    <w:p w14:paraId="5FA74CD0" w14:textId="5BDCB6ED" w:rsidR="00FE319D" w:rsidRPr="00153B32" w:rsidRDefault="00FE319D" w:rsidP="00FE319D">
                      <w:pPr>
                        <w:jc w:val="center"/>
                        <w:rPr>
                          <w:b/>
                          <w:bCs/>
                          <w:sz w:val="20"/>
                          <w:szCs w:val="20"/>
                        </w:rPr>
                      </w:pPr>
                      <w:r>
                        <w:rPr>
                          <w:b/>
                          <w:bCs/>
                          <w:sz w:val="20"/>
                          <w:szCs w:val="20"/>
                        </w:rPr>
                        <w:t xml:space="preserve">Protection </w:t>
                      </w:r>
                      <w:r w:rsidR="00A96A8D">
                        <w:rPr>
                          <w:b/>
                          <w:bCs/>
                          <w:sz w:val="20"/>
                          <w:szCs w:val="20"/>
                        </w:rPr>
                        <w:t>while pregnant</w:t>
                      </w:r>
                    </w:p>
                    <w:p w14:paraId="234BD4DD" w14:textId="77777777" w:rsidR="00644944" w:rsidRDefault="00644944" w:rsidP="006A17EF">
                      <w:pPr>
                        <w:jc w:val="center"/>
                        <w:rPr>
                          <w:sz w:val="20"/>
                          <w:szCs w:val="20"/>
                        </w:rPr>
                      </w:pPr>
                    </w:p>
                    <w:p w14:paraId="1C762635" w14:textId="556F20D8" w:rsidR="006A17EF" w:rsidRPr="006A17EF" w:rsidRDefault="006A17EF" w:rsidP="006A17EF">
                      <w:pPr>
                        <w:jc w:val="center"/>
                        <w:rPr>
                          <w:sz w:val="20"/>
                          <w:szCs w:val="20"/>
                        </w:rPr>
                      </w:pPr>
                      <w:r w:rsidRPr="006A17EF">
                        <w:rPr>
                          <w:sz w:val="20"/>
                          <w:szCs w:val="20"/>
                        </w:rPr>
                        <w:t>Total number of women made redundant while pregnant including ‘voluntary’ redundancies =  Total number of new and expectant mothers employed in workplaces with more than 1 employee x Proportion of all mothers reported being made redundant whilst pregnant</w:t>
                      </w:r>
                    </w:p>
                    <w:p w14:paraId="7BA46DDB" w14:textId="77777777" w:rsidR="006A17EF" w:rsidRPr="006A17EF" w:rsidRDefault="006A17EF" w:rsidP="006A17EF">
                      <w:pPr>
                        <w:jc w:val="center"/>
                        <w:rPr>
                          <w:sz w:val="20"/>
                          <w:szCs w:val="20"/>
                        </w:rPr>
                      </w:pPr>
                    </w:p>
                    <w:p w14:paraId="6E176A02" w14:textId="07D995F0" w:rsidR="006A17EF" w:rsidRPr="006A17EF" w:rsidRDefault="006A17EF" w:rsidP="006A17EF">
                      <w:pPr>
                        <w:jc w:val="center"/>
                        <w:rPr>
                          <w:sz w:val="20"/>
                          <w:szCs w:val="20"/>
                        </w:rPr>
                      </w:pPr>
                      <w:r w:rsidRPr="006A17EF">
                        <w:rPr>
                          <w:sz w:val="20"/>
                          <w:szCs w:val="20"/>
                        </w:rPr>
                        <w:t>= 48</w:t>
                      </w:r>
                      <w:r w:rsidR="00514805">
                        <w:rPr>
                          <w:sz w:val="20"/>
                          <w:szCs w:val="20"/>
                        </w:rPr>
                        <w:t>8</w:t>
                      </w:r>
                      <w:r w:rsidRPr="006A17EF">
                        <w:rPr>
                          <w:sz w:val="20"/>
                          <w:szCs w:val="20"/>
                        </w:rPr>
                        <w:t>,</w:t>
                      </w:r>
                      <w:r w:rsidR="00514805">
                        <w:rPr>
                          <w:sz w:val="20"/>
                          <w:szCs w:val="20"/>
                        </w:rPr>
                        <w:t>9</w:t>
                      </w:r>
                      <w:r w:rsidRPr="006A17EF">
                        <w:rPr>
                          <w:sz w:val="20"/>
                          <w:szCs w:val="20"/>
                        </w:rPr>
                        <w:t xml:space="preserve">00 x </w:t>
                      </w:r>
                      <w:r w:rsidRPr="006027E7">
                        <w:rPr>
                          <w:b/>
                          <w:bCs/>
                          <w:sz w:val="20"/>
                          <w:szCs w:val="20"/>
                        </w:rPr>
                        <w:t>1%</w:t>
                      </w:r>
                      <w:r w:rsidRPr="006A17EF">
                        <w:rPr>
                          <w:sz w:val="20"/>
                          <w:szCs w:val="20"/>
                        </w:rPr>
                        <w:t xml:space="preserve"> = 4,900</w:t>
                      </w:r>
                    </w:p>
                    <w:p w14:paraId="08F05F29" w14:textId="10A4C715" w:rsidR="006A17EF" w:rsidRPr="006A17EF" w:rsidRDefault="006A17EF" w:rsidP="006027E7">
                      <w:pPr>
                        <w:rPr>
                          <w:sz w:val="20"/>
                          <w:szCs w:val="20"/>
                        </w:rPr>
                      </w:pPr>
                    </w:p>
                    <w:p w14:paraId="7CC9EC33" w14:textId="6681A95C" w:rsidR="006A17EF" w:rsidRPr="006A17EF" w:rsidRDefault="006A17EF" w:rsidP="006A17EF">
                      <w:pPr>
                        <w:jc w:val="center"/>
                        <w:rPr>
                          <w:sz w:val="20"/>
                          <w:szCs w:val="20"/>
                        </w:rPr>
                      </w:pPr>
                      <w:r w:rsidRPr="006A17EF">
                        <w:rPr>
                          <w:sz w:val="20"/>
                          <w:szCs w:val="20"/>
                        </w:rPr>
                        <w:t>Women who would be protected from redundancy while pregnant excluding voluntary redundancies =</w:t>
                      </w:r>
                    </w:p>
                    <w:p w14:paraId="69775809" w14:textId="77777777" w:rsidR="006A17EF" w:rsidRPr="006A17EF" w:rsidRDefault="006A17EF" w:rsidP="006A17EF">
                      <w:pPr>
                        <w:jc w:val="center"/>
                        <w:rPr>
                          <w:sz w:val="20"/>
                          <w:szCs w:val="20"/>
                        </w:rPr>
                      </w:pPr>
                      <w:r w:rsidRPr="006A17EF">
                        <w:rPr>
                          <w:sz w:val="20"/>
                          <w:szCs w:val="20"/>
                        </w:rPr>
                        <w:t>Total number of women made redundant while pregnant including 'voluntary' redundancies x Share of new and expectant mothers were made redundant where no alternative position offered/lower level</w:t>
                      </w:r>
                    </w:p>
                    <w:p w14:paraId="227946AF" w14:textId="77777777" w:rsidR="006A17EF" w:rsidRPr="006A17EF" w:rsidRDefault="006A17EF" w:rsidP="006A17EF">
                      <w:pPr>
                        <w:jc w:val="center"/>
                        <w:rPr>
                          <w:sz w:val="20"/>
                          <w:szCs w:val="20"/>
                        </w:rPr>
                      </w:pPr>
                    </w:p>
                    <w:p w14:paraId="21997341" w14:textId="77777777" w:rsidR="006A17EF" w:rsidRPr="006A17EF" w:rsidRDefault="006A17EF" w:rsidP="006A17EF">
                      <w:pPr>
                        <w:jc w:val="center"/>
                        <w:rPr>
                          <w:sz w:val="20"/>
                          <w:szCs w:val="20"/>
                        </w:rPr>
                      </w:pPr>
                      <w:r w:rsidRPr="006A17EF">
                        <w:rPr>
                          <w:sz w:val="20"/>
                          <w:szCs w:val="20"/>
                        </w:rPr>
                        <w:t>= 4,900 x 73% = 3,600</w:t>
                      </w:r>
                    </w:p>
                    <w:p w14:paraId="16E749A0" w14:textId="77777777" w:rsidR="006A17EF" w:rsidRPr="006A17EF" w:rsidRDefault="006A17EF" w:rsidP="006A17EF">
                      <w:pPr>
                        <w:jc w:val="center"/>
                        <w:rPr>
                          <w:sz w:val="20"/>
                          <w:szCs w:val="20"/>
                        </w:rPr>
                      </w:pPr>
                    </w:p>
                    <w:p w14:paraId="42003DC4" w14:textId="4FCA9D6E" w:rsidR="006A17EF" w:rsidRPr="00EE34D0" w:rsidRDefault="006A17EF" w:rsidP="006A17EF">
                      <w:pPr>
                        <w:jc w:val="center"/>
                        <w:rPr>
                          <w:sz w:val="20"/>
                          <w:szCs w:val="20"/>
                        </w:rPr>
                      </w:pPr>
                      <w:r w:rsidRPr="006A17EF">
                        <w:rPr>
                          <w:sz w:val="20"/>
                          <w:szCs w:val="20"/>
                        </w:rPr>
                        <w:t>Women who would be protected from redundancy while pregnant excluding voluntary redundancies (</w:t>
                      </w:r>
                      <w:r w:rsidR="001362ED">
                        <w:rPr>
                          <w:sz w:val="20"/>
                          <w:szCs w:val="20"/>
                        </w:rPr>
                        <w:t>e</w:t>
                      </w:r>
                      <w:r w:rsidRPr="006A17EF">
                        <w:rPr>
                          <w:sz w:val="20"/>
                          <w:szCs w:val="20"/>
                        </w:rPr>
                        <w:t xml:space="preserve">xcluding </w:t>
                      </w:r>
                      <w:r w:rsidRPr="00EE34D0">
                        <w:rPr>
                          <w:sz w:val="20"/>
                          <w:szCs w:val="20"/>
                        </w:rPr>
                        <w:t>bankruptcy/closure cases/offshoring/relocation) =</w:t>
                      </w:r>
                    </w:p>
                    <w:p w14:paraId="1E4E5C5A" w14:textId="77777777" w:rsidR="006A17EF" w:rsidRPr="00EE34D0" w:rsidRDefault="006A17EF" w:rsidP="004C2F9E">
                      <w:pPr>
                        <w:jc w:val="center"/>
                        <w:rPr>
                          <w:sz w:val="20"/>
                          <w:szCs w:val="20"/>
                        </w:rPr>
                      </w:pPr>
                      <w:r w:rsidRPr="00EE34D0">
                        <w:rPr>
                          <w:sz w:val="20"/>
                          <w:szCs w:val="20"/>
                        </w:rPr>
                        <w:t>Women who would be protected from redundancy while pregnant excluding voluntary redundancies x Percentage of job losses not due to bankruptcy/closure/offshoring/relocation</w:t>
                      </w:r>
                    </w:p>
                    <w:p w14:paraId="3F399B7F" w14:textId="77777777" w:rsidR="006A17EF" w:rsidRPr="00EE34D0" w:rsidRDefault="006A17EF" w:rsidP="004C2F9E">
                      <w:pPr>
                        <w:jc w:val="center"/>
                        <w:rPr>
                          <w:sz w:val="20"/>
                          <w:szCs w:val="20"/>
                        </w:rPr>
                      </w:pPr>
                    </w:p>
                    <w:p w14:paraId="76EEB2CB" w14:textId="200F36D3" w:rsidR="006A17EF" w:rsidRPr="00EE34D0" w:rsidRDefault="006A17EF" w:rsidP="004C2F9E">
                      <w:pPr>
                        <w:jc w:val="center"/>
                        <w:rPr>
                          <w:sz w:val="20"/>
                          <w:szCs w:val="20"/>
                        </w:rPr>
                      </w:pPr>
                      <w:r w:rsidRPr="00EE34D0">
                        <w:rPr>
                          <w:sz w:val="20"/>
                          <w:szCs w:val="20"/>
                        </w:rPr>
                        <w:t xml:space="preserve">= 3,600 x 69% = </w:t>
                      </w:r>
                      <w:r w:rsidRPr="004C2F9E">
                        <w:rPr>
                          <w:b/>
                          <w:bCs/>
                          <w:sz w:val="20"/>
                          <w:szCs w:val="20"/>
                        </w:rPr>
                        <w:t>2,500</w:t>
                      </w:r>
                    </w:p>
                  </w:txbxContent>
                </v:textbox>
                <w10:wrap type="square"/>
              </v:shape>
            </w:pict>
          </mc:Fallback>
        </mc:AlternateContent>
      </w:r>
      <w:r w:rsidRPr="00E639A0">
        <w:rPr>
          <w:rFonts w:cs="Arial"/>
          <w:noProof/>
        </w:rPr>
        <mc:AlternateContent>
          <mc:Choice Requires="wps">
            <w:drawing>
              <wp:anchor distT="45720" distB="45720" distL="114300" distR="114300" simplePos="0" relativeHeight="251658242" behindDoc="0" locked="0" layoutInCell="1" allowOverlap="1" wp14:anchorId="15B6563E" wp14:editId="0D62917D">
                <wp:simplePos x="0" y="0"/>
                <wp:positionH relativeFrom="column">
                  <wp:posOffset>488315</wp:posOffset>
                </wp:positionH>
                <wp:positionV relativeFrom="paragraph">
                  <wp:posOffset>311150</wp:posOffset>
                </wp:positionV>
                <wp:extent cx="2816225" cy="5505450"/>
                <wp:effectExtent l="0" t="0" r="2222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6225" cy="5505450"/>
                        </a:xfrm>
                        <a:prstGeom prst="rect">
                          <a:avLst/>
                        </a:prstGeom>
                        <a:solidFill>
                          <a:srgbClr val="FFFFFF"/>
                        </a:solidFill>
                        <a:ln w="9525">
                          <a:solidFill>
                            <a:srgbClr val="000000"/>
                          </a:solidFill>
                          <a:miter lim="800000"/>
                          <a:headEnd/>
                          <a:tailEnd/>
                        </a:ln>
                      </wps:spPr>
                      <wps:txbx>
                        <w:txbxContent>
                          <w:p w14:paraId="55F2577C" w14:textId="5FBD83F4" w:rsidR="00153B32" w:rsidRPr="00153B32" w:rsidRDefault="00FE319D" w:rsidP="006027E7">
                            <w:pPr>
                              <w:jc w:val="center"/>
                              <w:rPr>
                                <w:b/>
                                <w:bCs/>
                                <w:sz w:val="20"/>
                                <w:szCs w:val="20"/>
                              </w:rPr>
                            </w:pPr>
                            <w:r>
                              <w:rPr>
                                <w:b/>
                                <w:bCs/>
                                <w:sz w:val="20"/>
                                <w:szCs w:val="20"/>
                              </w:rPr>
                              <w:t>Protection on r</w:t>
                            </w:r>
                            <w:r w:rsidR="00153B32" w:rsidRPr="00153B32">
                              <w:rPr>
                                <w:b/>
                                <w:bCs/>
                                <w:sz w:val="20"/>
                                <w:szCs w:val="20"/>
                              </w:rPr>
                              <w:t>eturn from Maternity Leave</w:t>
                            </w:r>
                          </w:p>
                          <w:p w14:paraId="76632AD5" w14:textId="77777777" w:rsidR="00644944" w:rsidRDefault="00644944" w:rsidP="006027E7">
                            <w:pPr>
                              <w:jc w:val="center"/>
                              <w:rPr>
                                <w:sz w:val="20"/>
                                <w:szCs w:val="20"/>
                              </w:rPr>
                            </w:pPr>
                          </w:p>
                          <w:p w14:paraId="3C7238EF" w14:textId="69A83E19" w:rsidR="006027E7" w:rsidRPr="006027E7" w:rsidRDefault="006027E7" w:rsidP="006027E7">
                            <w:pPr>
                              <w:jc w:val="center"/>
                              <w:rPr>
                                <w:sz w:val="20"/>
                                <w:szCs w:val="20"/>
                              </w:rPr>
                            </w:pPr>
                            <w:r w:rsidRPr="006027E7">
                              <w:rPr>
                                <w:sz w:val="20"/>
                                <w:szCs w:val="20"/>
                              </w:rPr>
                              <w:t>Total number of women made redundant on return from maternity leave including 'voluntary' redundancies = Total number of new and expectant mothers employed in workplaces with more than 1 employee x Proportion of all mothers reported being made redundant on return from maternity leave</w:t>
                            </w:r>
                          </w:p>
                          <w:p w14:paraId="04FF0E6E" w14:textId="77777777" w:rsidR="006027E7" w:rsidRPr="006027E7" w:rsidRDefault="006027E7" w:rsidP="006027E7">
                            <w:pPr>
                              <w:jc w:val="center"/>
                              <w:rPr>
                                <w:sz w:val="20"/>
                                <w:szCs w:val="20"/>
                              </w:rPr>
                            </w:pPr>
                          </w:p>
                          <w:p w14:paraId="4EE4E849" w14:textId="206C5F38" w:rsidR="006027E7" w:rsidRDefault="006027E7" w:rsidP="006027E7">
                            <w:pPr>
                              <w:jc w:val="center"/>
                              <w:rPr>
                                <w:sz w:val="20"/>
                                <w:szCs w:val="20"/>
                              </w:rPr>
                            </w:pPr>
                            <w:r w:rsidRPr="006027E7">
                              <w:rPr>
                                <w:sz w:val="20"/>
                                <w:szCs w:val="20"/>
                              </w:rPr>
                              <w:t>= 48</w:t>
                            </w:r>
                            <w:r w:rsidR="00E85E14">
                              <w:rPr>
                                <w:sz w:val="20"/>
                                <w:szCs w:val="20"/>
                              </w:rPr>
                              <w:t>8</w:t>
                            </w:r>
                            <w:r w:rsidRPr="006027E7">
                              <w:rPr>
                                <w:sz w:val="20"/>
                                <w:szCs w:val="20"/>
                              </w:rPr>
                              <w:t>,</w:t>
                            </w:r>
                            <w:r w:rsidR="00E85E14">
                              <w:rPr>
                                <w:sz w:val="20"/>
                                <w:szCs w:val="20"/>
                              </w:rPr>
                              <w:t>9</w:t>
                            </w:r>
                            <w:r w:rsidRPr="006027E7">
                              <w:rPr>
                                <w:sz w:val="20"/>
                                <w:szCs w:val="20"/>
                              </w:rPr>
                              <w:t xml:space="preserve">00 x </w:t>
                            </w:r>
                            <w:r w:rsidRPr="006027E7">
                              <w:rPr>
                                <w:b/>
                                <w:bCs/>
                                <w:sz w:val="20"/>
                                <w:szCs w:val="20"/>
                              </w:rPr>
                              <w:t>2%</w:t>
                            </w:r>
                            <w:r w:rsidRPr="006027E7">
                              <w:rPr>
                                <w:sz w:val="20"/>
                                <w:szCs w:val="20"/>
                              </w:rPr>
                              <w:t xml:space="preserve"> = 9,800</w:t>
                            </w:r>
                          </w:p>
                          <w:p w14:paraId="0558329B" w14:textId="77777777" w:rsidR="006027E7" w:rsidRDefault="006027E7" w:rsidP="006A17EF">
                            <w:pPr>
                              <w:jc w:val="center"/>
                              <w:rPr>
                                <w:sz w:val="20"/>
                                <w:szCs w:val="20"/>
                              </w:rPr>
                            </w:pPr>
                          </w:p>
                          <w:p w14:paraId="13A73B0C" w14:textId="3EB01D13" w:rsidR="009D091D" w:rsidRPr="009D091D" w:rsidRDefault="009D091D" w:rsidP="006A17EF">
                            <w:pPr>
                              <w:jc w:val="center"/>
                              <w:rPr>
                                <w:sz w:val="20"/>
                                <w:szCs w:val="20"/>
                              </w:rPr>
                            </w:pPr>
                            <w:r w:rsidRPr="009D091D">
                              <w:rPr>
                                <w:sz w:val="20"/>
                                <w:szCs w:val="20"/>
                              </w:rPr>
                              <w:t>Women who would be protected from redundancy on return from maternity leave excluding voluntary redundancies = Total number of women made redundant on return from maternity leave including 'voluntary' redundancies x Share of new and expectant mothers were made redundant where no alternative position offered/lower level</w:t>
                            </w:r>
                          </w:p>
                          <w:p w14:paraId="1190F26F" w14:textId="77777777" w:rsidR="009D091D" w:rsidRPr="009D091D" w:rsidRDefault="009D091D" w:rsidP="006A17EF">
                            <w:pPr>
                              <w:jc w:val="center"/>
                              <w:rPr>
                                <w:sz w:val="20"/>
                                <w:szCs w:val="20"/>
                              </w:rPr>
                            </w:pPr>
                          </w:p>
                          <w:p w14:paraId="00B15336" w14:textId="77777777" w:rsidR="009D091D" w:rsidRPr="009D091D" w:rsidRDefault="009D091D" w:rsidP="006A17EF">
                            <w:pPr>
                              <w:jc w:val="center"/>
                              <w:rPr>
                                <w:sz w:val="20"/>
                                <w:szCs w:val="20"/>
                              </w:rPr>
                            </w:pPr>
                            <w:r w:rsidRPr="009D091D">
                              <w:rPr>
                                <w:sz w:val="20"/>
                                <w:szCs w:val="20"/>
                              </w:rPr>
                              <w:t>= 9,800 x 73% = 7,100</w:t>
                            </w:r>
                          </w:p>
                          <w:p w14:paraId="39DD8757" w14:textId="77777777" w:rsidR="009D091D" w:rsidRPr="009D091D" w:rsidRDefault="009D091D" w:rsidP="006A17EF">
                            <w:pPr>
                              <w:jc w:val="center"/>
                              <w:rPr>
                                <w:sz w:val="20"/>
                                <w:szCs w:val="20"/>
                              </w:rPr>
                            </w:pPr>
                          </w:p>
                          <w:p w14:paraId="16B19F67" w14:textId="2AB9B915" w:rsidR="009D091D" w:rsidRPr="009D091D" w:rsidRDefault="009D091D" w:rsidP="006A17EF">
                            <w:pPr>
                              <w:jc w:val="center"/>
                              <w:rPr>
                                <w:sz w:val="20"/>
                                <w:szCs w:val="20"/>
                              </w:rPr>
                            </w:pPr>
                            <w:r w:rsidRPr="009D091D">
                              <w:rPr>
                                <w:sz w:val="20"/>
                                <w:szCs w:val="20"/>
                              </w:rPr>
                              <w:t>Women who would be protected from redundancy on return from maternity leave excluding voluntary redundancies (</w:t>
                            </w:r>
                            <w:r w:rsidR="005044C4">
                              <w:rPr>
                                <w:sz w:val="20"/>
                                <w:szCs w:val="20"/>
                              </w:rPr>
                              <w:t>e</w:t>
                            </w:r>
                            <w:r w:rsidRPr="009D091D">
                              <w:rPr>
                                <w:sz w:val="20"/>
                                <w:szCs w:val="20"/>
                              </w:rPr>
                              <w:t>xcluding bankruptcy/closure cases/</w:t>
                            </w:r>
                            <w:r w:rsidR="005044C4">
                              <w:rPr>
                                <w:sz w:val="20"/>
                                <w:szCs w:val="20"/>
                              </w:rPr>
                              <w:t>offshoring/</w:t>
                            </w:r>
                            <w:r w:rsidRPr="009D091D">
                              <w:rPr>
                                <w:sz w:val="20"/>
                                <w:szCs w:val="20"/>
                              </w:rPr>
                              <w:t>relocation) =</w:t>
                            </w:r>
                          </w:p>
                          <w:p w14:paraId="373CEA2A" w14:textId="7AF8BC93" w:rsidR="009D091D" w:rsidRPr="009D091D" w:rsidRDefault="009D091D" w:rsidP="006A17EF">
                            <w:pPr>
                              <w:jc w:val="center"/>
                              <w:rPr>
                                <w:sz w:val="20"/>
                                <w:szCs w:val="20"/>
                              </w:rPr>
                            </w:pPr>
                            <w:r w:rsidRPr="009D091D">
                              <w:rPr>
                                <w:sz w:val="20"/>
                                <w:szCs w:val="20"/>
                              </w:rPr>
                              <w:t>Women who would be protected from redundancy on return from maternity leave excluding voluntary redundancies x Percentage of job losses not due to bankruptcy/closure/</w:t>
                            </w:r>
                            <w:r w:rsidR="004C2F9E">
                              <w:rPr>
                                <w:sz w:val="20"/>
                                <w:szCs w:val="20"/>
                              </w:rPr>
                              <w:t>offshoring/</w:t>
                            </w:r>
                            <w:r w:rsidRPr="009D091D">
                              <w:rPr>
                                <w:sz w:val="20"/>
                                <w:szCs w:val="20"/>
                              </w:rPr>
                              <w:t>relocation</w:t>
                            </w:r>
                          </w:p>
                          <w:p w14:paraId="36F02C7E" w14:textId="77777777" w:rsidR="009D091D" w:rsidRPr="009D091D" w:rsidRDefault="009D091D" w:rsidP="006A17EF">
                            <w:pPr>
                              <w:jc w:val="center"/>
                              <w:rPr>
                                <w:sz w:val="20"/>
                                <w:szCs w:val="20"/>
                              </w:rPr>
                            </w:pPr>
                          </w:p>
                          <w:p w14:paraId="7F3BE3CF" w14:textId="72648CD4" w:rsidR="009D091D" w:rsidRPr="004C2F9E" w:rsidRDefault="009D091D" w:rsidP="004C2F9E">
                            <w:pPr>
                              <w:jc w:val="center"/>
                              <w:rPr>
                                <w:sz w:val="20"/>
                                <w:szCs w:val="20"/>
                              </w:rPr>
                            </w:pPr>
                            <w:r w:rsidRPr="009D091D">
                              <w:rPr>
                                <w:sz w:val="20"/>
                                <w:szCs w:val="20"/>
                              </w:rPr>
                              <w:t xml:space="preserve">= 7,100 x 69% = </w:t>
                            </w:r>
                            <w:r w:rsidRPr="004C2F9E">
                              <w:rPr>
                                <w:b/>
                                <w:bCs/>
                                <w:sz w:val="20"/>
                                <w:szCs w:val="20"/>
                              </w:rPr>
                              <w:t>5,000</w:t>
                            </w:r>
                          </w:p>
                          <w:p w14:paraId="223D97BD" w14:textId="0D15AD55" w:rsidR="009D091D" w:rsidRDefault="009D09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B6563E" id="_x0000_s1027" type="#_x0000_t202" style="position:absolute;margin-left:38.45pt;margin-top:24.5pt;width:221.75pt;height:433.5pt;z-index:25165824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GYbEQIAACcEAAAOAAAAZHJzL2Uyb0RvYy54bWysU1Fv0zAQfkfiP1h+p0mjZnRR02l0FCGN&#10;gTT4AY7tNBaOz9huk/LrObtZVw3EA8IPls93/nz33Xerm7HX5CCdV2BqOp/llEjDQSizq+m3r9s3&#10;S0p8YEYwDUbW9Cg9vVm/frUabCUL6EAL6QiCGF8NtqZdCLbKMs872TM/AysNOltwPQtoul0mHBsQ&#10;vddZkedX2QBOWAdceo+3dycnXSf8tpU8fG5bLwPRNcXcQtpd2pu4Z+sVq3aO2U7xKQ32D1n0TBn8&#10;9Ax1xwIje6d+g+oVd+ChDTMOfQZtq7hMNWA18/xFNY8dszLVguR4e6bJ/z9Y/nB4tF8cCeM7GLGB&#10;qQhv74F/98TApmNmJ2+dg6GTTODH80hZNlhfTU8j1b7yEaQZPoHAJrN9gAQ0tq6PrGCdBNGxAccz&#10;6XIMhONlsZxfFUVJCUdfWeblokxtyVj19Nw6Hz5I6Ek81NRhVxM8O9z7ENNh1VNI/M2DVmKrtE6G&#10;2zUb7ciBoQK2aaUKXoRpQ4aaXpeYyN8h8rT+BNGrgFLWqq/p8hzEqsjbeyOS0AJT+nTGlLWZiIzc&#10;nVgMYzMSJSaWI68NiCMy6+CkXJw0PHTgflIyoGpr6n/smZOU6I8Gu3M9XyyizJOxKN8WaLhLT3Pp&#10;YYYjVE0DJafjJqTRiAwYuMUutirx+5zJlDKqMdE+TU6U+6Wdop7ne/0LAAD//wMAUEsDBBQABgAI&#10;AAAAIQATzzYb4AAAAAkBAAAPAAAAZHJzL2Rvd25yZXYueG1sTI/NTsMwEITvSLyDtUhcELVbQtqE&#10;bCqEBIIbtBVc3XibRPgn2G4a3h5zguNoRjPfVOvJaDaSD72zCPOZAEa2caq3LcJu+3i9AhaitEpq&#10;ZwnhmwKs6/OzSpbKnewbjZvYslRiQykRuhiHkvPQdGRkmLmBbPIOzhsZk/QtV16eUrnRfCFEzo3s&#10;bVro5EAPHTWfm6NBWGXP40d4uXl9b/KDLuLVcnz68oiXF9P9HbBIU/wLwy9+Qoc6Me3d0arANMIy&#10;L1ISISvSpeTfLkQGbI9QzHMBvK74/wf1DwAAAP//AwBQSwECLQAUAAYACAAAACEAtoM4kv4AAADh&#10;AQAAEwAAAAAAAAAAAAAAAAAAAAAAW0NvbnRlbnRfVHlwZXNdLnhtbFBLAQItABQABgAIAAAAIQA4&#10;/SH/1gAAAJQBAAALAAAAAAAAAAAAAAAAAC8BAABfcmVscy8ucmVsc1BLAQItABQABgAIAAAAIQDr&#10;IGYbEQIAACcEAAAOAAAAAAAAAAAAAAAAAC4CAABkcnMvZTJvRG9jLnhtbFBLAQItABQABgAIAAAA&#10;IQATzzYb4AAAAAkBAAAPAAAAAAAAAAAAAAAAAGsEAABkcnMvZG93bnJldi54bWxQSwUGAAAAAAQA&#10;BADzAAAAeAUAAAAA&#10;">
                <v:textbox>
                  <w:txbxContent>
                    <w:p w14:paraId="55F2577C" w14:textId="5FBD83F4" w:rsidR="00153B32" w:rsidRPr="00153B32" w:rsidRDefault="00FE319D" w:rsidP="006027E7">
                      <w:pPr>
                        <w:jc w:val="center"/>
                        <w:rPr>
                          <w:b/>
                          <w:bCs/>
                          <w:sz w:val="20"/>
                          <w:szCs w:val="20"/>
                        </w:rPr>
                      </w:pPr>
                      <w:r>
                        <w:rPr>
                          <w:b/>
                          <w:bCs/>
                          <w:sz w:val="20"/>
                          <w:szCs w:val="20"/>
                        </w:rPr>
                        <w:t>Protection on r</w:t>
                      </w:r>
                      <w:r w:rsidR="00153B32" w:rsidRPr="00153B32">
                        <w:rPr>
                          <w:b/>
                          <w:bCs/>
                          <w:sz w:val="20"/>
                          <w:szCs w:val="20"/>
                        </w:rPr>
                        <w:t>eturn from Maternity Leave</w:t>
                      </w:r>
                    </w:p>
                    <w:p w14:paraId="76632AD5" w14:textId="77777777" w:rsidR="00644944" w:rsidRDefault="00644944" w:rsidP="006027E7">
                      <w:pPr>
                        <w:jc w:val="center"/>
                        <w:rPr>
                          <w:sz w:val="20"/>
                          <w:szCs w:val="20"/>
                        </w:rPr>
                      </w:pPr>
                    </w:p>
                    <w:p w14:paraId="3C7238EF" w14:textId="69A83E19" w:rsidR="006027E7" w:rsidRPr="006027E7" w:rsidRDefault="006027E7" w:rsidP="006027E7">
                      <w:pPr>
                        <w:jc w:val="center"/>
                        <w:rPr>
                          <w:sz w:val="20"/>
                          <w:szCs w:val="20"/>
                        </w:rPr>
                      </w:pPr>
                      <w:r w:rsidRPr="006027E7">
                        <w:rPr>
                          <w:sz w:val="20"/>
                          <w:szCs w:val="20"/>
                        </w:rPr>
                        <w:t>Total number of women made redundant on return from maternity leave including 'voluntary' redundancies = Total number of new and expectant mothers employed in workplaces with more than 1 employee x Proportion of all mothers reported being made redundant on return from maternity leave</w:t>
                      </w:r>
                    </w:p>
                    <w:p w14:paraId="04FF0E6E" w14:textId="77777777" w:rsidR="006027E7" w:rsidRPr="006027E7" w:rsidRDefault="006027E7" w:rsidP="006027E7">
                      <w:pPr>
                        <w:jc w:val="center"/>
                        <w:rPr>
                          <w:sz w:val="20"/>
                          <w:szCs w:val="20"/>
                        </w:rPr>
                      </w:pPr>
                    </w:p>
                    <w:p w14:paraId="4EE4E849" w14:textId="206C5F38" w:rsidR="006027E7" w:rsidRDefault="006027E7" w:rsidP="006027E7">
                      <w:pPr>
                        <w:jc w:val="center"/>
                        <w:rPr>
                          <w:sz w:val="20"/>
                          <w:szCs w:val="20"/>
                        </w:rPr>
                      </w:pPr>
                      <w:r w:rsidRPr="006027E7">
                        <w:rPr>
                          <w:sz w:val="20"/>
                          <w:szCs w:val="20"/>
                        </w:rPr>
                        <w:t>= 48</w:t>
                      </w:r>
                      <w:r w:rsidR="00E85E14">
                        <w:rPr>
                          <w:sz w:val="20"/>
                          <w:szCs w:val="20"/>
                        </w:rPr>
                        <w:t>8</w:t>
                      </w:r>
                      <w:r w:rsidRPr="006027E7">
                        <w:rPr>
                          <w:sz w:val="20"/>
                          <w:szCs w:val="20"/>
                        </w:rPr>
                        <w:t>,</w:t>
                      </w:r>
                      <w:r w:rsidR="00E85E14">
                        <w:rPr>
                          <w:sz w:val="20"/>
                          <w:szCs w:val="20"/>
                        </w:rPr>
                        <w:t>9</w:t>
                      </w:r>
                      <w:r w:rsidRPr="006027E7">
                        <w:rPr>
                          <w:sz w:val="20"/>
                          <w:szCs w:val="20"/>
                        </w:rPr>
                        <w:t xml:space="preserve">00 x </w:t>
                      </w:r>
                      <w:r w:rsidRPr="006027E7">
                        <w:rPr>
                          <w:b/>
                          <w:bCs/>
                          <w:sz w:val="20"/>
                          <w:szCs w:val="20"/>
                        </w:rPr>
                        <w:t>2%</w:t>
                      </w:r>
                      <w:r w:rsidRPr="006027E7">
                        <w:rPr>
                          <w:sz w:val="20"/>
                          <w:szCs w:val="20"/>
                        </w:rPr>
                        <w:t xml:space="preserve"> = 9,800</w:t>
                      </w:r>
                    </w:p>
                    <w:p w14:paraId="0558329B" w14:textId="77777777" w:rsidR="006027E7" w:rsidRDefault="006027E7" w:rsidP="006A17EF">
                      <w:pPr>
                        <w:jc w:val="center"/>
                        <w:rPr>
                          <w:sz w:val="20"/>
                          <w:szCs w:val="20"/>
                        </w:rPr>
                      </w:pPr>
                    </w:p>
                    <w:p w14:paraId="13A73B0C" w14:textId="3EB01D13" w:rsidR="009D091D" w:rsidRPr="009D091D" w:rsidRDefault="009D091D" w:rsidP="006A17EF">
                      <w:pPr>
                        <w:jc w:val="center"/>
                        <w:rPr>
                          <w:sz w:val="20"/>
                          <w:szCs w:val="20"/>
                        </w:rPr>
                      </w:pPr>
                      <w:r w:rsidRPr="009D091D">
                        <w:rPr>
                          <w:sz w:val="20"/>
                          <w:szCs w:val="20"/>
                        </w:rPr>
                        <w:t>Women who would be protected from redundancy on return from maternity leave excluding voluntary redundancies = Total number of women made redundant on return from maternity leave including 'voluntary' redundancies x Share of new and expectant mothers were made redundant where no alternative position offered/lower level</w:t>
                      </w:r>
                    </w:p>
                    <w:p w14:paraId="1190F26F" w14:textId="77777777" w:rsidR="009D091D" w:rsidRPr="009D091D" w:rsidRDefault="009D091D" w:rsidP="006A17EF">
                      <w:pPr>
                        <w:jc w:val="center"/>
                        <w:rPr>
                          <w:sz w:val="20"/>
                          <w:szCs w:val="20"/>
                        </w:rPr>
                      </w:pPr>
                    </w:p>
                    <w:p w14:paraId="00B15336" w14:textId="77777777" w:rsidR="009D091D" w:rsidRPr="009D091D" w:rsidRDefault="009D091D" w:rsidP="006A17EF">
                      <w:pPr>
                        <w:jc w:val="center"/>
                        <w:rPr>
                          <w:sz w:val="20"/>
                          <w:szCs w:val="20"/>
                        </w:rPr>
                      </w:pPr>
                      <w:r w:rsidRPr="009D091D">
                        <w:rPr>
                          <w:sz w:val="20"/>
                          <w:szCs w:val="20"/>
                        </w:rPr>
                        <w:t>= 9,800 x 73% = 7,100</w:t>
                      </w:r>
                    </w:p>
                    <w:p w14:paraId="39DD8757" w14:textId="77777777" w:rsidR="009D091D" w:rsidRPr="009D091D" w:rsidRDefault="009D091D" w:rsidP="006A17EF">
                      <w:pPr>
                        <w:jc w:val="center"/>
                        <w:rPr>
                          <w:sz w:val="20"/>
                          <w:szCs w:val="20"/>
                        </w:rPr>
                      </w:pPr>
                    </w:p>
                    <w:p w14:paraId="16B19F67" w14:textId="2AB9B915" w:rsidR="009D091D" w:rsidRPr="009D091D" w:rsidRDefault="009D091D" w:rsidP="006A17EF">
                      <w:pPr>
                        <w:jc w:val="center"/>
                        <w:rPr>
                          <w:sz w:val="20"/>
                          <w:szCs w:val="20"/>
                        </w:rPr>
                      </w:pPr>
                      <w:r w:rsidRPr="009D091D">
                        <w:rPr>
                          <w:sz w:val="20"/>
                          <w:szCs w:val="20"/>
                        </w:rPr>
                        <w:t>Women who would be protected from redundancy on return from maternity leave excluding voluntary redundancies (</w:t>
                      </w:r>
                      <w:r w:rsidR="005044C4">
                        <w:rPr>
                          <w:sz w:val="20"/>
                          <w:szCs w:val="20"/>
                        </w:rPr>
                        <w:t>e</w:t>
                      </w:r>
                      <w:r w:rsidRPr="009D091D">
                        <w:rPr>
                          <w:sz w:val="20"/>
                          <w:szCs w:val="20"/>
                        </w:rPr>
                        <w:t>xcluding bankruptcy/closure cases/</w:t>
                      </w:r>
                      <w:r w:rsidR="005044C4">
                        <w:rPr>
                          <w:sz w:val="20"/>
                          <w:szCs w:val="20"/>
                        </w:rPr>
                        <w:t>offshoring/</w:t>
                      </w:r>
                      <w:r w:rsidRPr="009D091D">
                        <w:rPr>
                          <w:sz w:val="20"/>
                          <w:szCs w:val="20"/>
                        </w:rPr>
                        <w:t>relocation) =</w:t>
                      </w:r>
                    </w:p>
                    <w:p w14:paraId="373CEA2A" w14:textId="7AF8BC93" w:rsidR="009D091D" w:rsidRPr="009D091D" w:rsidRDefault="009D091D" w:rsidP="006A17EF">
                      <w:pPr>
                        <w:jc w:val="center"/>
                        <w:rPr>
                          <w:sz w:val="20"/>
                          <w:szCs w:val="20"/>
                        </w:rPr>
                      </w:pPr>
                      <w:r w:rsidRPr="009D091D">
                        <w:rPr>
                          <w:sz w:val="20"/>
                          <w:szCs w:val="20"/>
                        </w:rPr>
                        <w:t>Women who would be protected from redundancy on return from maternity leave excluding voluntary redundancies x Percentage of job losses not due to bankruptcy/closure/</w:t>
                      </w:r>
                      <w:r w:rsidR="004C2F9E">
                        <w:rPr>
                          <w:sz w:val="20"/>
                          <w:szCs w:val="20"/>
                        </w:rPr>
                        <w:t>offshoring/</w:t>
                      </w:r>
                      <w:r w:rsidRPr="009D091D">
                        <w:rPr>
                          <w:sz w:val="20"/>
                          <w:szCs w:val="20"/>
                        </w:rPr>
                        <w:t>relocation</w:t>
                      </w:r>
                    </w:p>
                    <w:p w14:paraId="36F02C7E" w14:textId="77777777" w:rsidR="009D091D" w:rsidRPr="009D091D" w:rsidRDefault="009D091D" w:rsidP="006A17EF">
                      <w:pPr>
                        <w:jc w:val="center"/>
                        <w:rPr>
                          <w:sz w:val="20"/>
                          <w:szCs w:val="20"/>
                        </w:rPr>
                      </w:pPr>
                    </w:p>
                    <w:p w14:paraId="7F3BE3CF" w14:textId="72648CD4" w:rsidR="009D091D" w:rsidRPr="004C2F9E" w:rsidRDefault="009D091D" w:rsidP="004C2F9E">
                      <w:pPr>
                        <w:jc w:val="center"/>
                        <w:rPr>
                          <w:sz w:val="20"/>
                          <w:szCs w:val="20"/>
                        </w:rPr>
                      </w:pPr>
                      <w:r w:rsidRPr="009D091D">
                        <w:rPr>
                          <w:sz w:val="20"/>
                          <w:szCs w:val="20"/>
                        </w:rPr>
                        <w:t xml:space="preserve">= 7,100 x 69% = </w:t>
                      </w:r>
                      <w:r w:rsidRPr="004C2F9E">
                        <w:rPr>
                          <w:b/>
                          <w:bCs/>
                          <w:sz w:val="20"/>
                          <w:szCs w:val="20"/>
                        </w:rPr>
                        <w:t>5,000</w:t>
                      </w:r>
                    </w:p>
                    <w:p w14:paraId="223D97BD" w14:textId="0D15AD55" w:rsidR="009D091D" w:rsidRDefault="009D091D"/>
                  </w:txbxContent>
                </v:textbox>
                <w10:wrap type="square"/>
              </v:shape>
            </w:pict>
          </mc:Fallback>
        </mc:AlternateContent>
      </w:r>
    </w:p>
    <w:p w14:paraId="20979BDC" w14:textId="693750DF" w:rsidR="00AB6A5D" w:rsidRPr="00E639A0" w:rsidRDefault="00AB6A5D" w:rsidP="007F70D6">
      <w:pPr>
        <w:rPr>
          <w:rFonts w:cs="Arial"/>
        </w:rPr>
      </w:pPr>
    </w:p>
    <w:p w14:paraId="4F9B0DA0" w14:textId="335E80BD" w:rsidR="00916F4A" w:rsidRPr="00E639A0" w:rsidRDefault="00916F4A" w:rsidP="00D80F72">
      <w:pPr>
        <w:pStyle w:val="ListParagraph"/>
        <w:rPr>
          <w:rFonts w:cs="Arial"/>
        </w:rPr>
      </w:pPr>
    </w:p>
    <w:p w14:paraId="53FDAF10" w14:textId="77777777" w:rsidR="00307BB8" w:rsidRPr="00E639A0" w:rsidRDefault="00307BB8" w:rsidP="00B966F9">
      <w:pPr>
        <w:rPr>
          <w:rFonts w:cs="Arial"/>
        </w:rPr>
      </w:pPr>
    </w:p>
    <w:p w14:paraId="51A69704" w14:textId="77777777" w:rsidR="00307BB8" w:rsidRPr="00E639A0" w:rsidRDefault="00307BB8" w:rsidP="00307BB8">
      <w:pPr>
        <w:jc w:val="center"/>
        <w:rPr>
          <w:rFonts w:cs="Arial"/>
        </w:rPr>
      </w:pPr>
    </w:p>
    <w:p w14:paraId="393112CC" w14:textId="77777777" w:rsidR="00A67D62" w:rsidRPr="00E639A0" w:rsidRDefault="00A67D62" w:rsidP="00D80F72">
      <w:pPr>
        <w:rPr>
          <w:rFonts w:cs="Arial"/>
          <w:b/>
          <w:bCs/>
        </w:rPr>
      </w:pPr>
    </w:p>
    <w:p w14:paraId="7B42C19A" w14:textId="77777777" w:rsidR="00A67D62" w:rsidRPr="00E639A0" w:rsidRDefault="00A67D62" w:rsidP="00D80F72">
      <w:pPr>
        <w:rPr>
          <w:rFonts w:cs="Arial"/>
          <w:b/>
          <w:bCs/>
        </w:rPr>
      </w:pPr>
    </w:p>
    <w:p w14:paraId="60379A1F" w14:textId="77777777" w:rsidR="00A67D62" w:rsidRPr="00E639A0" w:rsidRDefault="00A67D62" w:rsidP="00D80F72">
      <w:pPr>
        <w:rPr>
          <w:rFonts w:cs="Arial"/>
          <w:b/>
          <w:bCs/>
        </w:rPr>
      </w:pPr>
    </w:p>
    <w:p w14:paraId="084F1C3B" w14:textId="77777777" w:rsidR="00A67D62" w:rsidRPr="00E639A0" w:rsidRDefault="00A67D62" w:rsidP="00D80F72">
      <w:pPr>
        <w:rPr>
          <w:rFonts w:cs="Arial"/>
          <w:b/>
          <w:bCs/>
        </w:rPr>
      </w:pPr>
    </w:p>
    <w:p w14:paraId="78C8DD79" w14:textId="77777777" w:rsidR="00A67D62" w:rsidRPr="00E639A0" w:rsidRDefault="00A67D62" w:rsidP="00D80F72">
      <w:pPr>
        <w:rPr>
          <w:rFonts w:cs="Arial"/>
          <w:b/>
          <w:bCs/>
        </w:rPr>
      </w:pPr>
    </w:p>
    <w:p w14:paraId="187DB35F" w14:textId="77777777" w:rsidR="00A67D62" w:rsidRPr="00E639A0" w:rsidRDefault="00A67D62" w:rsidP="00D80F72">
      <w:pPr>
        <w:rPr>
          <w:rFonts w:cs="Arial"/>
          <w:b/>
          <w:bCs/>
        </w:rPr>
      </w:pPr>
    </w:p>
    <w:p w14:paraId="093CAEDA" w14:textId="77777777" w:rsidR="00A67D62" w:rsidRPr="00E639A0" w:rsidRDefault="00A67D62" w:rsidP="00D80F72">
      <w:pPr>
        <w:rPr>
          <w:rFonts w:cs="Arial"/>
          <w:b/>
          <w:bCs/>
        </w:rPr>
      </w:pPr>
    </w:p>
    <w:p w14:paraId="161AB760" w14:textId="77777777" w:rsidR="00A67D62" w:rsidRPr="00E639A0" w:rsidRDefault="00A67D62" w:rsidP="00D80F72">
      <w:pPr>
        <w:rPr>
          <w:rFonts w:cs="Arial"/>
          <w:b/>
          <w:bCs/>
        </w:rPr>
      </w:pPr>
    </w:p>
    <w:p w14:paraId="1660FA56" w14:textId="77777777" w:rsidR="00A67D62" w:rsidRPr="00E639A0" w:rsidRDefault="00A67D62" w:rsidP="00D80F72">
      <w:pPr>
        <w:rPr>
          <w:rFonts w:cs="Arial"/>
          <w:b/>
          <w:bCs/>
        </w:rPr>
      </w:pPr>
    </w:p>
    <w:p w14:paraId="712BE3FA" w14:textId="77777777" w:rsidR="00A67D62" w:rsidRPr="00E639A0" w:rsidRDefault="00A67D62" w:rsidP="00D80F72">
      <w:pPr>
        <w:rPr>
          <w:rFonts w:cs="Arial"/>
          <w:b/>
          <w:bCs/>
        </w:rPr>
      </w:pPr>
    </w:p>
    <w:p w14:paraId="1883B4A7" w14:textId="77777777" w:rsidR="00A67D62" w:rsidRPr="00E639A0" w:rsidRDefault="00A67D62" w:rsidP="00D80F72">
      <w:pPr>
        <w:rPr>
          <w:rFonts w:cs="Arial"/>
          <w:b/>
          <w:bCs/>
        </w:rPr>
      </w:pPr>
    </w:p>
    <w:p w14:paraId="6CF8CBCE" w14:textId="21EEF48A" w:rsidR="00307BB8" w:rsidRPr="00E639A0" w:rsidRDefault="00E70353" w:rsidP="00D80F72">
      <w:pPr>
        <w:rPr>
          <w:rFonts w:cs="Arial"/>
          <w:b/>
          <w:bCs/>
        </w:rPr>
      </w:pPr>
      <w:r w:rsidRPr="00E639A0">
        <w:rPr>
          <w:rFonts w:cs="Arial"/>
          <w:b/>
          <w:bCs/>
        </w:rPr>
        <w:t xml:space="preserve">Partners </w:t>
      </w:r>
      <w:r w:rsidR="00A67D62" w:rsidRPr="00E639A0">
        <w:rPr>
          <w:rFonts w:cs="Arial"/>
          <w:b/>
          <w:bCs/>
        </w:rPr>
        <w:t>returning from shared parental leave</w:t>
      </w:r>
    </w:p>
    <w:p w14:paraId="0AEEBDE9" w14:textId="77777777" w:rsidR="00A67D62" w:rsidRPr="00E639A0" w:rsidRDefault="00A67D62" w:rsidP="00D80F72">
      <w:pPr>
        <w:rPr>
          <w:rFonts w:cs="Arial"/>
          <w:b/>
          <w:bCs/>
        </w:rPr>
      </w:pPr>
    </w:p>
    <w:p w14:paraId="3D5BFA24" w14:textId="14B7538A" w:rsidR="002E1DFA" w:rsidRPr="00E639A0" w:rsidRDefault="002E1DFA" w:rsidP="007040D8">
      <w:pPr>
        <w:pStyle w:val="ListParagraph"/>
        <w:numPr>
          <w:ilvl w:val="0"/>
          <w:numId w:val="7"/>
        </w:numPr>
        <w:rPr>
          <w:rFonts w:cs="Arial"/>
        </w:rPr>
      </w:pPr>
      <w:r w:rsidRPr="00E639A0">
        <w:rPr>
          <w:rFonts w:cs="Arial"/>
        </w:rPr>
        <w:t xml:space="preserve">To estimate the eligible population of </w:t>
      </w:r>
      <w:r w:rsidR="00A04849" w:rsidRPr="00E639A0">
        <w:rPr>
          <w:rFonts w:cs="Arial"/>
        </w:rPr>
        <w:t>partners returning</w:t>
      </w:r>
      <w:r w:rsidRPr="00E639A0">
        <w:rPr>
          <w:rFonts w:cs="Arial"/>
        </w:rPr>
        <w:t xml:space="preserve"> from SPL, a similar methodology is used. We use the estimated number of </w:t>
      </w:r>
      <w:r w:rsidR="008C75A3" w:rsidRPr="00E639A0">
        <w:rPr>
          <w:rFonts w:cs="Arial"/>
        </w:rPr>
        <w:t>partners</w:t>
      </w:r>
      <w:r w:rsidRPr="00E639A0">
        <w:rPr>
          <w:rFonts w:cs="Arial"/>
        </w:rPr>
        <w:t xml:space="preserve"> eligible for SPL (285,000), taken from the </w:t>
      </w:r>
      <w:r w:rsidR="00771805" w:rsidRPr="00E639A0">
        <w:rPr>
          <w:rFonts w:cs="Arial"/>
        </w:rPr>
        <w:t xml:space="preserve">original </w:t>
      </w:r>
      <w:r w:rsidRPr="00E639A0">
        <w:rPr>
          <w:rFonts w:cs="Arial"/>
        </w:rPr>
        <w:t>SPL IA</w:t>
      </w:r>
      <w:r w:rsidR="00771805" w:rsidRPr="00E639A0">
        <w:rPr>
          <w:rStyle w:val="FootnoteReference"/>
          <w:rFonts w:cs="Arial"/>
          <w:sz w:val="24"/>
        </w:rPr>
        <w:footnoteReference w:id="31"/>
      </w:r>
      <w:r w:rsidRPr="00E639A0">
        <w:rPr>
          <w:rFonts w:cs="Arial"/>
        </w:rPr>
        <w:t xml:space="preserve">, and then apply a take-up rate of 4% based on evidence </w:t>
      </w:r>
      <w:r w:rsidR="009629F4" w:rsidRPr="00E639A0">
        <w:rPr>
          <w:rFonts w:cs="Arial"/>
        </w:rPr>
        <w:t xml:space="preserve">relating directly to SPL take-up </w:t>
      </w:r>
      <w:r w:rsidRPr="00E639A0">
        <w:rPr>
          <w:rFonts w:cs="Arial"/>
        </w:rPr>
        <w:t xml:space="preserve">from </w:t>
      </w:r>
      <w:r w:rsidR="009629F4" w:rsidRPr="00E639A0">
        <w:rPr>
          <w:rFonts w:cs="Arial"/>
        </w:rPr>
        <w:t>both</w:t>
      </w:r>
      <w:r w:rsidR="00A04849" w:rsidRPr="00E639A0">
        <w:rPr>
          <w:rFonts w:cs="Arial"/>
        </w:rPr>
        <w:t xml:space="preserve"> the </w:t>
      </w:r>
      <w:r w:rsidR="009A05DD" w:rsidRPr="00E639A0">
        <w:rPr>
          <w:rFonts w:cs="Arial"/>
        </w:rPr>
        <w:t xml:space="preserve">Parental Rights Survey and </w:t>
      </w:r>
      <w:r w:rsidRPr="00E639A0">
        <w:rPr>
          <w:rFonts w:cs="Arial"/>
        </w:rPr>
        <w:t xml:space="preserve">Management and Wellbeing Practices Survey (MWPS). We then estimate the number of SPL </w:t>
      </w:r>
      <w:r w:rsidR="004328AA" w:rsidRPr="00E639A0">
        <w:rPr>
          <w:rFonts w:cs="Arial"/>
        </w:rPr>
        <w:t>partners</w:t>
      </w:r>
      <w:r w:rsidRPr="00E639A0">
        <w:rPr>
          <w:rFonts w:cs="Arial"/>
        </w:rPr>
        <w:t xml:space="preserve"> in workplaces with more than 1 employee at 11,</w:t>
      </w:r>
      <w:r w:rsidR="004F41FD" w:rsidRPr="00E639A0">
        <w:rPr>
          <w:rFonts w:cs="Arial"/>
        </w:rPr>
        <w:t>3</w:t>
      </w:r>
      <w:r w:rsidRPr="00E639A0">
        <w:rPr>
          <w:rFonts w:cs="Arial"/>
        </w:rPr>
        <w:t xml:space="preserve">00 using the same approach as above. The proportion of SPL </w:t>
      </w:r>
      <w:r w:rsidR="008C75A3" w:rsidRPr="00E639A0">
        <w:rPr>
          <w:rFonts w:cs="Arial"/>
        </w:rPr>
        <w:t>partners</w:t>
      </w:r>
      <w:r w:rsidRPr="00E639A0">
        <w:rPr>
          <w:rFonts w:cs="Arial"/>
        </w:rPr>
        <w:t xml:space="preserve"> made redundant on return from SPL is assumed to be 2%</w:t>
      </w:r>
      <w:r w:rsidR="00E0728A" w:rsidRPr="00E639A0">
        <w:rPr>
          <w:rFonts w:cs="Arial"/>
        </w:rPr>
        <w:t>;</w:t>
      </w:r>
      <w:r w:rsidRPr="00E639A0">
        <w:rPr>
          <w:rFonts w:cs="Arial"/>
        </w:rPr>
        <w:t xml:space="preserve"> the same percentage used for mothers, in absence of further evidence. Applying this percentage to the figure of 11,</w:t>
      </w:r>
      <w:r w:rsidR="004F41FD" w:rsidRPr="00E639A0">
        <w:rPr>
          <w:rFonts w:cs="Arial"/>
        </w:rPr>
        <w:t>3</w:t>
      </w:r>
      <w:r w:rsidRPr="00E639A0">
        <w:rPr>
          <w:rFonts w:cs="Arial"/>
        </w:rPr>
        <w:t xml:space="preserve">00 gives the number of SPL </w:t>
      </w:r>
      <w:r w:rsidR="004328AA" w:rsidRPr="00E639A0">
        <w:rPr>
          <w:rFonts w:cs="Arial"/>
        </w:rPr>
        <w:t>partners</w:t>
      </w:r>
      <w:r w:rsidRPr="00E639A0">
        <w:rPr>
          <w:rFonts w:cs="Arial"/>
        </w:rPr>
        <w:t xml:space="preserve"> made redundant on return from SPL, including voluntary redundancies (230). The share of SPL </w:t>
      </w:r>
      <w:r w:rsidR="004328AA" w:rsidRPr="00E639A0">
        <w:rPr>
          <w:rFonts w:cs="Arial"/>
        </w:rPr>
        <w:t>partners</w:t>
      </w:r>
      <w:r w:rsidRPr="00E639A0">
        <w:rPr>
          <w:rFonts w:cs="Arial"/>
        </w:rPr>
        <w:t xml:space="preserve"> made redundant where no alternative or lower level position was offered is assumed to be 73%, as for mothers, in absence of further evidence. Multiplying 230 by this percentage gives a final estimate for the number of SPL </w:t>
      </w:r>
      <w:r w:rsidR="004328AA" w:rsidRPr="00E639A0">
        <w:rPr>
          <w:rFonts w:cs="Arial"/>
        </w:rPr>
        <w:t>partners</w:t>
      </w:r>
      <w:r w:rsidRPr="00E639A0">
        <w:rPr>
          <w:rFonts w:cs="Arial"/>
        </w:rPr>
        <w:t xml:space="preserve"> who would be protected from redundancy on return from SPL, excluding voluntary redundancies (100). </w:t>
      </w:r>
    </w:p>
    <w:p w14:paraId="78DF2756" w14:textId="374FA423" w:rsidR="00876454" w:rsidRPr="00E639A0" w:rsidRDefault="00876454" w:rsidP="00A67D62">
      <w:pPr>
        <w:ind w:left="360"/>
        <w:rPr>
          <w:rFonts w:cs="Arial"/>
        </w:rPr>
      </w:pPr>
    </w:p>
    <w:p w14:paraId="5CA6BE85" w14:textId="244FC9DE" w:rsidR="00A67D62" w:rsidRPr="00E639A0" w:rsidRDefault="008C71D4" w:rsidP="00A67D62">
      <w:pPr>
        <w:ind w:left="360"/>
        <w:rPr>
          <w:rFonts w:cs="Arial"/>
        </w:rPr>
      </w:pPr>
      <w:r w:rsidRPr="00E639A0">
        <w:rPr>
          <w:rFonts w:cs="Arial"/>
          <w:noProof/>
        </w:rPr>
        <mc:AlternateContent>
          <mc:Choice Requires="wps">
            <w:drawing>
              <wp:anchor distT="45720" distB="45720" distL="114300" distR="114300" simplePos="0" relativeHeight="251658240" behindDoc="0" locked="0" layoutInCell="1" allowOverlap="1" wp14:anchorId="18858908" wp14:editId="5914C233">
                <wp:simplePos x="0" y="0"/>
                <wp:positionH relativeFrom="column">
                  <wp:posOffset>368935</wp:posOffset>
                </wp:positionH>
                <wp:positionV relativeFrom="paragraph">
                  <wp:posOffset>75565</wp:posOffset>
                </wp:positionV>
                <wp:extent cx="6007100" cy="1404620"/>
                <wp:effectExtent l="0" t="0" r="12700" b="2603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7100" cy="1404620"/>
                        </a:xfrm>
                        <a:prstGeom prst="rect">
                          <a:avLst/>
                        </a:prstGeom>
                        <a:solidFill>
                          <a:srgbClr val="FFFFFF"/>
                        </a:solidFill>
                        <a:ln w="9525">
                          <a:solidFill>
                            <a:srgbClr val="000000"/>
                          </a:solidFill>
                          <a:miter lim="800000"/>
                          <a:headEnd/>
                          <a:tailEnd/>
                        </a:ln>
                      </wps:spPr>
                      <wps:txbx>
                        <w:txbxContent>
                          <w:p w14:paraId="56999AB1" w14:textId="4B77E99C" w:rsidR="002E1DFA" w:rsidRDefault="002E1DFA" w:rsidP="002E1DFA">
                            <w:pPr>
                              <w:rPr>
                                <w:sz w:val="22"/>
                                <w:szCs w:val="22"/>
                              </w:rPr>
                            </w:pPr>
                            <w:r w:rsidRPr="00796C7F">
                              <w:rPr>
                                <w:sz w:val="22"/>
                                <w:szCs w:val="22"/>
                              </w:rPr>
                              <w:t xml:space="preserve">SPL </w:t>
                            </w:r>
                            <w:r w:rsidR="00EF143D">
                              <w:rPr>
                                <w:sz w:val="22"/>
                                <w:szCs w:val="22"/>
                              </w:rPr>
                              <w:t>parents</w:t>
                            </w:r>
                            <w:r w:rsidRPr="00796C7F">
                              <w:rPr>
                                <w:sz w:val="22"/>
                                <w:szCs w:val="22"/>
                              </w:rPr>
                              <w:t xml:space="preserve"> in workplaces with more than one employee </w:t>
                            </w:r>
                            <w:r w:rsidRPr="00731A77">
                              <w:rPr>
                                <w:sz w:val="22"/>
                                <w:szCs w:val="22"/>
                              </w:rPr>
                              <w:t xml:space="preserve">= </w:t>
                            </w:r>
                            <w:r>
                              <w:rPr>
                                <w:sz w:val="22"/>
                                <w:szCs w:val="22"/>
                              </w:rPr>
                              <w:t xml:space="preserve">number of </w:t>
                            </w:r>
                            <w:r w:rsidR="00EF143D">
                              <w:rPr>
                                <w:sz w:val="22"/>
                                <w:szCs w:val="22"/>
                              </w:rPr>
                              <w:t>parents</w:t>
                            </w:r>
                            <w:r>
                              <w:rPr>
                                <w:sz w:val="22"/>
                                <w:szCs w:val="22"/>
                              </w:rPr>
                              <w:t xml:space="preserve"> that take up SPL – number of SPL </w:t>
                            </w:r>
                            <w:r w:rsidR="00EF143D">
                              <w:rPr>
                                <w:sz w:val="22"/>
                                <w:szCs w:val="22"/>
                              </w:rPr>
                              <w:t>parents</w:t>
                            </w:r>
                            <w:r>
                              <w:rPr>
                                <w:sz w:val="22"/>
                                <w:szCs w:val="22"/>
                              </w:rPr>
                              <w:t xml:space="preserve"> in workplaces with only one employee (number of </w:t>
                            </w:r>
                            <w:r w:rsidR="00EF143D">
                              <w:rPr>
                                <w:sz w:val="22"/>
                                <w:szCs w:val="22"/>
                              </w:rPr>
                              <w:t>parents</w:t>
                            </w:r>
                            <w:r>
                              <w:rPr>
                                <w:sz w:val="22"/>
                                <w:szCs w:val="22"/>
                              </w:rPr>
                              <w:t xml:space="preserve"> that take up SPL x % of UK private-sector employment in workplaces with 1 employee) </w:t>
                            </w:r>
                          </w:p>
                          <w:p w14:paraId="5DD04D7E" w14:textId="77777777" w:rsidR="002E1DFA" w:rsidRDefault="002E1DFA" w:rsidP="002E1DFA">
                            <w:pPr>
                              <w:rPr>
                                <w:sz w:val="22"/>
                                <w:szCs w:val="22"/>
                              </w:rPr>
                            </w:pPr>
                          </w:p>
                          <w:p w14:paraId="1B39C8C5" w14:textId="254A996C" w:rsidR="002E1DFA" w:rsidRDefault="002E1DFA" w:rsidP="002E1DFA">
                            <w:pPr>
                              <w:rPr>
                                <w:sz w:val="22"/>
                                <w:szCs w:val="22"/>
                              </w:rPr>
                            </w:pPr>
                            <w:r>
                              <w:rPr>
                                <w:sz w:val="22"/>
                                <w:szCs w:val="22"/>
                              </w:rPr>
                              <w:t>= 11,</w:t>
                            </w:r>
                            <w:r w:rsidR="00DB3C6C">
                              <w:rPr>
                                <w:sz w:val="22"/>
                                <w:szCs w:val="22"/>
                              </w:rPr>
                              <w:t>3</w:t>
                            </w:r>
                            <w:r>
                              <w:rPr>
                                <w:sz w:val="22"/>
                                <w:szCs w:val="22"/>
                              </w:rPr>
                              <w:t>00 – (11,</w:t>
                            </w:r>
                            <w:r w:rsidR="00DB3C6C">
                              <w:rPr>
                                <w:sz w:val="22"/>
                                <w:szCs w:val="22"/>
                              </w:rPr>
                              <w:t>3</w:t>
                            </w:r>
                            <w:r>
                              <w:rPr>
                                <w:sz w:val="22"/>
                                <w:szCs w:val="22"/>
                              </w:rPr>
                              <w:t xml:space="preserve">00 x 0.6%) = 11,300 </w:t>
                            </w:r>
                          </w:p>
                          <w:p w14:paraId="12D7F9EC" w14:textId="77777777" w:rsidR="002E1DFA" w:rsidRDefault="002E1DFA" w:rsidP="002E1DFA">
                            <w:pPr>
                              <w:rPr>
                                <w:sz w:val="22"/>
                                <w:szCs w:val="22"/>
                              </w:rPr>
                            </w:pPr>
                          </w:p>
                          <w:p w14:paraId="233E3C23" w14:textId="73F5619D" w:rsidR="002E1DFA" w:rsidRDefault="002E1DFA" w:rsidP="002E1DFA">
                            <w:pPr>
                              <w:rPr>
                                <w:sz w:val="22"/>
                                <w:szCs w:val="22"/>
                              </w:rPr>
                            </w:pPr>
                            <w:r>
                              <w:rPr>
                                <w:sz w:val="22"/>
                                <w:szCs w:val="22"/>
                              </w:rPr>
                              <w:t xml:space="preserve">SPL </w:t>
                            </w:r>
                            <w:r w:rsidR="00EF143D">
                              <w:rPr>
                                <w:sz w:val="22"/>
                                <w:szCs w:val="22"/>
                              </w:rPr>
                              <w:t>parents</w:t>
                            </w:r>
                            <w:r>
                              <w:rPr>
                                <w:sz w:val="22"/>
                                <w:szCs w:val="22"/>
                              </w:rPr>
                              <w:t xml:space="preserve"> made redundant on return including voluntary redundancies = SPL </w:t>
                            </w:r>
                            <w:r w:rsidR="00EF143D">
                              <w:rPr>
                                <w:sz w:val="22"/>
                                <w:szCs w:val="22"/>
                              </w:rPr>
                              <w:t>parents</w:t>
                            </w:r>
                            <w:r>
                              <w:rPr>
                                <w:sz w:val="22"/>
                                <w:szCs w:val="22"/>
                              </w:rPr>
                              <w:t xml:space="preserve"> in workplaces with more than one employee</w:t>
                            </w:r>
                            <w:r w:rsidR="00177E09">
                              <w:rPr>
                                <w:sz w:val="22"/>
                                <w:szCs w:val="22"/>
                              </w:rPr>
                              <w:t xml:space="preserve"> x</w:t>
                            </w:r>
                            <w:r w:rsidR="00A15B69">
                              <w:rPr>
                                <w:sz w:val="22"/>
                                <w:szCs w:val="22"/>
                              </w:rPr>
                              <w:t xml:space="preserve"> % of SPL </w:t>
                            </w:r>
                            <w:r w:rsidR="00EF143D">
                              <w:rPr>
                                <w:sz w:val="22"/>
                                <w:szCs w:val="22"/>
                              </w:rPr>
                              <w:t>parents</w:t>
                            </w:r>
                            <w:r w:rsidR="00A15B69">
                              <w:rPr>
                                <w:sz w:val="22"/>
                                <w:szCs w:val="22"/>
                              </w:rPr>
                              <w:t xml:space="preserve"> made redundant on return</w:t>
                            </w:r>
                          </w:p>
                          <w:p w14:paraId="2595DB31" w14:textId="77777777" w:rsidR="002E1DFA" w:rsidRDefault="002E1DFA" w:rsidP="002E1DFA">
                            <w:pPr>
                              <w:rPr>
                                <w:sz w:val="22"/>
                                <w:szCs w:val="22"/>
                              </w:rPr>
                            </w:pPr>
                          </w:p>
                          <w:p w14:paraId="01069D6D" w14:textId="21441B17" w:rsidR="002E1DFA" w:rsidRDefault="002E1DFA" w:rsidP="002E1DFA">
                            <w:pPr>
                              <w:rPr>
                                <w:sz w:val="22"/>
                                <w:szCs w:val="22"/>
                              </w:rPr>
                            </w:pPr>
                            <w:r w:rsidRPr="007F6F21">
                              <w:rPr>
                                <w:sz w:val="22"/>
                                <w:szCs w:val="22"/>
                              </w:rPr>
                              <w:t xml:space="preserve">= </w:t>
                            </w:r>
                            <w:r>
                              <w:rPr>
                                <w:sz w:val="22"/>
                                <w:szCs w:val="22"/>
                              </w:rPr>
                              <w:t>11,300</w:t>
                            </w:r>
                            <w:r w:rsidR="00177E09">
                              <w:rPr>
                                <w:sz w:val="22"/>
                                <w:szCs w:val="22"/>
                              </w:rPr>
                              <w:t xml:space="preserve"> x </w:t>
                            </w:r>
                            <w:r w:rsidR="00177E09" w:rsidRPr="00731A77">
                              <w:rPr>
                                <w:sz w:val="22"/>
                                <w:szCs w:val="22"/>
                              </w:rPr>
                              <w:t>2</w:t>
                            </w:r>
                            <w:r w:rsidR="00177E09" w:rsidRPr="007F6F21">
                              <w:rPr>
                                <w:sz w:val="22"/>
                                <w:szCs w:val="22"/>
                              </w:rPr>
                              <w:t>%</w:t>
                            </w:r>
                            <w:r w:rsidR="00177E09">
                              <w:rPr>
                                <w:sz w:val="22"/>
                                <w:szCs w:val="22"/>
                              </w:rPr>
                              <w:t xml:space="preserve"> </w:t>
                            </w:r>
                            <w:r w:rsidRPr="007F6F21">
                              <w:rPr>
                                <w:sz w:val="22"/>
                                <w:szCs w:val="22"/>
                              </w:rPr>
                              <w:t xml:space="preserve">= </w:t>
                            </w:r>
                            <w:r>
                              <w:rPr>
                                <w:sz w:val="22"/>
                                <w:szCs w:val="22"/>
                              </w:rPr>
                              <w:t>230</w:t>
                            </w:r>
                          </w:p>
                          <w:p w14:paraId="75D22208" w14:textId="77777777" w:rsidR="002E1DFA" w:rsidRDefault="002E1DFA" w:rsidP="002E1DFA">
                            <w:pPr>
                              <w:rPr>
                                <w:sz w:val="22"/>
                                <w:szCs w:val="22"/>
                              </w:rPr>
                            </w:pPr>
                          </w:p>
                          <w:p w14:paraId="4B4BB51D" w14:textId="50718A80" w:rsidR="002E1DFA" w:rsidRDefault="002E1DFA" w:rsidP="002E1DFA">
                            <w:pPr>
                              <w:rPr>
                                <w:sz w:val="22"/>
                                <w:szCs w:val="22"/>
                              </w:rPr>
                            </w:pPr>
                            <w:r>
                              <w:rPr>
                                <w:sz w:val="22"/>
                                <w:szCs w:val="22"/>
                              </w:rPr>
                              <w:t xml:space="preserve">SPL </w:t>
                            </w:r>
                            <w:r w:rsidR="00EF143D">
                              <w:rPr>
                                <w:sz w:val="22"/>
                                <w:szCs w:val="22"/>
                              </w:rPr>
                              <w:t>parents</w:t>
                            </w:r>
                            <w:r>
                              <w:rPr>
                                <w:sz w:val="22"/>
                                <w:szCs w:val="22"/>
                              </w:rPr>
                              <w:t xml:space="preserve"> protected from redundancy on return excluding voluntary redundancies</w:t>
                            </w:r>
                            <w:r w:rsidR="00150EC0">
                              <w:rPr>
                                <w:sz w:val="22"/>
                                <w:szCs w:val="22"/>
                              </w:rPr>
                              <w:t xml:space="preserve"> </w:t>
                            </w:r>
                            <w:r>
                              <w:rPr>
                                <w:sz w:val="22"/>
                                <w:szCs w:val="22"/>
                              </w:rPr>
                              <w:t xml:space="preserve">= </w:t>
                            </w:r>
                            <w:r w:rsidR="00150EC0">
                              <w:rPr>
                                <w:sz w:val="22"/>
                                <w:szCs w:val="22"/>
                              </w:rPr>
                              <w:t xml:space="preserve">SPL </w:t>
                            </w:r>
                            <w:r w:rsidR="00EF143D">
                              <w:rPr>
                                <w:sz w:val="22"/>
                                <w:szCs w:val="22"/>
                              </w:rPr>
                              <w:t>parents</w:t>
                            </w:r>
                            <w:r w:rsidR="00150EC0">
                              <w:rPr>
                                <w:sz w:val="22"/>
                                <w:szCs w:val="22"/>
                              </w:rPr>
                              <w:t xml:space="preserve"> made redundant on return including voluntary redundancies x </w:t>
                            </w:r>
                            <w:r>
                              <w:rPr>
                                <w:sz w:val="22"/>
                                <w:szCs w:val="22"/>
                              </w:rPr>
                              <w:t xml:space="preserve">% of SPL </w:t>
                            </w:r>
                            <w:r w:rsidR="00EF143D">
                              <w:rPr>
                                <w:sz w:val="22"/>
                                <w:szCs w:val="22"/>
                              </w:rPr>
                              <w:t>parents</w:t>
                            </w:r>
                            <w:r>
                              <w:rPr>
                                <w:sz w:val="22"/>
                                <w:szCs w:val="22"/>
                              </w:rPr>
                              <w:t xml:space="preserve"> made redundant where no alternative/lower level position offered x %</w:t>
                            </w:r>
                            <w:r w:rsidRPr="00DB6FE7">
                              <w:rPr>
                                <w:sz w:val="22"/>
                                <w:szCs w:val="22"/>
                              </w:rPr>
                              <w:t xml:space="preserve"> of job losses not due to bankruptcy/closure/relocation</w:t>
                            </w:r>
                          </w:p>
                          <w:p w14:paraId="327003DC" w14:textId="77777777" w:rsidR="002E1DFA" w:rsidRDefault="002E1DFA" w:rsidP="002E1DFA">
                            <w:pPr>
                              <w:rPr>
                                <w:sz w:val="22"/>
                                <w:szCs w:val="22"/>
                              </w:rPr>
                            </w:pPr>
                          </w:p>
                          <w:p w14:paraId="0E50DF19" w14:textId="319C65D5" w:rsidR="002E1DFA" w:rsidRPr="00731A77" w:rsidRDefault="002E1DFA" w:rsidP="002E1DFA">
                            <w:pPr>
                              <w:rPr>
                                <w:sz w:val="22"/>
                                <w:szCs w:val="22"/>
                              </w:rPr>
                            </w:pPr>
                            <w:r w:rsidRPr="007F6F21">
                              <w:rPr>
                                <w:sz w:val="22"/>
                                <w:szCs w:val="22"/>
                              </w:rPr>
                              <w:t xml:space="preserve">= </w:t>
                            </w:r>
                            <w:r w:rsidR="00150EC0">
                              <w:rPr>
                                <w:sz w:val="22"/>
                                <w:szCs w:val="22"/>
                              </w:rPr>
                              <w:t xml:space="preserve">230 x </w:t>
                            </w:r>
                            <w:r w:rsidRPr="00731A77">
                              <w:rPr>
                                <w:sz w:val="22"/>
                                <w:szCs w:val="22"/>
                              </w:rPr>
                              <w:t>73</w:t>
                            </w:r>
                            <w:r w:rsidRPr="007F6F21">
                              <w:rPr>
                                <w:sz w:val="22"/>
                                <w:szCs w:val="22"/>
                              </w:rPr>
                              <w:t>%</w:t>
                            </w:r>
                            <w:r>
                              <w:rPr>
                                <w:sz w:val="22"/>
                                <w:szCs w:val="22"/>
                              </w:rPr>
                              <w:t xml:space="preserve"> x 69%</w:t>
                            </w:r>
                            <w:r w:rsidRPr="007F6F21">
                              <w:rPr>
                                <w:sz w:val="22"/>
                                <w:szCs w:val="22"/>
                              </w:rPr>
                              <w:t xml:space="preserve"> = </w:t>
                            </w:r>
                            <w:r w:rsidRPr="0024265C">
                              <w:rPr>
                                <w:b/>
                                <w:bCs/>
                                <w:sz w:val="22"/>
                                <w:szCs w:val="22"/>
                              </w:rPr>
                              <w:t>100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858908" id="_x0000_s1028" type="#_x0000_t202" style="position:absolute;left:0;text-align:left;margin-left:29.05pt;margin-top:5.95pt;width:473pt;height:110.6pt;z-index:2516582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2nxFQIAACcEAAAOAAAAZHJzL2Uyb0RvYy54bWysk99v2yAQx98n7X9AvC+2oyRtrThVly7T&#10;pO6H1O0POGMco2GOAYmd/fU7SJpG3fYyjQfEcfDl7nPH8nbsNdtL5xWaiheTnDNpBDbKbCv+7evm&#10;zTVnPoBpQKORFT9Iz29Xr18tB1vKKXaoG+kYiRhfDrbiXQi2zDIvOtmDn6CVhpwtuh4CmW6bNQ4G&#10;Uu91Ns3zRTaga6xDIb2n3fujk6+SfttKET63rZeB6YpTbCHNLs11nLPVEsqtA9spcQoD/iGKHpSh&#10;R89S9xCA7Zz6TapXwqHHNkwE9hm2rRIy5UDZFPmLbB47sDLlQnC8PWPy/09WfNo/2i+OhfEtjlTA&#10;lIS3Dyi+e2Zw3YHZyjvncOgkNPRwEZFlg/Xl6WpE7UsfRerhIzZUZNgFTEJj6/pIhfJkpE4FOJyh&#10;yzEwQZuLPL8qcnIJ8hWzfLaYprJkUD5dt86H9xJ7FhcVd1TVJA/7Bx9iOFA+HYmvedSq2Sitk+G2&#10;9Vo7tgfqgE0aKYMXx7RhQ8Vv5tP5kcBfJfI0/iTRq0CtrFVf8evzISgjt3emSY0WQOnjmkLW5gQy&#10;sjtSDGM9MtVUfBofiFxrbA5E1uGxc+mn0aJD95Ozgbq24v7HDpzkTH8wVJ2bYjaLbZ6M2fyKUDJ3&#10;6akvPWAESVU8cHZcrkP6GombvaMqblTi+xzJKWTqxoT99HNiu1/a6dTz/179AgAA//8DAFBLAwQU&#10;AAYACAAAACEAzXm1LN4AAAAKAQAADwAAAGRycy9kb3ducmV2LnhtbEyPwU7DMBBE70j8g7VIXCrq&#10;pCFVCXEqqNQTp4Zyd+MliYjXwXbb9O/ZnuhxZ0azb8r1ZAdxQh96RwrSeQICqXGmp1bB/nP7tAIR&#10;oiajB0eo4IIB1tX9XakL4860w1MdW8ElFAqtoItxLKQMTYdWh7kbkdj7dt7qyKdvpfH6zOV2kIsk&#10;WUqre+IPnR5x02HzUx+tguVvnc0+vsyMdpftu29sbjb7XKnHh+ntFUTEKf6H4YrP6FAx08EdyQQx&#10;KMhXKSdZT19AXP0keWbloGCRZSnIqpS3E6o/AAAA//8DAFBLAQItABQABgAIAAAAIQC2gziS/gAA&#10;AOEBAAATAAAAAAAAAAAAAAAAAAAAAABbQ29udGVudF9UeXBlc10ueG1sUEsBAi0AFAAGAAgAAAAh&#10;ADj9If/WAAAAlAEAAAsAAAAAAAAAAAAAAAAALwEAAF9yZWxzLy5yZWxzUEsBAi0AFAAGAAgAAAAh&#10;AK2nafEVAgAAJwQAAA4AAAAAAAAAAAAAAAAALgIAAGRycy9lMm9Eb2MueG1sUEsBAi0AFAAGAAgA&#10;AAAhAM15tSzeAAAACgEAAA8AAAAAAAAAAAAAAAAAbwQAAGRycy9kb3ducmV2LnhtbFBLBQYAAAAA&#10;BAAEAPMAAAB6BQAAAAA=&#10;">
                <v:textbox style="mso-fit-shape-to-text:t">
                  <w:txbxContent>
                    <w:p w14:paraId="56999AB1" w14:textId="4B77E99C" w:rsidR="002E1DFA" w:rsidRDefault="002E1DFA" w:rsidP="002E1DFA">
                      <w:pPr>
                        <w:rPr>
                          <w:sz w:val="22"/>
                          <w:szCs w:val="22"/>
                        </w:rPr>
                      </w:pPr>
                      <w:r w:rsidRPr="00796C7F">
                        <w:rPr>
                          <w:sz w:val="22"/>
                          <w:szCs w:val="22"/>
                        </w:rPr>
                        <w:t xml:space="preserve">SPL </w:t>
                      </w:r>
                      <w:r w:rsidR="00EF143D">
                        <w:rPr>
                          <w:sz w:val="22"/>
                          <w:szCs w:val="22"/>
                        </w:rPr>
                        <w:t>parents</w:t>
                      </w:r>
                      <w:r w:rsidRPr="00796C7F">
                        <w:rPr>
                          <w:sz w:val="22"/>
                          <w:szCs w:val="22"/>
                        </w:rPr>
                        <w:t xml:space="preserve"> in workplaces with more than one employee </w:t>
                      </w:r>
                      <w:r w:rsidRPr="00731A77">
                        <w:rPr>
                          <w:sz w:val="22"/>
                          <w:szCs w:val="22"/>
                        </w:rPr>
                        <w:t xml:space="preserve">= </w:t>
                      </w:r>
                      <w:r>
                        <w:rPr>
                          <w:sz w:val="22"/>
                          <w:szCs w:val="22"/>
                        </w:rPr>
                        <w:t xml:space="preserve">number of </w:t>
                      </w:r>
                      <w:r w:rsidR="00EF143D">
                        <w:rPr>
                          <w:sz w:val="22"/>
                          <w:szCs w:val="22"/>
                        </w:rPr>
                        <w:t>parents</w:t>
                      </w:r>
                      <w:r>
                        <w:rPr>
                          <w:sz w:val="22"/>
                          <w:szCs w:val="22"/>
                        </w:rPr>
                        <w:t xml:space="preserve"> that take up SPL – number of SPL </w:t>
                      </w:r>
                      <w:r w:rsidR="00EF143D">
                        <w:rPr>
                          <w:sz w:val="22"/>
                          <w:szCs w:val="22"/>
                        </w:rPr>
                        <w:t>parents</w:t>
                      </w:r>
                      <w:r>
                        <w:rPr>
                          <w:sz w:val="22"/>
                          <w:szCs w:val="22"/>
                        </w:rPr>
                        <w:t xml:space="preserve"> in workplaces with only one employee (number of </w:t>
                      </w:r>
                      <w:r w:rsidR="00EF143D">
                        <w:rPr>
                          <w:sz w:val="22"/>
                          <w:szCs w:val="22"/>
                        </w:rPr>
                        <w:t>parents</w:t>
                      </w:r>
                      <w:r>
                        <w:rPr>
                          <w:sz w:val="22"/>
                          <w:szCs w:val="22"/>
                        </w:rPr>
                        <w:t xml:space="preserve"> that take up SPL x % of UK private-sector employment in workplaces with 1 employee) </w:t>
                      </w:r>
                    </w:p>
                    <w:p w14:paraId="5DD04D7E" w14:textId="77777777" w:rsidR="002E1DFA" w:rsidRDefault="002E1DFA" w:rsidP="002E1DFA">
                      <w:pPr>
                        <w:rPr>
                          <w:sz w:val="22"/>
                          <w:szCs w:val="22"/>
                        </w:rPr>
                      </w:pPr>
                    </w:p>
                    <w:p w14:paraId="1B39C8C5" w14:textId="254A996C" w:rsidR="002E1DFA" w:rsidRDefault="002E1DFA" w:rsidP="002E1DFA">
                      <w:pPr>
                        <w:rPr>
                          <w:sz w:val="22"/>
                          <w:szCs w:val="22"/>
                        </w:rPr>
                      </w:pPr>
                      <w:r>
                        <w:rPr>
                          <w:sz w:val="22"/>
                          <w:szCs w:val="22"/>
                        </w:rPr>
                        <w:t>= 11,</w:t>
                      </w:r>
                      <w:r w:rsidR="00DB3C6C">
                        <w:rPr>
                          <w:sz w:val="22"/>
                          <w:szCs w:val="22"/>
                        </w:rPr>
                        <w:t>3</w:t>
                      </w:r>
                      <w:r>
                        <w:rPr>
                          <w:sz w:val="22"/>
                          <w:szCs w:val="22"/>
                        </w:rPr>
                        <w:t>00 – (11,</w:t>
                      </w:r>
                      <w:r w:rsidR="00DB3C6C">
                        <w:rPr>
                          <w:sz w:val="22"/>
                          <w:szCs w:val="22"/>
                        </w:rPr>
                        <w:t>3</w:t>
                      </w:r>
                      <w:r>
                        <w:rPr>
                          <w:sz w:val="22"/>
                          <w:szCs w:val="22"/>
                        </w:rPr>
                        <w:t xml:space="preserve">00 x 0.6%) = 11,300 </w:t>
                      </w:r>
                    </w:p>
                    <w:p w14:paraId="12D7F9EC" w14:textId="77777777" w:rsidR="002E1DFA" w:rsidRDefault="002E1DFA" w:rsidP="002E1DFA">
                      <w:pPr>
                        <w:rPr>
                          <w:sz w:val="22"/>
                          <w:szCs w:val="22"/>
                        </w:rPr>
                      </w:pPr>
                    </w:p>
                    <w:p w14:paraId="233E3C23" w14:textId="73F5619D" w:rsidR="002E1DFA" w:rsidRDefault="002E1DFA" w:rsidP="002E1DFA">
                      <w:pPr>
                        <w:rPr>
                          <w:sz w:val="22"/>
                          <w:szCs w:val="22"/>
                        </w:rPr>
                      </w:pPr>
                      <w:r>
                        <w:rPr>
                          <w:sz w:val="22"/>
                          <w:szCs w:val="22"/>
                        </w:rPr>
                        <w:t xml:space="preserve">SPL </w:t>
                      </w:r>
                      <w:r w:rsidR="00EF143D">
                        <w:rPr>
                          <w:sz w:val="22"/>
                          <w:szCs w:val="22"/>
                        </w:rPr>
                        <w:t>parents</w:t>
                      </w:r>
                      <w:r>
                        <w:rPr>
                          <w:sz w:val="22"/>
                          <w:szCs w:val="22"/>
                        </w:rPr>
                        <w:t xml:space="preserve"> made redundant on return including voluntary redundancies = SPL </w:t>
                      </w:r>
                      <w:r w:rsidR="00EF143D">
                        <w:rPr>
                          <w:sz w:val="22"/>
                          <w:szCs w:val="22"/>
                        </w:rPr>
                        <w:t>parents</w:t>
                      </w:r>
                      <w:r>
                        <w:rPr>
                          <w:sz w:val="22"/>
                          <w:szCs w:val="22"/>
                        </w:rPr>
                        <w:t xml:space="preserve"> in workplaces with more than one employee</w:t>
                      </w:r>
                      <w:r w:rsidR="00177E09">
                        <w:rPr>
                          <w:sz w:val="22"/>
                          <w:szCs w:val="22"/>
                        </w:rPr>
                        <w:t xml:space="preserve"> x</w:t>
                      </w:r>
                      <w:r w:rsidR="00A15B69">
                        <w:rPr>
                          <w:sz w:val="22"/>
                          <w:szCs w:val="22"/>
                        </w:rPr>
                        <w:t xml:space="preserve"> % of SPL </w:t>
                      </w:r>
                      <w:r w:rsidR="00EF143D">
                        <w:rPr>
                          <w:sz w:val="22"/>
                          <w:szCs w:val="22"/>
                        </w:rPr>
                        <w:t>parents</w:t>
                      </w:r>
                      <w:r w:rsidR="00A15B69">
                        <w:rPr>
                          <w:sz w:val="22"/>
                          <w:szCs w:val="22"/>
                        </w:rPr>
                        <w:t xml:space="preserve"> made redundant on return</w:t>
                      </w:r>
                    </w:p>
                    <w:p w14:paraId="2595DB31" w14:textId="77777777" w:rsidR="002E1DFA" w:rsidRDefault="002E1DFA" w:rsidP="002E1DFA">
                      <w:pPr>
                        <w:rPr>
                          <w:sz w:val="22"/>
                          <w:szCs w:val="22"/>
                        </w:rPr>
                      </w:pPr>
                    </w:p>
                    <w:p w14:paraId="01069D6D" w14:textId="21441B17" w:rsidR="002E1DFA" w:rsidRDefault="002E1DFA" w:rsidP="002E1DFA">
                      <w:pPr>
                        <w:rPr>
                          <w:sz w:val="22"/>
                          <w:szCs w:val="22"/>
                        </w:rPr>
                      </w:pPr>
                      <w:r w:rsidRPr="007F6F21">
                        <w:rPr>
                          <w:sz w:val="22"/>
                          <w:szCs w:val="22"/>
                        </w:rPr>
                        <w:t xml:space="preserve">= </w:t>
                      </w:r>
                      <w:r>
                        <w:rPr>
                          <w:sz w:val="22"/>
                          <w:szCs w:val="22"/>
                        </w:rPr>
                        <w:t>11,300</w:t>
                      </w:r>
                      <w:r w:rsidR="00177E09">
                        <w:rPr>
                          <w:sz w:val="22"/>
                          <w:szCs w:val="22"/>
                        </w:rPr>
                        <w:t xml:space="preserve"> x </w:t>
                      </w:r>
                      <w:r w:rsidR="00177E09" w:rsidRPr="00731A77">
                        <w:rPr>
                          <w:sz w:val="22"/>
                          <w:szCs w:val="22"/>
                        </w:rPr>
                        <w:t>2</w:t>
                      </w:r>
                      <w:r w:rsidR="00177E09" w:rsidRPr="007F6F21">
                        <w:rPr>
                          <w:sz w:val="22"/>
                          <w:szCs w:val="22"/>
                        </w:rPr>
                        <w:t>%</w:t>
                      </w:r>
                      <w:r w:rsidR="00177E09">
                        <w:rPr>
                          <w:sz w:val="22"/>
                          <w:szCs w:val="22"/>
                        </w:rPr>
                        <w:t xml:space="preserve"> </w:t>
                      </w:r>
                      <w:r w:rsidRPr="007F6F21">
                        <w:rPr>
                          <w:sz w:val="22"/>
                          <w:szCs w:val="22"/>
                        </w:rPr>
                        <w:t xml:space="preserve">= </w:t>
                      </w:r>
                      <w:r>
                        <w:rPr>
                          <w:sz w:val="22"/>
                          <w:szCs w:val="22"/>
                        </w:rPr>
                        <w:t>230</w:t>
                      </w:r>
                    </w:p>
                    <w:p w14:paraId="75D22208" w14:textId="77777777" w:rsidR="002E1DFA" w:rsidRDefault="002E1DFA" w:rsidP="002E1DFA">
                      <w:pPr>
                        <w:rPr>
                          <w:sz w:val="22"/>
                          <w:szCs w:val="22"/>
                        </w:rPr>
                      </w:pPr>
                    </w:p>
                    <w:p w14:paraId="4B4BB51D" w14:textId="50718A80" w:rsidR="002E1DFA" w:rsidRDefault="002E1DFA" w:rsidP="002E1DFA">
                      <w:pPr>
                        <w:rPr>
                          <w:sz w:val="22"/>
                          <w:szCs w:val="22"/>
                        </w:rPr>
                      </w:pPr>
                      <w:r>
                        <w:rPr>
                          <w:sz w:val="22"/>
                          <w:szCs w:val="22"/>
                        </w:rPr>
                        <w:t xml:space="preserve">SPL </w:t>
                      </w:r>
                      <w:r w:rsidR="00EF143D">
                        <w:rPr>
                          <w:sz w:val="22"/>
                          <w:szCs w:val="22"/>
                        </w:rPr>
                        <w:t>parents</w:t>
                      </w:r>
                      <w:r>
                        <w:rPr>
                          <w:sz w:val="22"/>
                          <w:szCs w:val="22"/>
                        </w:rPr>
                        <w:t xml:space="preserve"> protected from redundancy on return excluding voluntary redundancies</w:t>
                      </w:r>
                      <w:r w:rsidR="00150EC0">
                        <w:rPr>
                          <w:sz w:val="22"/>
                          <w:szCs w:val="22"/>
                        </w:rPr>
                        <w:t xml:space="preserve"> </w:t>
                      </w:r>
                      <w:r>
                        <w:rPr>
                          <w:sz w:val="22"/>
                          <w:szCs w:val="22"/>
                        </w:rPr>
                        <w:t xml:space="preserve">= </w:t>
                      </w:r>
                      <w:r w:rsidR="00150EC0">
                        <w:rPr>
                          <w:sz w:val="22"/>
                          <w:szCs w:val="22"/>
                        </w:rPr>
                        <w:t xml:space="preserve">SPL </w:t>
                      </w:r>
                      <w:r w:rsidR="00EF143D">
                        <w:rPr>
                          <w:sz w:val="22"/>
                          <w:szCs w:val="22"/>
                        </w:rPr>
                        <w:t>parents</w:t>
                      </w:r>
                      <w:r w:rsidR="00150EC0">
                        <w:rPr>
                          <w:sz w:val="22"/>
                          <w:szCs w:val="22"/>
                        </w:rPr>
                        <w:t xml:space="preserve"> made redundant on return including voluntary redundancies x </w:t>
                      </w:r>
                      <w:r>
                        <w:rPr>
                          <w:sz w:val="22"/>
                          <w:szCs w:val="22"/>
                        </w:rPr>
                        <w:t xml:space="preserve">% of SPL </w:t>
                      </w:r>
                      <w:r w:rsidR="00EF143D">
                        <w:rPr>
                          <w:sz w:val="22"/>
                          <w:szCs w:val="22"/>
                        </w:rPr>
                        <w:t>parents</w:t>
                      </w:r>
                      <w:r>
                        <w:rPr>
                          <w:sz w:val="22"/>
                          <w:szCs w:val="22"/>
                        </w:rPr>
                        <w:t xml:space="preserve"> made redundant where no alternative/lower level position offered x %</w:t>
                      </w:r>
                      <w:r w:rsidRPr="00DB6FE7">
                        <w:rPr>
                          <w:sz w:val="22"/>
                          <w:szCs w:val="22"/>
                        </w:rPr>
                        <w:t xml:space="preserve"> of job losses not due to bankruptcy/closure/relocation</w:t>
                      </w:r>
                    </w:p>
                    <w:p w14:paraId="327003DC" w14:textId="77777777" w:rsidR="002E1DFA" w:rsidRDefault="002E1DFA" w:rsidP="002E1DFA">
                      <w:pPr>
                        <w:rPr>
                          <w:sz w:val="22"/>
                          <w:szCs w:val="22"/>
                        </w:rPr>
                      </w:pPr>
                    </w:p>
                    <w:p w14:paraId="0E50DF19" w14:textId="319C65D5" w:rsidR="002E1DFA" w:rsidRPr="00731A77" w:rsidRDefault="002E1DFA" w:rsidP="002E1DFA">
                      <w:pPr>
                        <w:rPr>
                          <w:sz w:val="22"/>
                          <w:szCs w:val="22"/>
                        </w:rPr>
                      </w:pPr>
                      <w:r w:rsidRPr="007F6F21">
                        <w:rPr>
                          <w:sz w:val="22"/>
                          <w:szCs w:val="22"/>
                        </w:rPr>
                        <w:t xml:space="preserve">= </w:t>
                      </w:r>
                      <w:r w:rsidR="00150EC0">
                        <w:rPr>
                          <w:sz w:val="22"/>
                          <w:szCs w:val="22"/>
                        </w:rPr>
                        <w:t xml:space="preserve">230 x </w:t>
                      </w:r>
                      <w:r w:rsidRPr="00731A77">
                        <w:rPr>
                          <w:sz w:val="22"/>
                          <w:szCs w:val="22"/>
                        </w:rPr>
                        <w:t>73</w:t>
                      </w:r>
                      <w:r w:rsidRPr="007F6F21">
                        <w:rPr>
                          <w:sz w:val="22"/>
                          <w:szCs w:val="22"/>
                        </w:rPr>
                        <w:t>%</w:t>
                      </w:r>
                      <w:r>
                        <w:rPr>
                          <w:sz w:val="22"/>
                          <w:szCs w:val="22"/>
                        </w:rPr>
                        <w:t xml:space="preserve"> x 69%</w:t>
                      </w:r>
                      <w:r w:rsidRPr="007F6F21">
                        <w:rPr>
                          <w:sz w:val="22"/>
                          <w:szCs w:val="22"/>
                        </w:rPr>
                        <w:t xml:space="preserve"> = </w:t>
                      </w:r>
                      <w:r w:rsidRPr="0024265C">
                        <w:rPr>
                          <w:b/>
                          <w:bCs/>
                          <w:sz w:val="22"/>
                          <w:szCs w:val="22"/>
                        </w:rPr>
                        <w:t>100</w:t>
                      </w:r>
                    </w:p>
                  </w:txbxContent>
                </v:textbox>
                <w10:wrap type="square"/>
              </v:shape>
            </w:pict>
          </mc:Fallback>
        </mc:AlternateContent>
      </w:r>
    </w:p>
    <w:p w14:paraId="73D04D2B" w14:textId="77777777" w:rsidR="00A67D62" w:rsidRPr="00E639A0" w:rsidRDefault="00A67D62" w:rsidP="00A67D62">
      <w:pPr>
        <w:ind w:left="360"/>
        <w:rPr>
          <w:rFonts w:cs="Arial"/>
        </w:rPr>
      </w:pPr>
    </w:p>
    <w:p w14:paraId="26545EE2" w14:textId="77777777" w:rsidR="00A67D62" w:rsidRPr="00E639A0" w:rsidRDefault="00A67D62" w:rsidP="00876454">
      <w:pPr>
        <w:pStyle w:val="ListParagraph"/>
        <w:rPr>
          <w:rFonts w:cs="Arial"/>
        </w:rPr>
      </w:pPr>
    </w:p>
    <w:p w14:paraId="7C31ABF3" w14:textId="5A21F1EE" w:rsidR="00A67D62" w:rsidRPr="00E639A0" w:rsidRDefault="00A67D62" w:rsidP="00A67D62">
      <w:pPr>
        <w:rPr>
          <w:rFonts w:cs="Arial"/>
          <w:b/>
          <w:bCs/>
        </w:rPr>
      </w:pPr>
      <w:r w:rsidRPr="00E639A0">
        <w:rPr>
          <w:rFonts w:cs="Arial"/>
          <w:b/>
          <w:bCs/>
        </w:rPr>
        <w:t>Parents returning from adoption leave</w:t>
      </w:r>
    </w:p>
    <w:p w14:paraId="124145B6" w14:textId="77777777" w:rsidR="00A67D62" w:rsidRPr="00E639A0" w:rsidRDefault="00A67D62" w:rsidP="00876454">
      <w:pPr>
        <w:pStyle w:val="ListParagraph"/>
        <w:rPr>
          <w:rFonts w:cs="Arial"/>
        </w:rPr>
      </w:pPr>
    </w:p>
    <w:p w14:paraId="0C9819D6" w14:textId="50969FCC" w:rsidR="002E1DFA" w:rsidRPr="00E639A0" w:rsidRDefault="002E1DFA" w:rsidP="006135AD">
      <w:pPr>
        <w:pStyle w:val="ListParagraph"/>
        <w:numPr>
          <w:ilvl w:val="0"/>
          <w:numId w:val="7"/>
        </w:numPr>
        <w:rPr>
          <w:rFonts w:cs="Arial"/>
        </w:rPr>
      </w:pPr>
      <w:r w:rsidRPr="00E639A0">
        <w:rPr>
          <w:rFonts w:cs="Arial"/>
        </w:rPr>
        <w:t xml:space="preserve">To estimate the eligible population of parents returning from adoption leave, we estimate the total number of individuals taking adoption leave and then carve out the eligible population using the same approach for mothers and SPL </w:t>
      </w:r>
      <w:r w:rsidR="004328AA" w:rsidRPr="00E639A0">
        <w:rPr>
          <w:rFonts w:cs="Arial"/>
        </w:rPr>
        <w:t>partners</w:t>
      </w:r>
      <w:r w:rsidRPr="00E639A0">
        <w:rPr>
          <w:rFonts w:cs="Arial"/>
        </w:rPr>
        <w:t>. The total number of adoptions each year is estimated at 3,</w:t>
      </w:r>
      <w:r w:rsidR="00544944" w:rsidRPr="00E639A0">
        <w:rPr>
          <w:rFonts w:cs="Arial"/>
        </w:rPr>
        <w:t>5</w:t>
      </w:r>
      <w:r w:rsidRPr="00E639A0">
        <w:rPr>
          <w:rFonts w:cs="Arial"/>
        </w:rPr>
        <w:t xml:space="preserve">00 made up of the number of looked </w:t>
      </w:r>
      <w:r w:rsidR="00544944" w:rsidRPr="00E639A0">
        <w:rPr>
          <w:rFonts w:cs="Arial"/>
        </w:rPr>
        <w:t>after</w:t>
      </w:r>
      <w:r w:rsidRPr="00E639A0">
        <w:rPr>
          <w:rFonts w:cs="Arial"/>
        </w:rPr>
        <w:t xml:space="preserve"> adoptions (</w:t>
      </w:r>
      <w:r w:rsidR="00617097" w:rsidRPr="00E639A0">
        <w:rPr>
          <w:rFonts w:cs="Arial"/>
        </w:rPr>
        <w:t>DfE</w:t>
      </w:r>
      <w:r w:rsidRPr="00E639A0">
        <w:rPr>
          <w:rFonts w:cs="Arial"/>
        </w:rPr>
        <w:t>, 20</w:t>
      </w:r>
      <w:r w:rsidR="00617097" w:rsidRPr="00E639A0">
        <w:rPr>
          <w:rFonts w:cs="Arial"/>
        </w:rPr>
        <w:t>2</w:t>
      </w:r>
      <w:r w:rsidR="00C54276" w:rsidRPr="00E639A0">
        <w:rPr>
          <w:rFonts w:cs="Arial"/>
        </w:rPr>
        <w:t>0</w:t>
      </w:r>
      <w:r w:rsidRPr="00E639A0">
        <w:rPr>
          <w:rFonts w:cs="Arial"/>
        </w:rPr>
        <w:t>)</w:t>
      </w:r>
      <w:r w:rsidRPr="00E639A0">
        <w:rPr>
          <w:rFonts w:cs="Arial"/>
          <w:vertAlign w:val="superscript"/>
        </w:rPr>
        <w:footnoteReference w:id="32"/>
      </w:r>
      <w:r w:rsidR="00F15016" w:rsidRPr="00E639A0">
        <w:rPr>
          <w:rFonts w:cs="Arial"/>
        </w:rPr>
        <w:t xml:space="preserve">, </w:t>
      </w:r>
      <w:r w:rsidRPr="00E639A0">
        <w:rPr>
          <w:rFonts w:cs="Arial"/>
        </w:rPr>
        <w:t xml:space="preserve">the number of </w:t>
      </w:r>
      <w:r w:rsidR="00F15016" w:rsidRPr="00E639A0">
        <w:rPr>
          <w:rFonts w:cs="Arial"/>
        </w:rPr>
        <w:t>overseas adoptions</w:t>
      </w:r>
      <w:r w:rsidR="00A87E60" w:rsidRPr="00E639A0">
        <w:rPr>
          <w:rFonts w:cs="Arial"/>
        </w:rPr>
        <w:t xml:space="preserve"> (Global Statistics for Intercountry Adoption, 2020)</w:t>
      </w:r>
      <w:r w:rsidR="00E678F4" w:rsidRPr="00E639A0">
        <w:rPr>
          <w:rStyle w:val="FootnoteReference"/>
          <w:rFonts w:cs="Arial"/>
          <w:sz w:val="24"/>
        </w:rPr>
        <w:footnoteReference w:id="33"/>
      </w:r>
      <w:r w:rsidR="00F15016" w:rsidRPr="00E639A0">
        <w:rPr>
          <w:rFonts w:cs="Arial"/>
        </w:rPr>
        <w:t xml:space="preserve"> and the number of </w:t>
      </w:r>
      <w:r w:rsidRPr="00E639A0">
        <w:rPr>
          <w:rFonts w:cs="Arial"/>
        </w:rPr>
        <w:t>surrogacy adoptions each year (Family Court Statistics, 20</w:t>
      </w:r>
      <w:r w:rsidR="00D74298" w:rsidRPr="00E639A0">
        <w:rPr>
          <w:rFonts w:cs="Arial"/>
        </w:rPr>
        <w:t>20</w:t>
      </w:r>
      <w:r w:rsidRPr="00E639A0">
        <w:rPr>
          <w:rFonts w:cs="Arial"/>
        </w:rPr>
        <w:t>)</w:t>
      </w:r>
      <w:r w:rsidRPr="00E639A0">
        <w:rPr>
          <w:rFonts w:cs="Arial"/>
          <w:vertAlign w:val="superscript"/>
        </w:rPr>
        <w:footnoteReference w:id="34"/>
      </w:r>
      <w:r w:rsidRPr="00E639A0">
        <w:rPr>
          <w:rFonts w:cs="Arial"/>
        </w:rPr>
        <w:t xml:space="preserve">. To qualify for adoption leave, an individual must be an employee. One parent is entitled to take adoption leave, and </w:t>
      </w:r>
      <w:r w:rsidR="006A3E50" w:rsidRPr="00E639A0">
        <w:rPr>
          <w:rFonts w:cs="Arial"/>
        </w:rPr>
        <w:t xml:space="preserve">it is possible for </w:t>
      </w:r>
      <w:r w:rsidRPr="00E639A0">
        <w:rPr>
          <w:rFonts w:cs="Arial"/>
        </w:rPr>
        <w:t xml:space="preserve">the other parent </w:t>
      </w:r>
      <w:r w:rsidR="006A3E50" w:rsidRPr="00E639A0">
        <w:rPr>
          <w:rFonts w:cs="Arial"/>
        </w:rPr>
        <w:t xml:space="preserve">to </w:t>
      </w:r>
      <w:r w:rsidRPr="00E639A0">
        <w:rPr>
          <w:rFonts w:cs="Arial"/>
        </w:rPr>
        <w:t>take SPL. For simplicity, we assume that a mother will take adoption leave and a father</w:t>
      </w:r>
      <w:r w:rsidR="006A3E50" w:rsidRPr="00E639A0">
        <w:rPr>
          <w:rFonts w:cs="Arial"/>
        </w:rPr>
        <w:t>/partner</w:t>
      </w:r>
      <w:r w:rsidRPr="00E639A0">
        <w:rPr>
          <w:rFonts w:cs="Arial"/>
        </w:rPr>
        <w:t xml:space="preserve"> will take SPL. This is based on evidence</w:t>
      </w:r>
      <w:r w:rsidR="004A5555" w:rsidRPr="00E639A0">
        <w:rPr>
          <w:rFonts w:cs="Arial"/>
        </w:rPr>
        <w:t xml:space="preserve"> (HMRC </w:t>
      </w:r>
      <w:r w:rsidR="0004186C" w:rsidRPr="00E639A0">
        <w:rPr>
          <w:rFonts w:cs="Arial"/>
        </w:rPr>
        <w:t>Statutory Payments</w:t>
      </w:r>
      <w:r w:rsidR="004A5555" w:rsidRPr="00E639A0">
        <w:rPr>
          <w:rFonts w:cs="Arial"/>
        </w:rPr>
        <w:t xml:space="preserve"> data)</w:t>
      </w:r>
      <w:r w:rsidRPr="00E639A0">
        <w:rPr>
          <w:rFonts w:cs="Arial"/>
        </w:rPr>
        <w:t xml:space="preserve"> </w:t>
      </w:r>
      <w:r w:rsidR="00CC25BC" w:rsidRPr="00E639A0">
        <w:rPr>
          <w:rFonts w:cs="Arial"/>
        </w:rPr>
        <w:t>where</w:t>
      </w:r>
      <w:r w:rsidRPr="00E639A0">
        <w:rPr>
          <w:rFonts w:cs="Arial"/>
        </w:rPr>
        <w:t xml:space="preserve"> </w:t>
      </w:r>
      <w:r w:rsidR="00861C19" w:rsidRPr="00E639A0">
        <w:rPr>
          <w:rFonts w:cs="Arial"/>
        </w:rPr>
        <w:t xml:space="preserve">females </w:t>
      </w:r>
      <w:r w:rsidRPr="00E639A0">
        <w:rPr>
          <w:rFonts w:cs="Arial"/>
        </w:rPr>
        <w:t xml:space="preserve">predominantly </w:t>
      </w:r>
      <w:r w:rsidR="004D3AA6" w:rsidRPr="00E639A0">
        <w:rPr>
          <w:rFonts w:cs="Arial"/>
        </w:rPr>
        <w:t xml:space="preserve">(75%) </w:t>
      </w:r>
      <w:r w:rsidR="00861C19" w:rsidRPr="00E639A0">
        <w:rPr>
          <w:rFonts w:cs="Arial"/>
        </w:rPr>
        <w:t xml:space="preserve">make up </w:t>
      </w:r>
      <w:r w:rsidR="004D3AA6" w:rsidRPr="00E639A0">
        <w:rPr>
          <w:rFonts w:cs="Arial"/>
        </w:rPr>
        <w:t xml:space="preserve">those </w:t>
      </w:r>
      <w:r w:rsidR="0004186C" w:rsidRPr="00E639A0">
        <w:rPr>
          <w:rFonts w:cs="Arial"/>
        </w:rPr>
        <w:t>in receipt of Statutory Adoption Pay</w:t>
      </w:r>
      <w:r w:rsidR="004A5555" w:rsidRPr="00E639A0">
        <w:rPr>
          <w:rFonts w:cs="Arial"/>
        </w:rPr>
        <w:t xml:space="preserve">. </w:t>
      </w:r>
      <w:r w:rsidRPr="00E639A0">
        <w:rPr>
          <w:rFonts w:cs="Arial"/>
        </w:rPr>
        <w:t>The take-up of adoption leave is conservatively assumed to be 100%, in absence of further evidence. To estimate the number of adoptive parents in employment, therefore, we multiply the female</w:t>
      </w:r>
      <w:r w:rsidR="00EA4194" w:rsidRPr="00E639A0">
        <w:rPr>
          <w:rFonts w:cs="Arial"/>
        </w:rPr>
        <w:t xml:space="preserve"> </w:t>
      </w:r>
      <w:r w:rsidR="00365756" w:rsidRPr="00E639A0">
        <w:rPr>
          <w:rFonts w:cs="Arial"/>
        </w:rPr>
        <w:t>(</w:t>
      </w:r>
      <w:r w:rsidR="00EA4194" w:rsidRPr="00E639A0">
        <w:rPr>
          <w:rFonts w:cs="Arial"/>
        </w:rPr>
        <w:t>with dependent child under 1</w:t>
      </w:r>
      <w:r w:rsidR="00365756" w:rsidRPr="00E639A0">
        <w:rPr>
          <w:rFonts w:cs="Arial"/>
        </w:rPr>
        <w:t>)</w:t>
      </w:r>
      <w:r w:rsidRPr="00E639A0">
        <w:rPr>
          <w:rFonts w:cs="Arial"/>
        </w:rPr>
        <w:t xml:space="preserve"> employment rate (7</w:t>
      </w:r>
      <w:r w:rsidR="00EA4194" w:rsidRPr="00E639A0">
        <w:rPr>
          <w:rFonts w:cs="Arial"/>
        </w:rPr>
        <w:t>7</w:t>
      </w:r>
      <w:r w:rsidRPr="00E639A0">
        <w:rPr>
          <w:rFonts w:cs="Arial"/>
        </w:rPr>
        <w:t>.</w:t>
      </w:r>
      <w:r w:rsidR="00EA4194" w:rsidRPr="00E639A0">
        <w:rPr>
          <w:rFonts w:cs="Arial"/>
        </w:rPr>
        <w:t>5</w:t>
      </w:r>
      <w:r w:rsidRPr="00E639A0">
        <w:rPr>
          <w:rFonts w:cs="Arial"/>
        </w:rPr>
        <w:t xml:space="preserve">%) by the total number of adoptions each year resulting in an estimate of </w:t>
      </w:r>
      <w:r w:rsidR="00341FEB" w:rsidRPr="00E639A0">
        <w:rPr>
          <w:rFonts w:cs="Arial"/>
        </w:rPr>
        <w:t>2</w:t>
      </w:r>
      <w:r w:rsidRPr="00E639A0">
        <w:rPr>
          <w:rFonts w:cs="Arial"/>
        </w:rPr>
        <w:t>,</w:t>
      </w:r>
      <w:r w:rsidR="00341FEB" w:rsidRPr="00E639A0">
        <w:rPr>
          <w:rFonts w:cs="Arial"/>
        </w:rPr>
        <w:t>7</w:t>
      </w:r>
      <w:r w:rsidRPr="00E639A0">
        <w:rPr>
          <w:rFonts w:cs="Arial"/>
        </w:rPr>
        <w:t>00. We then carve out the self-employed and workplaces with only 1 employee to estimate the number of adoptive parents in workplaces with more than 1 employee at 2,500. The same assumptions are applied as mothers returning from maternity leave on the proportion of mothers made redundant on return from maternity leave and the proportion of mothers made redundant where no alternative/lower level position was offered. This gives an estimate of the number of adoptive parents made redundant on return from adoption leave, excluding voluntary redundancies. This number and break downs of the calculations are suppressed due to the size of the numbers.</w:t>
      </w:r>
    </w:p>
    <w:p w14:paraId="2C3A557D" w14:textId="77777777" w:rsidR="00302570" w:rsidRPr="00E639A0" w:rsidRDefault="00302570" w:rsidP="00423ED4">
      <w:pPr>
        <w:rPr>
          <w:rFonts w:cs="Arial"/>
        </w:rPr>
      </w:pPr>
    </w:p>
    <w:p w14:paraId="62B40991" w14:textId="25613A1C" w:rsidR="00571EE4" w:rsidRPr="00E639A0" w:rsidRDefault="00571EE4" w:rsidP="00571EE4">
      <w:pPr>
        <w:pStyle w:val="Heading2"/>
        <w:spacing w:before="240"/>
        <w:rPr>
          <w:b/>
          <w:sz w:val="24"/>
          <w:szCs w:val="24"/>
        </w:rPr>
      </w:pPr>
      <w:r w:rsidRPr="00E639A0">
        <w:rPr>
          <w:b/>
          <w:sz w:val="24"/>
          <w:szCs w:val="24"/>
        </w:rPr>
        <w:t xml:space="preserve">Monetised </w:t>
      </w:r>
      <w:r w:rsidR="001C33E6" w:rsidRPr="00E639A0">
        <w:rPr>
          <w:b/>
          <w:sz w:val="24"/>
          <w:szCs w:val="24"/>
        </w:rPr>
        <w:t>c</w:t>
      </w:r>
      <w:r w:rsidRPr="00E639A0">
        <w:rPr>
          <w:b/>
          <w:sz w:val="24"/>
          <w:szCs w:val="24"/>
        </w:rPr>
        <w:t xml:space="preserve">osts </w:t>
      </w:r>
    </w:p>
    <w:p w14:paraId="06D54109" w14:textId="4DD9A89A" w:rsidR="00DA3B31" w:rsidRPr="00E639A0" w:rsidRDefault="003D4C74" w:rsidP="00DA3B31">
      <w:pPr>
        <w:pStyle w:val="ListParagraph"/>
        <w:numPr>
          <w:ilvl w:val="0"/>
          <w:numId w:val="7"/>
        </w:numPr>
        <w:rPr>
          <w:rFonts w:cs="Arial"/>
          <w:b/>
          <w:iCs/>
          <w:u w:val="single"/>
        </w:rPr>
      </w:pPr>
      <w:r w:rsidRPr="00E639A0">
        <w:rPr>
          <w:rFonts w:cs="Arial"/>
        </w:rPr>
        <w:t xml:space="preserve">There are potentially multiple costs and benefits associated with this policy change. </w:t>
      </w:r>
      <w:r w:rsidR="007377C4" w:rsidRPr="00E639A0">
        <w:rPr>
          <w:rFonts w:cs="Arial"/>
        </w:rPr>
        <w:t>We have mon</w:t>
      </w:r>
      <w:r w:rsidR="00B01343" w:rsidRPr="00E639A0">
        <w:rPr>
          <w:rFonts w:cs="Arial"/>
        </w:rPr>
        <w:t>e</w:t>
      </w:r>
      <w:r w:rsidR="007377C4" w:rsidRPr="00E639A0">
        <w:rPr>
          <w:rFonts w:cs="Arial"/>
        </w:rPr>
        <w:t xml:space="preserve">tised </w:t>
      </w:r>
      <w:r w:rsidRPr="00E639A0">
        <w:rPr>
          <w:rFonts w:cs="Arial"/>
        </w:rPr>
        <w:t>the costs and benefits which are the most significant and directly linked to the policy</w:t>
      </w:r>
      <w:r w:rsidR="007377C4" w:rsidRPr="00E639A0">
        <w:rPr>
          <w:rFonts w:cs="Arial"/>
        </w:rPr>
        <w:t xml:space="preserve">. We also consider </w:t>
      </w:r>
      <w:r w:rsidRPr="00E639A0">
        <w:rPr>
          <w:rFonts w:cs="Arial"/>
        </w:rPr>
        <w:t>some 2</w:t>
      </w:r>
      <w:r w:rsidRPr="00E639A0">
        <w:rPr>
          <w:rFonts w:cs="Arial"/>
          <w:vertAlign w:val="superscript"/>
        </w:rPr>
        <w:t>nd</w:t>
      </w:r>
      <w:r w:rsidRPr="00E639A0">
        <w:rPr>
          <w:rFonts w:cs="Arial"/>
        </w:rPr>
        <w:t xml:space="preserve"> and 3</w:t>
      </w:r>
      <w:r w:rsidRPr="00E639A0">
        <w:rPr>
          <w:rFonts w:cs="Arial"/>
          <w:vertAlign w:val="superscript"/>
        </w:rPr>
        <w:t>rd</w:t>
      </w:r>
      <w:r w:rsidRPr="00E639A0">
        <w:rPr>
          <w:rFonts w:cs="Arial"/>
        </w:rPr>
        <w:t xml:space="preserve"> round impacts</w:t>
      </w:r>
      <w:r w:rsidR="003A0E5D" w:rsidRPr="00E639A0">
        <w:rPr>
          <w:rFonts w:cs="Arial"/>
        </w:rPr>
        <w:t xml:space="preserve">, these are discussed </w:t>
      </w:r>
      <w:r w:rsidR="00A83E3D" w:rsidRPr="00E639A0">
        <w:rPr>
          <w:rFonts w:cs="Arial"/>
        </w:rPr>
        <w:t xml:space="preserve">in </w:t>
      </w:r>
      <w:r w:rsidR="004F47F1" w:rsidRPr="00E639A0">
        <w:rPr>
          <w:rFonts w:cs="Arial"/>
        </w:rPr>
        <w:t>the annexes.</w:t>
      </w:r>
      <w:r w:rsidRPr="00E639A0">
        <w:rPr>
          <w:rFonts w:cs="Arial"/>
        </w:rPr>
        <w:t xml:space="preserve"> </w:t>
      </w:r>
      <w:r w:rsidR="00DA3B31" w:rsidRPr="00E639A0">
        <w:rPr>
          <w:rFonts w:cs="Arial"/>
          <w:bCs/>
          <w:iCs/>
        </w:rPr>
        <w:t>Mone</w:t>
      </w:r>
      <w:r w:rsidR="00B01343" w:rsidRPr="00E639A0">
        <w:rPr>
          <w:rFonts w:cs="Arial"/>
          <w:bCs/>
          <w:iCs/>
        </w:rPr>
        <w:t>t</w:t>
      </w:r>
      <w:r w:rsidR="00DA3B31" w:rsidRPr="00E639A0">
        <w:rPr>
          <w:rFonts w:cs="Arial"/>
          <w:bCs/>
          <w:iCs/>
        </w:rPr>
        <w:t>ised costs are divided into one-off (familiarisation) costs for businesses, and recurring costs to businesses, individuals and the Exchequer.</w:t>
      </w:r>
    </w:p>
    <w:p w14:paraId="0F20CDE7" w14:textId="77777777" w:rsidR="00D73B6B" w:rsidRPr="00E639A0" w:rsidRDefault="00D73B6B" w:rsidP="00332DC0">
      <w:pPr>
        <w:pStyle w:val="ListParagraph"/>
        <w:rPr>
          <w:rFonts w:cs="Arial"/>
          <w:b/>
          <w:iCs/>
          <w:u w:val="single"/>
        </w:rPr>
      </w:pPr>
    </w:p>
    <w:p w14:paraId="79F47447" w14:textId="73E817A1" w:rsidR="00E145F2" w:rsidRPr="00E639A0" w:rsidRDefault="00F905F4" w:rsidP="00E145F2">
      <w:pPr>
        <w:pStyle w:val="EBBodyPara"/>
        <w:rPr>
          <w:b/>
          <w:bCs w:val="0"/>
          <w:iCs/>
          <w:sz w:val="24"/>
          <w:szCs w:val="24"/>
          <w:u w:val="single"/>
        </w:rPr>
      </w:pPr>
      <w:r w:rsidRPr="00E639A0">
        <w:rPr>
          <w:b/>
          <w:bCs w:val="0"/>
          <w:iCs/>
          <w:sz w:val="24"/>
          <w:szCs w:val="24"/>
          <w:u w:val="single"/>
        </w:rPr>
        <w:t xml:space="preserve">One-off costs </w:t>
      </w:r>
    </w:p>
    <w:p w14:paraId="321DCAFE" w14:textId="0A2AA98F" w:rsidR="00E145F2" w:rsidRPr="00E639A0" w:rsidRDefault="00F905F4" w:rsidP="00E145F2">
      <w:pPr>
        <w:pStyle w:val="Default"/>
        <w:spacing w:after="120"/>
        <w:rPr>
          <w:bCs/>
          <w:u w:val="single"/>
        </w:rPr>
      </w:pPr>
      <w:r w:rsidRPr="00E639A0">
        <w:rPr>
          <w:bCs/>
          <w:u w:val="single"/>
        </w:rPr>
        <w:t>Business f</w:t>
      </w:r>
      <w:r w:rsidR="00E145F2" w:rsidRPr="00E639A0">
        <w:rPr>
          <w:bCs/>
          <w:u w:val="single"/>
        </w:rPr>
        <w:t>amiliarisation costs</w:t>
      </w:r>
    </w:p>
    <w:p w14:paraId="3C014E36" w14:textId="580C8011" w:rsidR="00E145F2" w:rsidRPr="00E639A0" w:rsidRDefault="00E145F2" w:rsidP="00332DC0">
      <w:pPr>
        <w:pStyle w:val="ListParagraph"/>
        <w:numPr>
          <w:ilvl w:val="0"/>
          <w:numId w:val="7"/>
        </w:numPr>
        <w:rPr>
          <w:rFonts w:cs="Arial"/>
        </w:rPr>
      </w:pPr>
      <w:r w:rsidRPr="00E639A0">
        <w:rPr>
          <w:rFonts w:cs="Arial"/>
        </w:rPr>
        <w:t xml:space="preserve">Due to the policy, businesses will have to spend more time familiarising themselves with the new legislation. Businesses will already be broadly familiar with the policy as this legislation is an extension to existing legislation. Familiarisation </w:t>
      </w:r>
      <w:r w:rsidR="00624A85" w:rsidRPr="00E639A0">
        <w:rPr>
          <w:rFonts w:cs="Arial"/>
        </w:rPr>
        <w:t>with</w:t>
      </w:r>
      <w:r w:rsidRPr="00E639A0">
        <w:rPr>
          <w:rFonts w:cs="Arial"/>
        </w:rPr>
        <w:t xml:space="preserve"> the legislation is assumed to consist of reading and understanding the legislation and informing staff within the organisation. We do not expect firms to provide additional formal training on this legislation, as the legislation only extends existing redundancy protection to new groups of employees. The full costs of familiarisation for redundancy protection under MAPLE </w:t>
      </w:r>
      <w:r w:rsidR="00624A85" w:rsidRPr="00E639A0">
        <w:rPr>
          <w:rFonts w:cs="Arial"/>
        </w:rPr>
        <w:t>were</w:t>
      </w:r>
      <w:r w:rsidRPr="00E639A0">
        <w:rPr>
          <w:rFonts w:cs="Arial"/>
        </w:rPr>
        <w:t xml:space="preserve"> captured when the original policy was introduced.</w:t>
      </w:r>
    </w:p>
    <w:p w14:paraId="19224297" w14:textId="77777777" w:rsidR="00E145F2" w:rsidRPr="00E639A0" w:rsidRDefault="00E145F2" w:rsidP="00E145F2">
      <w:pPr>
        <w:pStyle w:val="ListParagraph"/>
        <w:rPr>
          <w:rFonts w:cs="Arial"/>
        </w:rPr>
      </w:pPr>
    </w:p>
    <w:p w14:paraId="52614D95" w14:textId="1B6991DD" w:rsidR="00E145F2" w:rsidRPr="00E639A0" w:rsidRDefault="00E145F2" w:rsidP="00332DC0">
      <w:pPr>
        <w:pStyle w:val="ListParagraph"/>
        <w:numPr>
          <w:ilvl w:val="0"/>
          <w:numId w:val="7"/>
        </w:numPr>
        <w:rPr>
          <w:rFonts w:cs="Arial"/>
        </w:rPr>
      </w:pPr>
      <w:r w:rsidRPr="00E639A0">
        <w:rPr>
          <w:rFonts w:cs="Arial"/>
        </w:rPr>
        <w:t xml:space="preserve">Through consultation we have tested our assumptions around familiarisation, including through discussions with the Chartered Institute of Personnel and Development (CIPD). We are unable to specifically evidence our assumptions with a published data source but are reassured that the pregnancy and maternity discrimination laws do not create significant </w:t>
      </w:r>
      <w:r w:rsidR="00A04849" w:rsidRPr="00E639A0">
        <w:rPr>
          <w:rFonts w:cs="Arial"/>
        </w:rPr>
        <w:t>familiarisation</w:t>
      </w:r>
      <w:r w:rsidRPr="00E639A0">
        <w:rPr>
          <w:rFonts w:cs="Arial"/>
        </w:rPr>
        <w:t xml:space="preserve"> burdens on employers. Around 61% of private sector employers stated that these laws are “well drafted” and “easy to apply” in a 2016 CIPD survey on employment law burdens.  </w:t>
      </w:r>
    </w:p>
    <w:p w14:paraId="79EA25D7" w14:textId="77777777" w:rsidR="00E145F2" w:rsidRPr="00E639A0" w:rsidRDefault="00E145F2" w:rsidP="00E145F2">
      <w:pPr>
        <w:pStyle w:val="ListParagraph"/>
        <w:rPr>
          <w:rFonts w:cs="Arial"/>
        </w:rPr>
      </w:pPr>
    </w:p>
    <w:p w14:paraId="26BAABB5" w14:textId="7356ABF3" w:rsidR="00E145F2" w:rsidRPr="00E639A0" w:rsidRDefault="00E145F2" w:rsidP="00332DC0">
      <w:pPr>
        <w:pStyle w:val="ListParagraph"/>
        <w:numPr>
          <w:ilvl w:val="0"/>
          <w:numId w:val="7"/>
        </w:numPr>
        <w:rPr>
          <w:rFonts w:cs="Arial"/>
        </w:rPr>
      </w:pPr>
      <w:r w:rsidRPr="00E639A0">
        <w:rPr>
          <w:rFonts w:cs="Arial"/>
        </w:rPr>
        <w:t>We assume that each small business will spend less time on familiarisation than each large business, as smaller firms, by definition, have fewer staff to inform. They also have less complex communication systems so filtering information down the organisation will be less resource intensive. We assume that for smaller businesses (1 – 49 employees)</w:t>
      </w:r>
      <w:r w:rsidRPr="00E639A0">
        <w:rPr>
          <w:rStyle w:val="FootnoteReference"/>
          <w:rFonts w:cs="Arial"/>
          <w:sz w:val="24"/>
        </w:rPr>
        <w:footnoteReference w:id="35"/>
      </w:r>
      <w:r w:rsidRPr="00E639A0">
        <w:rPr>
          <w:rFonts w:cs="Arial"/>
        </w:rPr>
        <w:t xml:space="preserve">, a manager or senior member of staff will spend around 30 minutes to understand the extension to the policy, in line with familiarisation time assumed for other areas of employment law (national living wage, one sided flexibility etc). </w:t>
      </w:r>
    </w:p>
    <w:p w14:paraId="625A094E" w14:textId="77777777" w:rsidR="00E145F2" w:rsidRPr="00E639A0" w:rsidRDefault="00E145F2" w:rsidP="00E145F2">
      <w:pPr>
        <w:pStyle w:val="ListParagraph"/>
        <w:rPr>
          <w:rFonts w:cs="Arial"/>
        </w:rPr>
      </w:pPr>
    </w:p>
    <w:p w14:paraId="3323EB46" w14:textId="3C0D9BFC" w:rsidR="00E145F2" w:rsidRPr="00E639A0" w:rsidRDefault="00E145F2" w:rsidP="00332DC0">
      <w:pPr>
        <w:pStyle w:val="ListParagraph"/>
        <w:numPr>
          <w:ilvl w:val="0"/>
          <w:numId w:val="7"/>
        </w:numPr>
        <w:rPr>
          <w:rFonts w:cs="Arial"/>
        </w:rPr>
      </w:pPr>
      <w:r w:rsidRPr="00E639A0">
        <w:rPr>
          <w:rFonts w:cs="Arial"/>
        </w:rPr>
        <w:t>For larger businesses, HR directors are assumed to spend time understanding the changes to the policy and inform other members of staff (particularly managers) of the new groups eligible for redundancy protection. For large businesses (&gt;50 employees), we assume that an HR director and 3 HR administrative assistants will each spend around 2 hours on familiarisation.</w:t>
      </w:r>
    </w:p>
    <w:p w14:paraId="0405B287" w14:textId="77777777" w:rsidR="00E145F2" w:rsidRPr="00E639A0" w:rsidRDefault="00E145F2" w:rsidP="00E145F2">
      <w:pPr>
        <w:pStyle w:val="ListParagraph"/>
        <w:rPr>
          <w:rFonts w:cs="Arial"/>
        </w:rPr>
      </w:pPr>
    </w:p>
    <w:p w14:paraId="3A098A26" w14:textId="7F68FC5D" w:rsidR="00E145F2" w:rsidRPr="00E639A0" w:rsidRDefault="00E145F2" w:rsidP="00332DC0">
      <w:pPr>
        <w:pStyle w:val="EBBodyPara"/>
        <w:numPr>
          <w:ilvl w:val="0"/>
          <w:numId w:val="7"/>
        </w:numPr>
        <w:rPr>
          <w:sz w:val="24"/>
          <w:szCs w:val="24"/>
        </w:rPr>
      </w:pPr>
      <w:r w:rsidRPr="00E639A0">
        <w:rPr>
          <w:sz w:val="24"/>
          <w:szCs w:val="24"/>
        </w:rPr>
        <w:t>In large businesses, an HR Manager or Director is likely to be responsible for familiarisation. Using data from the Annual Survey of Hours and Earnings 2021</w:t>
      </w:r>
      <w:r w:rsidRPr="00E639A0">
        <w:rPr>
          <w:rStyle w:val="FootnoteReference"/>
          <w:rFonts w:cs="Arial"/>
          <w:sz w:val="24"/>
          <w:szCs w:val="24"/>
        </w:rPr>
        <w:footnoteReference w:id="36"/>
      </w:r>
      <w:r w:rsidRPr="00E639A0">
        <w:rPr>
          <w:sz w:val="24"/>
          <w:szCs w:val="24"/>
        </w:rPr>
        <w:t xml:space="preserve"> (ASHE), the mean hourly wage rate is £26.52 per hour. Applying an uprating of 21.8% to include non-wage labour costs results in a total rate of £32.30 per hour. In addition, in large firms we assume that 3 HR administrative assistants on £12.50 per hour will familiarise themselves with the legislation. After accounting for non-wage costs, the total rate is estimated at £15.22 for each assistant. For small firms, we assume the Managing Director/Owner will be responsible for familiarisation. The average wage of Managers/Directors/Senior official is £26.60 (rising to £32.40 after adjusting for non-wage costs). The table below shows the approach taken for estimating familiarisation costs.</w:t>
      </w:r>
    </w:p>
    <w:p w14:paraId="67D16B22" w14:textId="7B288179" w:rsidR="00DA2CD0" w:rsidRPr="00E639A0" w:rsidRDefault="00DA2CD0" w:rsidP="00966C03">
      <w:pPr>
        <w:pStyle w:val="Heading4"/>
        <w:rPr>
          <w:sz w:val="24"/>
          <w:szCs w:val="24"/>
        </w:rPr>
      </w:pPr>
      <w:r w:rsidRPr="00E639A0">
        <w:rPr>
          <w:sz w:val="24"/>
          <w:szCs w:val="24"/>
        </w:rPr>
        <w:t xml:space="preserve">Table </w:t>
      </w:r>
      <w:r w:rsidR="00966C03" w:rsidRPr="00E639A0">
        <w:rPr>
          <w:sz w:val="24"/>
          <w:szCs w:val="24"/>
        </w:rPr>
        <w:t>2</w:t>
      </w:r>
      <w:r w:rsidRPr="00E639A0">
        <w:rPr>
          <w:sz w:val="24"/>
          <w:szCs w:val="24"/>
        </w:rPr>
        <w:t xml:space="preserve"> – Familiarisation costs </w:t>
      </w:r>
      <w:r w:rsidR="00D71656" w:rsidRPr="00E639A0">
        <w:rPr>
          <w:sz w:val="24"/>
          <w:szCs w:val="24"/>
        </w:rPr>
        <w:t>for businesses</w:t>
      </w:r>
    </w:p>
    <w:p w14:paraId="6807DCA7" w14:textId="77777777" w:rsidR="00DA2CD0" w:rsidRPr="00E639A0" w:rsidRDefault="00DA2CD0" w:rsidP="00DA2CD0">
      <w:pPr>
        <w:pStyle w:val="ListParagraph"/>
        <w:rPr>
          <w:rFonts w:cs="Arial"/>
        </w:rPr>
      </w:pPr>
    </w:p>
    <w:tbl>
      <w:tblPr>
        <w:tblpPr w:leftFromText="180" w:rightFromText="180" w:vertAnchor="text" w:horzAnchor="page" w:tblpX="1381" w:tblpY="-19"/>
        <w:tblW w:w="9634" w:type="dxa"/>
        <w:tblLook w:val="04A0" w:firstRow="1" w:lastRow="0" w:firstColumn="1" w:lastColumn="0" w:noHBand="0" w:noVBand="1"/>
      </w:tblPr>
      <w:tblGrid>
        <w:gridCol w:w="2972"/>
        <w:gridCol w:w="1843"/>
        <w:gridCol w:w="1559"/>
        <w:gridCol w:w="1843"/>
        <w:gridCol w:w="1417"/>
      </w:tblGrid>
      <w:tr w:rsidR="00DA2CD0" w:rsidRPr="00E639A0" w14:paraId="786A1DA9" w14:textId="77777777">
        <w:trPr>
          <w:trHeight w:val="353"/>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A8E2B0" w14:textId="77777777" w:rsidR="00DA2CD0" w:rsidRPr="00E639A0" w:rsidRDefault="00DA2CD0">
            <w:pPr>
              <w:rPr>
                <w:rFonts w:cs="Arial"/>
                <w:b/>
                <w:bCs/>
                <w:color w:val="000000"/>
                <w:lang w:eastAsia="en-GB"/>
              </w:rPr>
            </w:pPr>
            <w:r w:rsidRPr="00E639A0">
              <w:rPr>
                <w:rFonts w:cs="Arial"/>
                <w:b/>
                <w:bCs/>
                <w:color w:val="000000"/>
                <w:lang w:eastAsia="en-GB"/>
              </w:rPr>
              <w:t>Business Size</w:t>
            </w:r>
          </w:p>
        </w:tc>
        <w:tc>
          <w:tcPr>
            <w:tcW w:w="1843" w:type="dxa"/>
            <w:tcBorders>
              <w:top w:val="single" w:sz="4" w:space="0" w:color="auto"/>
              <w:left w:val="nil"/>
              <w:bottom w:val="single" w:sz="4" w:space="0" w:color="auto"/>
              <w:right w:val="nil"/>
            </w:tcBorders>
            <w:shd w:val="clear" w:color="auto" w:fill="auto"/>
            <w:noWrap/>
            <w:vAlign w:val="bottom"/>
            <w:hideMark/>
          </w:tcPr>
          <w:p w14:paraId="3A0D429E" w14:textId="77777777" w:rsidR="00DA2CD0" w:rsidRPr="00E639A0" w:rsidRDefault="00DA2CD0">
            <w:pPr>
              <w:jc w:val="center"/>
              <w:rPr>
                <w:rFonts w:cs="Arial"/>
                <w:b/>
                <w:bCs/>
                <w:color w:val="000000"/>
                <w:lang w:eastAsia="en-GB"/>
              </w:rPr>
            </w:pPr>
            <w:r w:rsidRPr="00E639A0">
              <w:rPr>
                <w:rFonts w:cs="Arial"/>
                <w:b/>
                <w:bCs/>
                <w:color w:val="000000"/>
                <w:lang w:eastAsia="en-GB"/>
              </w:rPr>
              <w:t>Number of firms</w:t>
            </w:r>
          </w:p>
        </w:tc>
        <w:tc>
          <w:tcPr>
            <w:tcW w:w="155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C18895" w14:textId="77777777" w:rsidR="00DA2CD0" w:rsidRPr="00E639A0" w:rsidRDefault="00DA2CD0">
            <w:pPr>
              <w:jc w:val="center"/>
              <w:rPr>
                <w:rFonts w:cs="Arial"/>
                <w:b/>
                <w:bCs/>
                <w:color w:val="000000"/>
                <w:lang w:eastAsia="en-GB"/>
              </w:rPr>
            </w:pPr>
            <w:r w:rsidRPr="00E639A0">
              <w:rPr>
                <w:rFonts w:cs="Arial"/>
                <w:b/>
                <w:bCs/>
                <w:color w:val="000000"/>
                <w:lang w:eastAsia="en-GB"/>
              </w:rPr>
              <w:t>Assumed Time (hrs)</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00A1862A" w14:textId="77777777" w:rsidR="00DA2CD0" w:rsidRPr="00E639A0" w:rsidRDefault="00DA2CD0">
            <w:pPr>
              <w:jc w:val="center"/>
              <w:rPr>
                <w:rFonts w:cs="Arial"/>
                <w:b/>
                <w:bCs/>
                <w:color w:val="000000"/>
                <w:lang w:eastAsia="en-GB"/>
              </w:rPr>
            </w:pPr>
            <w:r w:rsidRPr="00E639A0">
              <w:rPr>
                <w:rFonts w:cs="Arial"/>
                <w:b/>
                <w:bCs/>
                <w:color w:val="000000"/>
                <w:lang w:eastAsia="en-GB"/>
              </w:rPr>
              <w:t>Wage and non- wage cost (per hour)</w:t>
            </w:r>
          </w:p>
        </w:tc>
        <w:tc>
          <w:tcPr>
            <w:tcW w:w="1417" w:type="dxa"/>
            <w:tcBorders>
              <w:top w:val="single" w:sz="4" w:space="0" w:color="auto"/>
              <w:left w:val="nil"/>
              <w:bottom w:val="single" w:sz="4" w:space="0" w:color="auto"/>
              <w:right w:val="single" w:sz="4" w:space="0" w:color="auto"/>
            </w:tcBorders>
            <w:shd w:val="clear" w:color="auto" w:fill="auto"/>
            <w:noWrap/>
            <w:vAlign w:val="bottom"/>
            <w:hideMark/>
          </w:tcPr>
          <w:p w14:paraId="4FA4980D" w14:textId="77777777" w:rsidR="00DA2CD0" w:rsidRPr="00E639A0" w:rsidRDefault="00DA2CD0">
            <w:pPr>
              <w:jc w:val="center"/>
              <w:rPr>
                <w:rFonts w:cs="Arial"/>
                <w:b/>
                <w:bCs/>
                <w:color w:val="000000"/>
                <w:lang w:eastAsia="en-GB"/>
              </w:rPr>
            </w:pPr>
            <w:r w:rsidRPr="00E639A0">
              <w:rPr>
                <w:rFonts w:cs="Arial"/>
                <w:b/>
                <w:bCs/>
                <w:color w:val="000000"/>
                <w:lang w:eastAsia="en-GB"/>
              </w:rPr>
              <w:t xml:space="preserve">Total Costs </w:t>
            </w:r>
          </w:p>
        </w:tc>
      </w:tr>
      <w:tr w:rsidR="00DA2CD0" w:rsidRPr="00E639A0" w14:paraId="1339997A" w14:textId="77777777">
        <w:trPr>
          <w:trHeight w:val="353"/>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1A00DA20" w14:textId="77777777" w:rsidR="00DA2CD0" w:rsidRPr="00E639A0" w:rsidRDefault="00DA2CD0">
            <w:pPr>
              <w:rPr>
                <w:rFonts w:cs="Arial"/>
                <w:color w:val="000000"/>
                <w:lang w:eastAsia="en-GB"/>
              </w:rPr>
            </w:pPr>
            <w:r w:rsidRPr="00E639A0">
              <w:rPr>
                <w:rFonts w:cs="Arial"/>
                <w:color w:val="000000"/>
                <w:lang w:eastAsia="en-GB"/>
              </w:rPr>
              <w:t>Small Firms (1 – 49 employees)</w:t>
            </w:r>
          </w:p>
        </w:tc>
        <w:tc>
          <w:tcPr>
            <w:tcW w:w="1843" w:type="dxa"/>
            <w:tcBorders>
              <w:top w:val="single" w:sz="4" w:space="0" w:color="auto"/>
              <w:left w:val="nil"/>
              <w:bottom w:val="single" w:sz="4" w:space="0" w:color="auto"/>
              <w:right w:val="single" w:sz="4" w:space="0" w:color="auto"/>
            </w:tcBorders>
            <w:shd w:val="clear" w:color="auto" w:fill="auto"/>
            <w:noWrap/>
            <w:vAlign w:val="bottom"/>
            <w:hideMark/>
          </w:tcPr>
          <w:p w14:paraId="2DBCCFAC" w14:textId="77777777" w:rsidR="00DA2CD0" w:rsidRPr="00E639A0" w:rsidRDefault="00DA2CD0">
            <w:pPr>
              <w:jc w:val="center"/>
              <w:rPr>
                <w:rFonts w:cs="Arial"/>
                <w:color w:val="000000"/>
                <w:lang w:eastAsia="en-GB"/>
              </w:rPr>
            </w:pPr>
            <w:r w:rsidRPr="00E639A0">
              <w:rPr>
                <w:rFonts w:cs="Arial"/>
                <w:color w:val="000000"/>
                <w:lang w:eastAsia="en-GB"/>
              </w:rPr>
              <w:t>1,392,000</w:t>
            </w:r>
          </w:p>
        </w:tc>
        <w:tc>
          <w:tcPr>
            <w:tcW w:w="1559" w:type="dxa"/>
            <w:tcBorders>
              <w:top w:val="nil"/>
              <w:left w:val="nil"/>
              <w:bottom w:val="single" w:sz="4" w:space="0" w:color="auto"/>
              <w:right w:val="single" w:sz="4" w:space="0" w:color="auto"/>
            </w:tcBorders>
            <w:shd w:val="clear" w:color="auto" w:fill="auto"/>
            <w:noWrap/>
            <w:vAlign w:val="bottom"/>
            <w:hideMark/>
          </w:tcPr>
          <w:p w14:paraId="3F77CF5A" w14:textId="77777777" w:rsidR="00DA2CD0" w:rsidRPr="00E639A0" w:rsidRDefault="00DA2CD0">
            <w:pPr>
              <w:jc w:val="center"/>
              <w:rPr>
                <w:rFonts w:cs="Arial"/>
                <w:color w:val="000000"/>
                <w:lang w:eastAsia="en-GB"/>
              </w:rPr>
            </w:pPr>
            <w:r w:rsidRPr="00E639A0">
              <w:rPr>
                <w:rFonts w:cs="Arial"/>
                <w:color w:val="000000"/>
                <w:lang w:eastAsia="en-GB"/>
              </w:rPr>
              <w:t>0.5</w:t>
            </w:r>
          </w:p>
        </w:tc>
        <w:tc>
          <w:tcPr>
            <w:tcW w:w="1843" w:type="dxa"/>
            <w:tcBorders>
              <w:top w:val="nil"/>
              <w:left w:val="nil"/>
              <w:bottom w:val="single" w:sz="4" w:space="0" w:color="auto"/>
              <w:right w:val="single" w:sz="4" w:space="0" w:color="auto"/>
            </w:tcBorders>
            <w:shd w:val="clear" w:color="auto" w:fill="auto"/>
            <w:noWrap/>
            <w:vAlign w:val="bottom"/>
            <w:hideMark/>
          </w:tcPr>
          <w:p w14:paraId="725A8FAD" w14:textId="77777777" w:rsidR="00DA2CD0" w:rsidRPr="00E639A0" w:rsidRDefault="00DA2CD0">
            <w:pPr>
              <w:jc w:val="center"/>
              <w:rPr>
                <w:rFonts w:cs="Arial"/>
                <w:color w:val="000000"/>
                <w:lang w:eastAsia="en-GB"/>
              </w:rPr>
            </w:pPr>
            <w:r w:rsidRPr="00E639A0">
              <w:rPr>
                <w:rFonts w:cs="Arial"/>
                <w:color w:val="000000"/>
                <w:lang w:eastAsia="en-GB"/>
              </w:rPr>
              <w:t>£32.40</w:t>
            </w:r>
          </w:p>
        </w:tc>
        <w:tc>
          <w:tcPr>
            <w:tcW w:w="1417" w:type="dxa"/>
            <w:tcBorders>
              <w:top w:val="nil"/>
              <w:left w:val="nil"/>
              <w:bottom w:val="single" w:sz="4" w:space="0" w:color="auto"/>
              <w:right w:val="single" w:sz="4" w:space="0" w:color="auto"/>
            </w:tcBorders>
            <w:shd w:val="clear" w:color="auto" w:fill="auto"/>
            <w:noWrap/>
            <w:vAlign w:val="bottom"/>
            <w:hideMark/>
          </w:tcPr>
          <w:p w14:paraId="1746D3D7" w14:textId="77777777" w:rsidR="00DA2CD0" w:rsidRPr="00E639A0" w:rsidRDefault="00DA2CD0">
            <w:pPr>
              <w:jc w:val="center"/>
              <w:rPr>
                <w:rFonts w:cs="Arial"/>
                <w:b/>
                <w:color w:val="000000"/>
                <w:lang w:eastAsia="en-GB"/>
              </w:rPr>
            </w:pPr>
            <w:r w:rsidRPr="00E639A0">
              <w:rPr>
                <w:rFonts w:cs="Arial"/>
                <w:b/>
                <w:color w:val="000000"/>
                <w:lang w:eastAsia="en-GB"/>
              </w:rPr>
              <w:t>£22.5m</w:t>
            </w:r>
          </w:p>
        </w:tc>
      </w:tr>
      <w:tr w:rsidR="00DA2CD0" w:rsidRPr="00E639A0" w14:paraId="72697727" w14:textId="77777777">
        <w:trPr>
          <w:trHeight w:val="353"/>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3C1A3E8" w14:textId="77777777" w:rsidR="00DA2CD0" w:rsidRPr="00E639A0" w:rsidRDefault="00DA2CD0">
            <w:pPr>
              <w:rPr>
                <w:rFonts w:cs="Arial"/>
                <w:color w:val="000000"/>
                <w:lang w:eastAsia="en-GB"/>
              </w:rPr>
            </w:pPr>
            <w:r w:rsidRPr="00E639A0">
              <w:rPr>
                <w:rFonts w:cs="Arial"/>
                <w:color w:val="000000"/>
                <w:lang w:eastAsia="en-GB"/>
              </w:rPr>
              <w:t>Large Firms (&gt;50 employees)</w:t>
            </w:r>
          </w:p>
        </w:tc>
        <w:tc>
          <w:tcPr>
            <w:tcW w:w="1843" w:type="dxa"/>
            <w:tcBorders>
              <w:top w:val="nil"/>
              <w:left w:val="nil"/>
              <w:bottom w:val="single" w:sz="4" w:space="0" w:color="auto"/>
              <w:right w:val="single" w:sz="4" w:space="0" w:color="auto"/>
            </w:tcBorders>
            <w:shd w:val="clear" w:color="auto" w:fill="auto"/>
            <w:noWrap/>
            <w:vAlign w:val="bottom"/>
            <w:hideMark/>
          </w:tcPr>
          <w:p w14:paraId="56B9B2CD" w14:textId="77777777" w:rsidR="00DA2CD0" w:rsidRPr="00E639A0" w:rsidRDefault="00DA2CD0">
            <w:pPr>
              <w:jc w:val="center"/>
              <w:rPr>
                <w:rFonts w:cs="Arial"/>
                <w:color w:val="000000"/>
                <w:lang w:eastAsia="en-GB"/>
              </w:rPr>
            </w:pPr>
            <w:r w:rsidRPr="00E639A0">
              <w:rPr>
                <w:rFonts w:cs="Arial"/>
                <w:color w:val="000000"/>
                <w:lang w:eastAsia="en-GB"/>
              </w:rPr>
              <w:t>51,000</w:t>
            </w:r>
          </w:p>
        </w:tc>
        <w:tc>
          <w:tcPr>
            <w:tcW w:w="1559" w:type="dxa"/>
            <w:tcBorders>
              <w:top w:val="nil"/>
              <w:left w:val="nil"/>
              <w:bottom w:val="single" w:sz="4" w:space="0" w:color="auto"/>
              <w:right w:val="single" w:sz="4" w:space="0" w:color="auto"/>
            </w:tcBorders>
            <w:shd w:val="clear" w:color="auto" w:fill="auto"/>
            <w:noWrap/>
            <w:vAlign w:val="bottom"/>
            <w:hideMark/>
          </w:tcPr>
          <w:p w14:paraId="2D0D532B" w14:textId="77777777" w:rsidR="00DA2CD0" w:rsidRPr="00E639A0" w:rsidRDefault="00DA2CD0">
            <w:pPr>
              <w:jc w:val="center"/>
              <w:rPr>
                <w:rFonts w:cs="Arial"/>
                <w:color w:val="000000"/>
                <w:lang w:eastAsia="en-GB"/>
              </w:rPr>
            </w:pPr>
            <w:r w:rsidRPr="00E639A0">
              <w:rPr>
                <w:rFonts w:cs="Arial"/>
                <w:color w:val="000000"/>
                <w:lang w:eastAsia="en-GB"/>
              </w:rPr>
              <w:t>2</w:t>
            </w:r>
          </w:p>
        </w:tc>
        <w:tc>
          <w:tcPr>
            <w:tcW w:w="1843" w:type="dxa"/>
            <w:tcBorders>
              <w:top w:val="nil"/>
              <w:left w:val="nil"/>
              <w:bottom w:val="single" w:sz="4" w:space="0" w:color="auto"/>
              <w:right w:val="single" w:sz="4" w:space="0" w:color="auto"/>
            </w:tcBorders>
            <w:shd w:val="clear" w:color="auto" w:fill="auto"/>
            <w:noWrap/>
            <w:vAlign w:val="bottom"/>
            <w:hideMark/>
          </w:tcPr>
          <w:p w14:paraId="733C534A" w14:textId="0ECC7786" w:rsidR="00DA2CD0" w:rsidRPr="00E639A0" w:rsidRDefault="00DA2CD0">
            <w:pPr>
              <w:jc w:val="center"/>
              <w:rPr>
                <w:rFonts w:cs="Arial"/>
                <w:color w:val="000000"/>
                <w:lang w:eastAsia="en-GB"/>
              </w:rPr>
            </w:pPr>
            <w:r w:rsidRPr="00E639A0">
              <w:rPr>
                <w:rFonts w:cs="Arial"/>
                <w:color w:val="000000"/>
                <w:lang w:eastAsia="en-GB"/>
              </w:rPr>
              <w:t>£77.9</w:t>
            </w:r>
            <w:r w:rsidR="00806F23" w:rsidRPr="00E639A0">
              <w:rPr>
                <w:rFonts w:cs="Arial"/>
                <w:color w:val="000000"/>
                <w:lang w:eastAsia="en-GB"/>
              </w:rPr>
              <w:t>6</w:t>
            </w:r>
          </w:p>
        </w:tc>
        <w:tc>
          <w:tcPr>
            <w:tcW w:w="1417" w:type="dxa"/>
            <w:tcBorders>
              <w:top w:val="nil"/>
              <w:left w:val="nil"/>
              <w:bottom w:val="single" w:sz="4" w:space="0" w:color="auto"/>
              <w:right w:val="single" w:sz="4" w:space="0" w:color="auto"/>
            </w:tcBorders>
            <w:shd w:val="clear" w:color="auto" w:fill="auto"/>
            <w:noWrap/>
            <w:vAlign w:val="bottom"/>
            <w:hideMark/>
          </w:tcPr>
          <w:p w14:paraId="6C542056" w14:textId="77777777" w:rsidR="00DA2CD0" w:rsidRPr="00E639A0" w:rsidRDefault="00DA2CD0">
            <w:pPr>
              <w:jc w:val="center"/>
              <w:rPr>
                <w:rFonts w:cs="Arial"/>
                <w:b/>
                <w:color w:val="000000"/>
                <w:lang w:eastAsia="en-GB"/>
              </w:rPr>
            </w:pPr>
            <w:r w:rsidRPr="00E639A0">
              <w:rPr>
                <w:rFonts w:cs="Arial"/>
                <w:b/>
                <w:color w:val="000000"/>
                <w:lang w:eastAsia="en-GB"/>
              </w:rPr>
              <w:t>£7.9m</w:t>
            </w:r>
          </w:p>
        </w:tc>
      </w:tr>
    </w:tbl>
    <w:p w14:paraId="530D135F" w14:textId="0B5DE758" w:rsidR="00DA2CD0" w:rsidRPr="00E639A0" w:rsidRDefault="00DA2CD0" w:rsidP="00332DC0">
      <w:pPr>
        <w:pStyle w:val="ListParagraph"/>
        <w:numPr>
          <w:ilvl w:val="0"/>
          <w:numId w:val="7"/>
        </w:numPr>
        <w:rPr>
          <w:rFonts w:cs="Arial"/>
        </w:rPr>
      </w:pPr>
      <w:r w:rsidRPr="00E639A0">
        <w:rPr>
          <w:rFonts w:cs="Arial"/>
        </w:rPr>
        <w:t xml:space="preserve">Using the 2021 BEIS Business population estimates to estimate the number of firms affected, we </w:t>
      </w:r>
      <w:r w:rsidRPr="00E639A0">
        <w:rPr>
          <w:rFonts w:cs="Arial"/>
          <w:b/>
          <w:bCs/>
        </w:rPr>
        <w:t>estimate total familiarisation costs to be £30.4m</w:t>
      </w:r>
      <w:r w:rsidRPr="00E639A0">
        <w:rPr>
          <w:rFonts w:cs="Arial"/>
        </w:rPr>
        <w:t xml:space="preserve">.  </w:t>
      </w:r>
    </w:p>
    <w:p w14:paraId="1C59B15D" w14:textId="77777777" w:rsidR="00F905F4" w:rsidRPr="00E639A0" w:rsidRDefault="00F905F4" w:rsidP="00E145F2">
      <w:pPr>
        <w:pStyle w:val="EBBodyPara"/>
        <w:rPr>
          <w:b/>
          <w:sz w:val="24"/>
          <w:szCs w:val="24"/>
          <w:u w:val="single"/>
        </w:rPr>
      </w:pPr>
    </w:p>
    <w:p w14:paraId="0485E0F6" w14:textId="72F44F5A" w:rsidR="00AE7CD4" w:rsidRPr="00E639A0" w:rsidRDefault="00442020" w:rsidP="00442020">
      <w:pPr>
        <w:pStyle w:val="EBBodyPara"/>
        <w:rPr>
          <w:b/>
          <w:bCs w:val="0"/>
          <w:iCs/>
          <w:sz w:val="24"/>
          <w:szCs w:val="24"/>
          <w:u w:val="single"/>
        </w:rPr>
      </w:pPr>
      <w:r w:rsidRPr="00E639A0">
        <w:rPr>
          <w:b/>
          <w:bCs w:val="0"/>
          <w:iCs/>
          <w:sz w:val="24"/>
          <w:szCs w:val="24"/>
          <w:u w:val="single"/>
        </w:rPr>
        <w:t xml:space="preserve">Recurring costs </w:t>
      </w:r>
    </w:p>
    <w:p w14:paraId="544EDF96" w14:textId="576FE994" w:rsidR="00B8615B" w:rsidRPr="00E639A0" w:rsidRDefault="00AE7CD4" w:rsidP="00442020">
      <w:pPr>
        <w:pStyle w:val="EBBodyPara"/>
        <w:rPr>
          <w:iCs/>
          <w:sz w:val="24"/>
          <w:szCs w:val="24"/>
        </w:rPr>
      </w:pPr>
      <w:r w:rsidRPr="00E639A0">
        <w:rPr>
          <w:iCs/>
          <w:sz w:val="24"/>
          <w:szCs w:val="24"/>
        </w:rPr>
        <w:t>The monetised r</w:t>
      </w:r>
      <w:r w:rsidR="00B8615B" w:rsidRPr="00E639A0">
        <w:rPr>
          <w:iCs/>
          <w:sz w:val="24"/>
          <w:szCs w:val="24"/>
        </w:rPr>
        <w:t>ecurring costs are:</w:t>
      </w:r>
    </w:p>
    <w:p w14:paraId="7E8A9DC3" w14:textId="10FC7E15" w:rsidR="003542C3" w:rsidRPr="00E639A0" w:rsidRDefault="00B01749" w:rsidP="006E473D">
      <w:pPr>
        <w:pStyle w:val="ListParagraph"/>
        <w:numPr>
          <w:ilvl w:val="0"/>
          <w:numId w:val="138"/>
        </w:numPr>
        <w:textAlignment w:val="center"/>
        <w:rPr>
          <w:rFonts w:cs="Arial"/>
          <w:lang w:eastAsia="en-GB"/>
        </w:rPr>
      </w:pPr>
      <w:r w:rsidRPr="00E639A0">
        <w:rPr>
          <w:rFonts w:cs="Arial"/>
          <w:b/>
          <w:bCs/>
          <w:lang w:eastAsia="en-GB"/>
        </w:rPr>
        <w:t>Net b</w:t>
      </w:r>
      <w:r w:rsidR="003542C3" w:rsidRPr="00E639A0">
        <w:rPr>
          <w:rFonts w:cs="Arial"/>
          <w:b/>
          <w:bCs/>
          <w:lang w:eastAsia="en-GB"/>
        </w:rPr>
        <w:t>usiness</w:t>
      </w:r>
      <w:r w:rsidR="00383B32" w:rsidRPr="00E639A0">
        <w:rPr>
          <w:rFonts w:cs="Arial"/>
          <w:b/>
          <w:bCs/>
          <w:lang w:eastAsia="en-GB"/>
        </w:rPr>
        <w:t xml:space="preserve"> costs</w:t>
      </w:r>
      <w:r w:rsidR="003542C3" w:rsidRPr="00E639A0">
        <w:rPr>
          <w:rFonts w:cs="Arial"/>
          <w:b/>
          <w:bCs/>
          <w:lang w:eastAsia="en-GB"/>
        </w:rPr>
        <w:t>:</w:t>
      </w:r>
      <w:r w:rsidR="003542C3" w:rsidRPr="00E639A0">
        <w:rPr>
          <w:rFonts w:cs="Arial"/>
          <w:lang w:eastAsia="en-GB"/>
        </w:rPr>
        <w:t xml:space="preserve"> </w:t>
      </w:r>
      <w:r w:rsidR="002325A6" w:rsidRPr="00E639A0">
        <w:rPr>
          <w:rFonts w:cs="Arial"/>
          <w:lang w:eastAsia="en-GB"/>
        </w:rPr>
        <w:t>Large employer contribution to maternity payments</w:t>
      </w:r>
      <w:r w:rsidRPr="00E639A0">
        <w:rPr>
          <w:rFonts w:cs="Arial"/>
          <w:lang w:eastAsia="en-GB"/>
        </w:rPr>
        <w:t xml:space="preserve"> (minus benefit to small </w:t>
      </w:r>
      <w:r w:rsidR="0052294F" w:rsidRPr="00E639A0">
        <w:rPr>
          <w:rFonts w:cs="Arial"/>
          <w:lang w:eastAsia="en-GB"/>
        </w:rPr>
        <w:t>employers)</w:t>
      </w:r>
    </w:p>
    <w:p w14:paraId="787B31BA" w14:textId="7DDC7814" w:rsidR="00383B32" w:rsidRPr="00E639A0" w:rsidRDefault="00383B32" w:rsidP="00332DC0">
      <w:pPr>
        <w:pStyle w:val="ListParagraph"/>
        <w:numPr>
          <w:ilvl w:val="0"/>
          <w:numId w:val="138"/>
        </w:numPr>
        <w:textAlignment w:val="center"/>
        <w:rPr>
          <w:rFonts w:cs="Arial"/>
          <w:lang w:eastAsia="en-GB"/>
        </w:rPr>
      </w:pPr>
      <w:r w:rsidRPr="00E639A0">
        <w:rPr>
          <w:rFonts w:cs="Arial"/>
          <w:b/>
          <w:bCs/>
          <w:lang w:eastAsia="en-GB"/>
        </w:rPr>
        <w:t>Exchequer costs</w:t>
      </w:r>
      <w:r w:rsidRPr="00E639A0">
        <w:rPr>
          <w:rFonts w:cs="Arial"/>
          <w:lang w:eastAsia="en-GB"/>
        </w:rPr>
        <w:t xml:space="preserve">: Statutory Maternity Pay cost (discounted by amount covered by business) </w:t>
      </w:r>
    </w:p>
    <w:p w14:paraId="3C6838A0" w14:textId="7DD15E76" w:rsidR="00F905F4" w:rsidRPr="00E639A0" w:rsidRDefault="00AE7CD4" w:rsidP="00332DC0">
      <w:pPr>
        <w:textAlignment w:val="center"/>
        <w:rPr>
          <w:rFonts w:cs="Arial"/>
        </w:rPr>
      </w:pPr>
      <w:r w:rsidRPr="00E639A0">
        <w:rPr>
          <w:rFonts w:cs="Arial"/>
          <w:lang w:eastAsia="en-GB"/>
        </w:rPr>
        <w:t xml:space="preserve"> </w:t>
      </w:r>
      <w:r w:rsidR="006E473D" w:rsidRPr="00E639A0">
        <w:rPr>
          <w:rFonts w:cs="Arial"/>
          <w:lang w:eastAsia="en-GB"/>
        </w:rPr>
        <w:t xml:space="preserve">  </w:t>
      </w:r>
      <w:r w:rsidR="00383B32" w:rsidRPr="00E639A0">
        <w:rPr>
          <w:rFonts w:cs="Arial"/>
          <w:lang w:eastAsia="en-GB"/>
        </w:rPr>
        <w:tab/>
      </w:r>
    </w:p>
    <w:p w14:paraId="591B8BB1" w14:textId="53B0AEDF" w:rsidR="00C4212E" w:rsidRPr="00E639A0" w:rsidRDefault="004738F7" w:rsidP="00332DC0">
      <w:pPr>
        <w:rPr>
          <w:rFonts w:cs="Arial"/>
          <w:b/>
          <w:bCs/>
          <w:u w:val="single"/>
        </w:rPr>
      </w:pPr>
      <w:r w:rsidRPr="00E639A0">
        <w:rPr>
          <w:rFonts w:cs="Arial"/>
          <w:b/>
          <w:bCs/>
          <w:u w:val="single"/>
        </w:rPr>
        <w:t xml:space="preserve">i) </w:t>
      </w:r>
      <w:r w:rsidR="00FB7180" w:rsidRPr="00E639A0">
        <w:rPr>
          <w:rFonts w:cs="Arial"/>
          <w:b/>
          <w:bCs/>
          <w:u w:val="single"/>
        </w:rPr>
        <w:t>Business costs: e</w:t>
      </w:r>
      <w:r w:rsidR="00C4212E" w:rsidRPr="00E639A0">
        <w:rPr>
          <w:rFonts w:cs="Arial"/>
          <w:b/>
          <w:bCs/>
          <w:u w:val="single"/>
        </w:rPr>
        <w:t xml:space="preserve">mployer contribution to Statutory Maternity Pay </w:t>
      </w:r>
      <w:r w:rsidR="004729F3" w:rsidRPr="00E639A0">
        <w:rPr>
          <w:rFonts w:cs="Arial"/>
          <w:b/>
          <w:bCs/>
          <w:u w:val="single"/>
        </w:rPr>
        <w:t>(SMP)</w:t>
      </w:r>
      <w:r w:rsidR="00C4212E" w:rsidRPr="00E639A0">
        <w:rPr>
          <w:rFonts w:cs="Arial"/>
          <w:b/>
          <w:bCs/>
          <w:u w:val="single"/>
        </w:rPr>
        <w:t xml:space="preserve"> costs</w:t>
      </w:r>
    </w:p>
    <w:p w14:paraId="10CAE091" w14:textId="77777777" w:rsidR="00C4212E" w:rsidRPr="00E639A0" w:rsidRDefault="00C4212E" w:rsidP="00C4212E">
      <w:pPr>
        <w:rPr>
          <w:rFonts w:cs="Arial"/>
        </w:rPr>
      </w:pPr>
    </w:p>
    <w:p w14:paraId="5215D74B" w14:textId="77777777" w:rsidR="00C4212E" w:rsidRPr="00E639A0" w:rsidRDefault="00C4212E" w:rsidP="00332DC0">
      <w:pPr>
        <w:pStyle w:val="ListParagraph"/>
        <w:numPr>
          <w:ilvl w:val="0"/>
          <w:numId w:val="7"/>
        </w:numPr>
        <w:rPr>
          <w:rFonts w:cs="Arial"/>
        </w:rPr>
      </w:pPr>
      <w:r w:rsidRPr="00E639A0">
        <w:rPr>
          <w:rFonts w:cs="Arial"/>
        </w:rPr>
        <w:t>Firms who otherwise would have made a pregnant woman redundant will now contribute to Statutory Maternity Pay (SMP). This entitlement is equivalent to 90% of salary for the first six weeks of maternity leave, and £156.66 per week for the subsequent 33 weeks. Employers administer statutory pay on behalf of Government and small employers can recover 103% of statutory payments that they make to their employees from HMRC. This represents a benefit to small businesses of 3% of their Statutory Maternity Pay. Larger employers (defined as those with a National Insurance contributions bill of £45,000 or more) can recover 92% of Statutory Maternity Pay made to their employees, thus large employers face a cost of 8% of their Statutory Maternity Pay. Using Business Population Estimates we calculate an average contribution of 5.8% to Statutory Maternity Pay from employers.</w:t>
      </w:r>
    </w:p>
    <w:p w14:paraId="2AF13010" w14:textId="77777777" w:rsidR="00C4212E" w:rsidRPr="00E639A0" w:rsidRDefault="00C4212E" w:rsidP="00C4212E">
      <w:pPr>
        <w:pStyle w:val="ListParagraph"/>
        <w:rPr>
          <w:rFonts w:cs="Arial"/>
        </w:rPr>
      </w:pPr>
    </w:p>
    <w:p w14:paraId="01CDAB29" w14:textId="77777777" w:rsidR="00C4212E" w:rsidRPr="00E639A0" w:rsidRDefault="00C4212E" w:rsidP="00332DC0">
      <w:pPr>
        <w:pStyle w:val="ListParagraph"/>
        <w:numPr>
          <w:ilvl w:val="0"/>
          <w:numId w:val="7"/>
        </w:numPr>
        <w:rPr>
          <w:rFonts w:cs="Arial"/>
        </w:rPr>
      </w:pPr>
      <w:r w:rsidRPr="00E639A0">
        <w:rPr>
          <w:rFonts w:cs="Arial"/>
        </w:rPr>
        <w:t>To qualify for Statutory Maternity Pay, employees must have worked continuously for the same employer for at least 26 weeks and earned on average £120 per week. Analysis of LFS micro data shows that 95.7% of female employees with a dependent child under 1 have worked for the same employer continuously for at least six months. For the earnings requirement we use ASHE 2021 data to estimate the percentage of female employees who earn at least £120 per week at 92%.</w:t>
      </w:r>
    </w:p>
    <w:p w14:paraId="1319F08F" w14:textId="60A424AF" w:rsidR="00C4212E" w:rsidRPr="00E639A0" w:rsidRDefault="00C4212E" w:rsidP="0027593A">
      <w:pPr>
        <w:pStyle w:val="Heading4"/>
        <w:rPr>
          <w:sz w:val="24"/>
          <w:szCs w:val="24"/>
        </w:rPr>
      </w:pPr>
      <w:r w:rsidRPr="00E639A0">
        <w:rPr>
          <w:sz w:val="24"/>
          <w:szCs w:val="24"/>
        </w:rPr>
        <w:t xml:space="preserve">Table </w:t>
      </w:r>
      <w:r w:rsidR="0027593A" w:rsidRPr="00E639A0">
        <w:rPr>
          <w:sz w:val="24"/>
          <w:szCs w:val="24"/>
        </w:rPr>
        <w:t>3</w:t>
      </w:r>
      <w:r w:rsidRPr="00E639A0">
        <w:rPr>
          <w:sz w:val="24"/>
          <w:szCs w:val="24"/>
        </w:rPr>
        <w:t xml:space="preserve"> – Statutory Maternity Pay costs for Employers</w:t>
      </w:r>
    </w:p>
    <w:p w14:paraId="652E6CB2" w14:textId="77777777" w:rsidR="00C4212E" w:rsidRPr="00E639A0" w:rsidRDefault="00C4212E" w:rsidP="00C4212E">
      <w:pPr>
        <w:pStyle w:val="ListParagraph"/>
        <w:rPr>
          <w:rFonts w:cs="Arial"/>
        </w:rPr>
      </w:pPr>
    </w:p>
    <w:tbl>
      <w:tblPr>
        <w:tblW w:w="6663" w:type="dxa"/>
        <w:tblInd w:w="607" w:type="dxa"/>
        <w:tblLook w:val="04A0" w:firstRow="1" w:lastRow="0" w:firstColumn="1" w:lastColumn="0" w:noHBand="0" w:noVBand="1"/>
      </w:tblPr>
      <w:tblGrid>
        <w:gridCol w:w="3544"/>
        <w:gridCol w:w="3119"/>
      </w:tblGrid>
      <w:tr w:rsidR="00C4212E" w:rsidRPr="00E639A0" w14:paraId="690B0489" w14:textId="77777777">
        <w:trPr>
          <w:trHeight w:val="171"/>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0CE532" w14:textId="77777777" w:rsidR="00C4212E" w:rsidRPr="00E639A0" w:rsidRDefault="00C4212E">
            <w:pPr>
              <w:rPr>
                <w:rFonts w:cs="Arial"/>
                <w:color w:val="000000"/>
                <w:lang w:eastAsia="en-GB"/>
              </w:rPr>
            </w:pPr>
            <w:r w:rsidRPr="00E639A0">
              <w:rPr>
                <w:rFonts w:cs="Arial"/>
                <w:color w:val="000000"/>
                <w:lang w:eastAsia="en-GB"/>
              </w:rPr>
              <w:t>Eligible population</w:t>
            </w:r>
          </w:p>
        </w:tc>
        <w:tc>
          <w:tcPr>
            <w:tcW w:w="3119" w:type="dxa"/>
            <w:tcBorders>
              <w:top w:val="single" w:sz="4" w:space="0" w:color="auto"/>
              <w:left w:val="nil"/>
              <w:bottom w:val="single" w:sz="4" w:space="0" w:color="auto"/>
              <w:right w:val="single" w:sz="4" w:space="0" w:color="auto"/>
            </w:tcBorders>
            <w:shd w:val="clear" w:color="auto" w:fill="auto"/>
            <w:noWrap/>
            <w:vAlign w:val="bottom"/>
            <w:hideMark/>
          </w:tcPr>
          <w:p w14:paraId="26C184A9" w14:textId="77777777" w:rsidR="00C4212E" w:rsidRPr="00E639A0" w:rsidRDefault="00C4212E">
            <w:pPr>
              <w:jc w:val="right"/>
              <w:rPr>
                <w:rFonts w:cs="Arial"/>
                <w:color w:val="000000"/>
                <w:lang w:eastAsia="en-GB"/>
              </w:rPr>
            </w:pPr>
            <w:r w:rsidRPr="00E639A0">
              <w:rPr>
                <w:rFonts w:cs="Arial"/>
                <w:color w:val="000000"/>
                <w:lang w:eastAsia="en-GB"/>
              </w:rPr>
              <w:t>2,500</w:t>
            </w:r>
          </w:p>
        </w:tc>
      </w:tr>
      <w:tr w:rsidR="00C4212E" w:rsidRPr="00E639A0" w14:paraId="5AA3C41C" w14:textId="77777777">
        <w:trPr>
          <w:trHeight w:val="171"/>
        </w:trPr>
        <w:tc>
          <w:tcPr>
            <w:tcW w:w="3544" w:type="dxa"/>
            <w:tcBorders>
              <w:top w:val="nil"/>
              <w:left w:val="single" w:sz="4" w:space="0" w:color="auto"/>
              <w:bottom w:val="single" w:sz="4" w:space="0" w:color="auto"/>
              <w:right w:val="single" w:sz="4" w:space="0" w:color="auto"/>
            </w:tcBorders>
            <w:shd w:val="clear" w:color="auto" w:fill="auto"/>
            <w:noWrap/>
            <w:vAlign w:val="bottom"/>
            <w:hideMark/>
          </w:tcPr>
          <w:p w14:paraId="66B9DE00" w14:textId="77777777" w:rsidR="00C4212E" w:rsidRPr="00E639A0" w:rsidRDefault="00C4212E">
            <w:pPr>
              <w:rPr>
                <w:rFonts w:cs="Arial"/>
                <w:color w:val="000000"/>
                <w:lang w:eastAsia="en-GB"/>
              </w:rPr>
            </w:pPr>
            <w:r w:rsidRPr="00E639A0">
              <w:rPr>
                <w:rFonts w:cs="Arial"/>
                <w:color w:val="000000"/>
                <w:lang w:eastAsia="en-GB"/>
              </w:rPr>
              <w:t>% working at least 6 months</w:t>
            </w:r>
          </w:p>
        </w:tc>
        <w:tc>
          <w:tcPr>
            <w:tcW w:w="3119" w:type="dxa"/>
            <w:tcBorders>
              <w:top w:val="nil"/>
              <w:left w:val="nil"/>
              <w:bottom w:val="single" w:sz="4" w:space="0" w:color="auto"/>
              <w:right w:val="single" w:sz="4" w:space="0" w:color="auto"/>
            </w:tcBorders>
            <w:shd w:val="clear" w:color="auto" w:fill="auto"/>
            <w:noWrap/>
            <w:vAlign w:val="bottom"/>
            <w:hideMark/>
          </w:tcPr>
          <w:p w14:paraId="038684DD" w14:textId="77777777" w:rsidR="00C4212E" w:rsidRPr="00E639A0" w:rsidRDefault="00C4212E">
            <w:pPr>
              <w:jc w:val="right"/>
              <w:rPr>
                <w:rFonts w:cs="Arial"/>
                <w:color w:val="000000"/>
                <w:lang w:eastAsia="en-GB"/>
              </w:rPr>
            </w:pPr>
            <w:r w:rsidRPr="00E639A0">
              <w:rPr>
                <w:rFonts w:cs="Arial"/>
                <w:color w:val="000000"/>
                <w:lang w:eastAsia="en-GB"/>
              </w:rPr>
              <w:t>95.7%</w:t>
            </w:r>
          </w:p>
        </w:tc>
      </w:tr>
      <w:tr w:rsidR="00C4212E" w:rsidRPr="00E639A0" w14:paraId="690A8BF2" w14:textId="77777777">
        <w:trPr>
          <w:trHeight w:val="171"/>
        </w:trPr>
        <w:tc>
          <w:tcPr>
            <w:tcW w:w="3544" w:type="dxa"/>
            <w:tcBorders>
              <w:top w:val="nil"/>
              <w:left w:val="single" w:sz="4" w:space="0" w:color="auto"/>
              <w:bottom w:val="single" w:sz="4" w:space="0" w:color="auto"/>
              <w:right w:val="single" w:sz="4" w:space="0" w:color="auto"/>
            </w:tcBorders>
            <w:shd w:val="clear" w:color="auto" w:fill="auto"/>
            <w:noWrap/>
            <w:vAlign w:val="bottom"/>
            <w:hideMark/>
          </w:tcPr>
          <w:p w14:paraId="57A75E5B" w14:textId="237197C0" w:rsidR="00C4212E" w:rsidRPr="00E639A0" w:rsidRDefault="00C4212E">
            <w:pPr>
              <w:rPr>
                <w:rFonts w:cs="Arial"/>
                <w:color w:val="000000"/>
                <w:lang w:eastAsia="en-GB"/>
              </w:rPr>
            </w:pPr>
            <w:r w:rsidRPr="00E639A0">
              <w:rPr>
                <w:rFonts w:cs="Arial"/>
                <w:color w:val="000000"/>
                <w:lang w:eastAsia="en-GB"/>
              </w:rPr>
              <w:t>% earning at least £</w:t>
            </w:r>
            <w:r w:rsidR="00321E01" w:rsidRPr="00E639A0">
              <w:rPr>
                <w:rFonts w:cs="Arial"/>
                <w:color w:val="000000"/>
                <w:lang w:eastAsia="en-GB"/>
              </w:rPr>
              <w:t>120</w:t>
            </w:r>
          </w:p>
        </w:tc>
        <w:tc>
          <w:tcPr>
            <w:tcW w:w="3119" w:type="dxa"/>
            <w:tcBorders>
              <w:top w:val="nil"/>
              <w:left w:val="nil"/>
              <w:bottom w:val="single" w:sz="4" w:space="0" w:color="auto"/>
              <w:right w:val="single" w:sz="4" w:space="0" w:color="auto"/>
            </w:tcBorders>
            <w:shd w:val="clear" w:color="auto" w:fill="auto"/>
            <w:noWrap/>
            <w:vAlign w:val="bottom"/>
            <w:hideMark/>
          </w:tcPr>
          <w:p w14:paraId="4ADBB062" w14:textId="57D771AC" w:rsidR="00C4212E" w:rsidRPr="00E639A0" w:rsidRDefault="00C4212E">
            <w:pPr>
              <w:jc w:val="right"/>
              <w:rPr>
                <w:rFonts w:cs="Arial"/>
                <w:color w:val="000000"/>
                <w:lang w:eastAsia="en-GB"/>
              </w:rPr>
            </w:pPr>
            <w:r w:rsidRPr="00E639A0">
              <w:rPr>
                <w:rFonts w:cs="Arial"/>
                <w:color w:val="000000"/>
                <w:lang w:eastAsia="en-GB"/>
              </w:rPr>
              <w:t>9</w:t>
            </w:r>
            <w:r w:rsidR="00321E01" w:rsidRPr="00E639A0">
              <w:rPr>
                <w:rFonts w:cs="Arial"/>
                <w:color w:val="000000"/>
                <w:lang w:eastAsia="en-GB"/>
              </w:rPr>
              <w:t>2</w:t>
            </w:r>
            <w:r w:rsidRPr="00E639A0">
              <w:rPr>
                <w:rFonts w:cs="Arial"/>
                <w:color w:val="000000"/>
                <w:lang w:eastAsia="en-GB"/>
              </w:rPr>
              <w:t>%</w:t>
            </w:r>
          </w:p>
        </w:tc>
      </w:tr>
      <w:tr w:rsidR="00C4212E" w:rsidRPr="00E639A0" w14:paraId="250644E4" w14:textId="77777777">
        <w:trPr>
          <w:trHeight w:val="171"/>
        </w:trPr>
        <w:tc>
          <w:tcPr>
            <w:tcW w:w="3544" w:type="dxa"/>
            <w:tcBorders>
              <w:top w:val="nil"/>
              <w:left w:val="single" w:sz="4" w:space="0" w:color="auto"/>
              <w:bottom w:val="single" w:sz="4" w:space="0" w:color="auto"/>
              <w:right w:val="single" w:sz="4" w:space="0" w:color="auto"/>
            </w:tcBorders>
            <w:shd w:val="clear" w:color="auto" w:fill="auto"/>
            <w:noWrap/>
            <w:vAlign w:val="bottom"/>
            <w:hideMark/>
          </w:tcPr>
          <w:p w14:paraId="54A7B5C7" w14:textId="77777777" w:rsidR="00C4212E" w:rsidRPr="00E639A0" w:rsidRDefault="00C4212E">
            <w:pPr>
              <w:rPr>
                <w:rFonts w:cs="Arial"/>
                <w:bCs/>
                <w:color w:val="000000"/>
                <w:lang w:eastAsia="en-GB"/>
              </w:rPr>
            </w:pPr>
            <w:r w:rsidRPr="00E639A0">
              <w:rPr>
                <w:rFonts w:cs="Arial"/>
                <w:bCs/>
                <w:color w:val="000000"/>
                <w:lang w:eastAsia="en-GB"/>
              </w:rPr>
              <w:t>Population eligible for SMP</w:t>
            </w:r>
          </w:p>
        </w:tc>
        <w:tc>
          <w:tcPr>
            <w:tcW w:w="3119" w:type="dxa"/>
            <w:tcBorders>
              <w:top w:val="nil"/>
              <w:left w:val="nil"/>
              <w:bottom w:val="single" w:sz="4" w:space="0" w:color="auto"/>
              <w:right w:val="single" w:sz="4" w:space="0" w:color="auto"/>
            </w:tcBorders>
            <w:shd w:val="clear" w:color="auto" w:fill="auto"/>
            <w:noWrap/>
            <w:vAlign w:val="bottom"/>
            <w:hideMark/>
          </w:tcPr>
          <w:p w14:paraId="40F57E97" w14:textId="77777777" w:rsidR="00C4212E" w:rsidRPr="00E639A0" w:rsidRDefault="00C4212E">
            <w:pPr>
              <w:jc w:val="right"/>
              <w:rPr>
                <w:rFonts w:cs="Arial"/>
                <w:bCs/>
                <w:color w:val="000000"/>
                <w:lang w:eastAsia="en-GB"/>
              </w:rPr>
            </w:pPr>
            <w:r w:rsidRPr="00E639A0">
              <w:rPr>
                <w:rFonts w:cs="Arial"/>
                <w:bCs/>
                <w:color w:val="000000"/>
                <w:lang w:eastAsia="en-GB"/>
              </w:rPr>
              <w:t>2,200</w:t>
            </w:r>
          </w:p>
        </w:tc>
      </w:tr>
      <w:tr w:rsidR="00C4212E" w:rsidRPr="00E639A0" w14:paraId="553F1A81" w14:textId="77777777">
        <w:trPr>
          <w:trHeight w:val="171"/>
        </w:trPr>
        <w:tc>
          <w:tcPr>
            <w:tcW w:w="3544" w:type="dxa"/>
            <w:tcBorders>
              <w:top w:val="nil"/>
              <w:left w:val="single" w:sz="4" w:space="0" w:color="auto"/>
              <w:bottom w:val="single" w:sz="4" w:space="0" w:color="auto"/>
              <w:right w:val="single" w:sz="4" w:space="0" w:color="auto"/>
            </w:tcBorders>
            <w:shd w:val="clear" w:color="auto" w:fill="auto"/>
            <w:noWrap/>
            <w:vAlign w:val="bottom"/>
            <w:hideMark/>
          </w:tcPr>
          <w:p w14:paraId="7C8DB717" w14:textId="77777777" w:rsidR="00C4212E" w:rsidRPr="00E639A0" w:rsidRDefault="00C4212E">
            <w:pPr>
              <w:rPr>
                <w:rFonts w:cs="Arial"/>
                <w:color w:val="000000"/>
                <w:lang w:eastAsia="en-GB"/>
              </w:rPr>
            </w:pPr>
            <w:r w:rsidRPr="00E639A0">
              <w:rPr>
                <w:rFonts w:cs="Arial"/>
                <w:color w:val="000000"/>
                <w:lang w:eastAsia="en-GB"/>
              </w:rPr>
              <w:t>Maternity pay per person</w:t>
            </w:r>
          </w:p>
        </w:tc>
        <w:tc>
          <w:tcPr>
            <w:tcW w:w="3119" w:type="dxa"/>
            <w:tcBorders>
              <w:top w:val="nil"/>
              <w:left w:val="nil"/>
              <w:bottom w:val="single" w:sz="4" w:space="0" w:color="auto"/>
              <w:right w:val="single" w:sz="4" w:space="0" w:color="auto"/>
            </w:tcBorders>
            <w:shd w:val="clear" w:color="auto" w:fill="auto"/>
            <w:noWrap/>
            <w:vAlign w:val="bottom"/>
            <w:hideMark/>
          </w:tcPr>
          <w:p w14:paraId="63B5EC82" w14:textId="77777777" w:rsidR="00C4212E" w:rsidRPr="00E639A0" w:rsidRDefault="00C4212E">
            <w:pPr>
              <w:jc w:val="right"/>
              <w:rPr>
                <w:rFonts w:cs="Arial"/>
                <w:color w:val="000000"/>
                <w:lang w:eastAsia="en-GB"/>
              </w:rPr>
            </w:pPr>
            <w:r w:rsidRPr="00E639A0">
              <w:rPr>
                <w:rFonts w:cs="Arial"/>
                <w:color w:val="000000"/>
                <w:lang w:eastAsia="en-GB"/>
              </w:rPr>
              <w:t>£7,500</w:t>
            </w:r>
          </w:p>
        </w:tc>
      </w:tr>
      <w:tr w:rsidR="00C4212E" w:rsidRPr="00E639A0" w14:paraId="4250528E" w14:textId="77777777" w:rsidTr="00D84B45">
        <w:trPr>
          <w:trHeight w:val="171"/>
        </w:trPr>
        <w:tc>
          <w:tcPr>
            <w:tcW w:w="3544" w:type="dxa"/>
            <w:tcBorders>
              <w:top w:val="nil"/>
              <w:left w:val="single" w:sz="4" w:space="0" w:color="auto"/>
              <w:bottom w:val="single" w:sz="4" w:space="0" w:color="auto"/>
              <w:right w:val="single" w:sz="4" w:space="0" w:color="auto"/>
            </w:tcBorders>
            <w:shd w:val="clear" w:color="auto" w:fill="auto"/>
            <w:noWrap/>
            <w:vAlign w:val="bottom"/>
          </w:tcPr>
          <w:p w14:paraId="70E8BA8D" w14:textId="77777777" w:rsidR="00C4212E" w:rsidRPr="00E639A0" w:rsidRDefault="00C4212E">
            <w:pPr>
              <w:rPr>
                <w:rFonts w:cs="Arial"/>
                <w:color w:val="000000"/>
                <w:lang w:eastAsia="en-GB"/>
              </w:rPr>
            </w:pPr>
            <w:r w:rsidRPr="00E639A0">
              <w:rPr>
                <w:rFonts w:cs="Arial"/>
                <w:color w:val="000000"/>
                <w:lang w:eastAsia="en-GB"/>
              </w:rPr>
              <w:t>Average Business contribution</w:t>
            </w:r>
          </w:p>
        </w:tc>
        <w:tc>
          <w:tcPr>
            <w:tcW w:w="3119" w:type="dxa"/>
            <w:tcBorders>
              <w:top w:val="nil"/>
              <w:left w:val="nil"/>
              <w:bottom w:val="single" w:sz="4" w:space="0" w:color="auto"/>
              <w:right w:val="single" w:sz="4" w:space="0" w:color="auto"/>
            </w:tcBorders>
            <w:shd w:val="clear" w:color="auto" w:fill="auto"/>
            <w:noWrap/>
            <w:vAlign w:val="bottom"/>
          </w:tcPr>
          <w:p w14:paraId="2B499E72" w14:textId="77777777" w:rsidR="00C4212E" w:rsidRPr="00E639A0" w:rsidRDefault="00C4212E">
            <w:pPr>
              <w:jc w:val="right"/>
              <w:rPr>
                <w:rFonts w:cs="Arial"/>
                <w:color w:val="000000"/>
                <w:lang w:eastAsia="en-GB"/>
              </w:rPr>
            </w:pPr>
            <w:r w:rsidRPr="00E639A0">
              <w:rPr>
                <w:rFonts w:cs="Arial"/>
                <w:color w:val="000000"/>
                <w:lang w:eastAsia="en-GB"/>
              </w:rPr>
              <w:t>5.8%</w:t>
            </w:r>
          </w:p>
        </w:tc>
      </w:tr>
      <w:tr w:rsidR="00C4212E" w:rsidRPr="00E639A0" w14:paraId="3E316692" w14:textId="77777777" w:rsidTr="00D84B45">
        <w:trPr>
          <w:trHeight w:val="171"/>
        </w:trPr>
        <w:tc>
          <w:tcPr>
            <w:tcW w:w="3544"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E7BF4F1" w14:textId="77777777" w:rsidR="00C4212E" w:rsidRPr="00E639A0" w:rsidRDefault="00C4212E">
            <w:pPr>
              <w:rPr>
                <w:rFonts w:cs="Arial"/>
                <w:color w:val="000000"/>
                <w:lang w:eastAsia="en-GB"/>
              </w:rPr>
            </w:pPr>
            <w:r w:rsidRPr="00E639A0">
              <w:rPr>
                <w:rFonts w:cs="Arial"/>
                <w:color w:val="000000"/>
                <w:lang w:eastAsia="en-GB"/>
              </w:rPr>
              <w:t>Total Business contribution to SMP</w:t>
            </w:r>
          </w:p>
        </w:tc>
        <w:tc>
          <w:tcPr>
            <w:tcW w:w="3119" w:type="dxa"/>
            <w:tcBorders>
              <w:top w:val="single" w:sz="4" w:space="0" w:color="auto"/>
              <w:left w:val="nil"/>
              <w:bottom w:val="single" w:sz="4" w:space="0" w:color="auto"/>
              <w:right w:val="single" w:sz="4" w:space="0" w:color="auto"/>
            </w:tcBorders>
            <w:shd w:val="clear" w:color="auto" w:fill="auto"/>
            <w:noWrap/>
            <w:vAlign w:val="bottom"/>
          </w:tcPr>
          <w:p w14:paraId="147095D9" w14:textId="06CB82E6" w:rsidR="00C4212E" w:rsidRPr="00E639A0" w:rsidRDefault="00C4212E">
            <w:pPr>
              <w:jc w:val="right"/>
              <w:rPr>
                <w:rFonts w:cs="Arial"/>
                <w:color w:val="000000"/>
                <w:lang w:eastAsia="en-GB"/>
              </w:rPr>
            </w:pPr>
            <w:r w:rsidRPr="00E639A0">
              <w:rPr>
                <w:rFonts w:cs="Arial"/>
                <w:color w:val="000000"/>
                <w:lang w:eastAsia="en-GB"/>
              </w:rPr>
              <w:t>£0.9m</w:t>
            </w:r>
            <w:r w:rsidR="00880E4B" w:rsidRPr="00E639A0">
              <w:rPr>
                <w:rFonts w:cs="Arial"/>
                <w:color w:val="000000"/>
                <w:lang w:eastAsia="en-GB"/>
              </w:rPr>
              <w:t>*</w:t>
            </w:r>
          </w:p>
        </w:tc>
      </w:tr>
      <w:tr w:rsidR="00D84B45" w:rsidRPr="00E639A0" w14:paraId="75B8A4CA" w14:textId="77777777">
        <w:trPr>
          <w:trHeight w:val="171"/>
        </w:trPr>
        <w:tc>
          <w:tcPr>
            <w:tcW w:w="6663" w:type="dxa"/>
            <w:gridSpan w:val="2"/>
            <w:tcBorders>
              <w:top w:val="single" w:sz="4" w:space="0" w:color="auto"/>
              <w:left w:val="single" w:sz="4" w:space="0" w:color="auto"/>
              <w:bottom w:val="single" w:sz="4" w:space="0" w:color="auto"/>
              <w:right w:val="single" w:sz="4" w:space="0" w:color="auto"/>
            </w:tcBorders>
            <w:shd w:val="clear" w:color="auto" w:fill="auto"/>
            <w:noWrap/>
            <w:vAlign w:val="bottom"/>
          </w:tcPr>
          <w:p w14:paraId="2FE4C079" w14:textId="45F69457" w:rsidR="00D84B45" w:rsidRPr="00E639A0" w:rsidRDefault="00D84B45" w:rsidP="003373E8">
            <w:pPr>
              <w:rPr>
                <w:rFonts w:cs="Arial"/>
                <w:color w:val="000000"/>
                <w:lang w:eastAsia="en-GB"/>
              </w:rPr>
            </w:pPr>
            <w:r w:rsidRPr="00E639A0">
              <w:rPr>
                <w:rFonts w:cs="Arial"/>
              </w:rPr>
              <w:t>*Differences in total due to rounding</w:t>
            </w:r>
          </w:p>
        </w:tc>
      </w:tr>
    </w:tbl>
    <w:p w14:paraId="0838C67C" w14:textId="77777777" w:rsidR="00880E4B" w:rsidRPr="00E639A0" w:rsidRDefault="00880E4B" w:rsidP="00880E4B">
      <w:pPr>
        <w:rPr>
          <w:rFonts w:cs="Arial"/>
        </w:rPr>
      </w:pPr>
    </w:p>
    <w:p w14:paraId="0E1C382B" w14:textId="7E30FCE5" w:rsidR="00D84B45" w:rsidRPr="00E639A0" w:rsidRDefault="00D84B45" w:rsidP="00880E4B">
      <w:pPr>
        <w:rPr>
          <w:rFonts w:cs="Arial"/>
        </w:rPr>
      </w:pPr>
    </w:p>
    <w:p w14:paraId="789AF5ED" w14:textId="60F2461D" w:rsidR="499EFA71" w:rsidRPr="00E639A0" w:rsidRDefault="00C4212E">
      <w:pPr>
        <w:pStyle w:val="ListParagraph"/>
        <w:numPr>
          <w:ilvl w:val="0"/>
          <w:numId w:val="7"/>
        </w:numPr>
        <w:rPr>
          <w:rFonts w:cs="Arial"/>
        </w:rPr>
      </w:pPr>
      <w:r w:rsidRPr="00E639A0">
        <w:rPr>
          <w:rFonts w:cs="Arial"/>
          <w:b/>
          <w:bCs/>
        </w:rPr>
        <w:t>Overall, this yields a best estimate of maternity payments to employers of £0.9m per year.</w:t>
      </w:r>
      <w:r w:rsidRPr="00E639A0">
        <w:rPr>
          <w:rFonts w:cs="Arial"/>
        </w:rPr>
        <w:t xml:space="preserve"> </w:t>
      </w:r>
    </w:p>
    <w:p w14:paraId="07CF085B" w14:textId="24471588" w:rsidR="00653C20" w:rsidRPr="00E639A0" w:rsidRDefault="004738F7" w:rsidP="00653C20">
      <w:pPr>
        <w:pStyle w:val="Heading2"/>
        <w:rPr>
          <w:b/>
          <w:iCs/>
          <w:sz w:val="24"/>
          <w:szCs w:val="24"/>
          <w:u w:val="single"/>
        </w:rPr>
      </w:pPr>
      <w:r w:rsidRPr="00E639A0">
        <w:rPr>
          <w:b/>
          <w:iCs/>
          <w:sz w:val="24"/>
          <w:szCs w:val="24"/>
          <w:u w:val="single"/>
        </w:rPr>
        <w:t xml:space="preserve">ii) </w:t>
      </w:r>
      <w:r w:rsidR="00653C20" w:rsidRPr="00E639A0">
        <w:rPr>
          <w:b/>
          <w:sz w:val="24"/>
          <w:szCs w:val="24"/>
          <w:u w:val="single"/>
        </w:rPr>
        <w:t xml:space="preserve">Exchequer </w:t>
      </w:r>
      <w:r w:rsidR="00BE4F78" w:rsidRPr="00E639A0">
        <w:rPr>
          <w:b/>
          <w:sz w:val="24"/>
          <w:szCs w:val="24"/>
          <w:u w:val="single"/>
        </w:rPr>
        <w:t>c</w:t>
      </w:r>
      <w:r w:rsidR="00653C20" w:rsidRPr="00E639A0">
        <w:rPr>
          <w:b/>
          <w:sz w:val="24"/>
          <w:szCs w:val="24"/>
          <w:u w:val="single"/>
        </w:rPr>
        <w:t>ost</w:t>
      </w:r>
      <w:r w:rsidR="00BE4F78" w:rsidRPr="00E639A0">
        <w:rPr>
          <w:b/>
          <w:sz w:val="24"/>
          <w:szCs w:val="24"/>
          <w:u w:val="single"/>
        </w:rPr>
        <w:t>: Statutory Maternity Pay costs</w:t>
      </w:r>
    </w:p>
    <w:p w14:paraId="2C803DA3" w14:textId="2C73F983" w:rsidR="00653C20" w:rsidRPr="00E639A0" w:rsidRDefault="00653C20" w:rsidP="00332DC0">
      <w:pPr>
        <w:pStyle w:val="ListParagraph"/>
        <w:numPr>
          <w:ilvl w:val="0"/>
          <w:numId w:val="7"/>
        </w:numPr>
        <w:rPr>
          <w:rFonts w:cs="Arial"/>
        </w:rPr>
      </w:pPr>
      <w:r w:rsidRPr="00E639A0">
        <w:rPr>
          <w:rFonts w:cs="Arial"/>
        </w:rPr>
        <w:t>Statutory Maternity Pay</w:t>
      </w:r>
      <w:r w:rsidR="00AE4345" w:rsidRPr="00E639A0">
        <w:rPr>
          <w:rFonts w:cs="Arial"/>
        </w:rPr>
        <w:t xml:space="preserve"> </w:t>
      </w:r>
      <w:r w:rsidRPr="00E639A0">
        <w:rPr>
          <w:rFonts w:cs="Arial"/>
        </w:rPr>
        <w:t>mainly represent costs to the Exchequer. Pregnant women who previously would have been made redundant will now be able to claim SMP at cost to the Exchequer. The methodology set out above is used to estimate the number of eligible women who satisfy the criterion for claiming SMP.</w:t>
      </w:r>
    </w:p>
    <w:p w14:paraId="4EC960FE" w14:textId="77777777" w:rsidR="00653C20" w:rsidRPr="00E639A0" w:rsidRDefault="00653C20" w:rsidP="00653C20">
      <w:pPr>
        <w:pStyle w:val="ListParagraph"/>
        <w:rPr>
          <w:rFonts w:cs="Arial"/>
        </w:rPr>
      </w:pPr>
    </w:p>
    <w:p w14:paraId="1E9AD4C1" w14:textId="79F2F92F" w:rsidR="00653C20" w:rsidRPr="00E639A0" w:rsidRDefault="00653C20" w:rsidP="00332DC0">
      <w:pPr>
        <w:pStyle w:val="ListParagraph"/>
        <w:numPr>
          <w:ilvl w:val="0"/>
          <w:numId w:val="7"/>
        </w:numPr>
        <w:rPr>
          <w:rFonts w:cs="Arial"/>
        </w:rPr>
      </w:pPr>
      <w:r w:rsidRPr="00E639A0">
        <w:rPr>
          <w:rFonts w:cs="Arial"/>
        </w:rPr>
        <w:t>As large employers can reclaim 92% of SMP and small employers 103%, the Exchequer cost of SMP represents 94.2% of payments to pregnant women.</w:t>
      </w:r>
    </w:p>
    <w:p w14:paraId="34E0B9D8" w14:textId="77777777" w:rsidR="00653C20" w:rsidRPr="00E639A0" w:rsidRDefault="00653C20" w:rsidP="00653C20">
      <w:pPr>
        <w:pStyle w:val="ListParagraph"/>
        <w:rPr>
          <w:rFonts w:cs="Arial"/>
        </w:rPr>
      </w:pPr>
    </w:p>
    <w:p w14:paraId="2C46631E" w14:textId="2243F427" w:rsidR="00653C20" w:rsidRPr="00E639A0" w:rsidRDefault="00653C20" w:rsidP="00332DC0">
      <w:pPr>
        <w:pStyle w:val="ListParagraph"/>
        <w:numPr>
          <w:ilvl w:val="0"/>
          <w:numId w:val="7"/>
        </w:numPr>
        <w:rPr>
          <w:rFonts w:cs="Arial"/>
        </w:rPr>
      </w:pPr>
      <w:r w:rsidRPr="00E639A0">
        <w:rPr>
          <w:rFonts w:cs="Arial"/>
        </w:rPr>
        <w:t>Accounting for the proportion of the payment covered by large businesses and the (larger) proportion recovered by small businesses, we estimate annual Exchequer</w:t>
      </w:r>
      <w:r w:rsidR="00B57596" w:rsidRPr="00E639A0">
        <w:rPr>
          <w:rFonts w:cs="Arial"/>
        </w:rPr>
        <w:t xml:space="preserve"> SMP</w:t>
      </w:r>
      <w:r w:rsidRPr="00E639A0">
        <w:rPr>
          <w:rFonts w:cs="Arial"/>
        </w:rPr>
        <w:t xml:space="preserve"> costs at £</w:t>
      </w:r>
      <w:r w:rsidR="00B57596" w:rsidRPr="00E639A0">
        <w:rPr>
          <w:rFonts w:cs="Arial"/>
        </w:rPr>
        <w:t>15.3</w:t>
      </w:r>
      <w:r w:rsidRPr="00E639A0">
        <w:rPr>
          <w:rFonts w:cs="Arial"/>
        </w:rPr>
        <w:t xml:space="preserve"> million.</w:t>
      </w:r>
    </w:p>
    <w:p w14:paraId="235552F6" w14:textId="77777777" w:rsidR="00653C20" w:rsidRPr="00E639A0" w:rsidRDefault="00653C20" w:rsidP="00653C20">
      <w:pPr>
        <w:pStyle w:val="ListParagraph"/>
        <w:rPr>
          <w:rFonts w:cs="Arial"/>
        </w:rPr>
      </w:pPr>
    </w:p>
    <w:p w14:paraId="1B5C71C6" w14:textId="04C37449" w:rsidR="00653C20" w:rsidRPr="00E639A0" w:rsidRDefault="00653C20" w:rsidP="00020B04">
      <w:pPr>
        <w:pStyle w:val="BodyText1"/>
        <w:rPr>
          <w:sz w:val="24"/>
          <w:szCs w:val="24"/>
        </w:rPr>
      </w:pPr>
      <m:oMathPara>
        <m:oMath>
          <m:r>
            <m:rPr>
              <m:sty m:val="bi"/>
            </m:rPr>
            <w:rPr>
              <w:rFonts w:ascii="Cambria Math" w:hAnsi="Cambria Math"/>
              <w:sz w:val="24"/>
              <w:szCs w:val="24"/>
            </w:rPr>
            <m:t>Exchequer SMP</m:t>
          </m:r>
          <m:r>
            <m:rPr>
              <m:sty m:val="p"/>
            </m:rPr>
            <w:rPr>
              <w:rFonts w:ascii="Cambria Math" w:hAnsi="Cambria Math"/>
              <w:sz w:val="24"/>
              <w:szCs w:val="24"/>
            </w:rPr>
            <m:t xml:space="preserve"> </m:t>
          </m:r>
          <m:r>
            <m:rPr>
              <m:sty m:val="bi"/>
            </m:rPr>
            <w:rPr>
              <w:rFonts w:ascii="Cambria Math" w:hAnsi="Cambria Math"/>
              <w:sz w:val="24"/>
              <w:szCs w:val="24"/>
            </w:rPr>
            <m:t>costs</m:t>
          </m:r>
          <m:r>
            <m:rPr>
              <m:sty m:val="p"/>
            </m:rPr>
            <w:rPr>
              <w:rFonts w:ascii="Cambria Math" w:hAnsi="Cambria Math"/>
              <w:sz w:val="24"/>
              <w:szCs w:val="24"/>
            </w:rPr>
            <m:t xml:space="preserve"> </m:t>
          </m:r>
          <m:d>
            <m:dPr>
              <m:ctrlPr>
                <w:rPr>
                  <w:rFonts w:ascii="Cambria Math" w:hAnsi="Cambria Math"/>
                  <w:sz w:val="24"/>
                  <w:szCs w:val="24"/>
                </w:rPr>
              </m:ctrlPr>
            </m:dPr>
            <m:e>
              <m:r>
                <m:rPr>
                  <m:sty m:val="bi"/>
                </m:rPr>
                <w:rPr>
                  <w:rFonts w:ascii="Cambria Math" w:hAnsi="Cambria Math"/>
                  <w:sz w:val="24"/>
                  <w:szCs w:val="24"/>
                </w:rPr>
                <m:t>annual</m:t>
              </m:r>
            </m:e>
          </m:d>
          <m:r>
            <m:rPr>
              <m:sty m:val="p"/>
            </m:rPr>
            <w:rPr>
              <w:rFonts w:ascii="Cambria Math" w:hAnsi="Cambria Math"/>
              <w:sz w:val="24"/>
              <w:szCs w:val="24"/>
            </w:rPr>
            <m:t>=</m:t>
          </m:r>
          <m:d>
            <m:dPr>
              <m:ctrlPr>
                <w:rPr>
                  <w:rFonts w:ascii="Cambria Math" w:hAnsi="Cambria Math"/>
                  <w:sz w:val="24"/>
                  <w:szCs w:val="24"/>
                </w:rPr>
              </m:ctrlPr>
            </m:dPr>
            <m:e>
              <m:r>
                <m:rPr>
                  <m:sty m:val="b"/>
                </m:rPr>
                <w:rPr>
                  <w:rFonts w:ascii="Cambria Math" w:hAnsi="Cambria Math"/>
                  <w:sz w:val="24"/>
                  <w:szCs w:val="24"/>
                </w:rPr>
                <m:t>2</m:t>
              </m:r>
              <m:r>
                <m:rPr>
                  <m:sty m:val="p"/>
                </m:rPr>
                <w:rPr>
                  <w:rFonts w:ascii="Cambria Math" w:hAnsi="Cambria Math"/>
                  <w:sz w:val="24"/>
                  <w:szCs w:val="24"/>
                </w:rPr>
                <m:t>,</m:t>
              </m:r>
              <m:r>
                <m:rPr>
                  <m:sty m:val="b"/>
                </m:rPr>
                <w:rPr>
                  <w:rFonts w:ascii="Cambria Math" w:hAnsi="Cambria Math"/>
                  <w:sz w:val="24"/>
                  <w:szCs w:val="24"/>
                </w:rPr>
                <m:t>500</m:t>
              </m:r>
              <m:r>
                <m:rPr>
                  <m:sty m:val="p"/>
                </m:rPr>
                <w:rPr>
                  <w:rFonts w:ascii="Cambria Math" w:hAnsi="Cambria Math"/>
                  <w:sz w:val="24"/>
                  <w:szCs w:val="24"/>
                </w:rPr>
                <m:t xml:space="preserve"> </m:t>
              </m:r>
              <m:r>
                <m:rPr>
                  <m:sty m:val="bi"/>
                </m:rPr>
                <w:rPr>
                  <w:rFonts w:ascii="Cambria Math" w:hAnsi="Cambria Math"/>
                  <w:sz w:val="24"/>
                  <w:szCs w:val="24"/>
                </w:rPr>
                <m:t>x</m:t>
              </m:r>
              <m:r>
                <m:rPr>
                  <m:sty m:val="p"/>
                </m:rPr>
                <w:rPr>
                  <w:rFonts w:ascii="Cambria Math" w:hAnsi="Cambria Math"/>
                  <w:sz w:val="24"/>
                  <w:szCs w:val="24"/>
                </w:rPr>
                <m:t xml:space="preserve"> </m:t>
              </m:r>
              <m:r>
                <m:rPr>
                  <m:sty m:val="b"/>
                </m:rPr>
                <w:rPr>
                  <w:rFonts w:ascii="Cambria Math" w:hAnsi="Cambria Math"/>
                  <w:sz w:val="24"/>
                  <w:szCs w:val="24"/>
                </w:rPr>
                <m:t>95</m:t>
              </m:r>
              <m:r>
                <m:rPr>
                  <m:sty m:val="p"/>
                </m:rPr>
                <w:rPr>
                  <w:rFonts w:ascii="Cambria Math" w:hAnsi="Cambria Math"/>
                  <w:sz w:val="24"/>
                  <w:szCs w:val="24"/>
                </w:rPr>
                <m:t>.</m:t>
              </m:r>
              <m:r>
                <m:rPr>
                  <m:sty m:val="b"/>
                </m:rPr>
                <w:rPr>
                  <w:rFonts w:ascii="Cambria Math" w:hAnsi="Cambria Math"/>
                  <w:sz w:val="24"/>
                  <w:szCs w:val="24"/>
                </w:rPr>
                <m:t>7</m:t>
              </m:r>
              <m:r>
                <m:rPr>
                  <m:sty m:val="p"/>
                </m:rPr>
                <w:rPr>
                  <w:rFonts w:ascii="Cambria Math" w:hAnsi="Cambria Math"/>
                  <w:sz w:val="24"/>
                  <w:szCs w:val="24"/>
                </w:rPr>
                <m:t xml:space="preserve">% </m:t>
              </m:r>
              <m:r>
                <m:rPr>
                  <m:sty m:val="bi"/>
                </m:rPr>
                <w:rPr>
                  <w:rFonts w:ascii="Cambria Math" w:hAnsi="Cambria Math"/>
                  <w:sz w:val="24"/>
                  <w:szCs w:val="24"/>
                </w:rPr>
                <m:t>x</m:t>
              </m:r>
              <m:r>
                <m:rPr>
                  <m:sty m:val="p"/>
                </m:rPr>
                <w:rPr>
                  <w:rFonts w:ascii="Cambria Math" w:hAnsi="Cambria Math"/>
                  <w:sz w:val="24"/>
                  <w:szCs w:val="24"/>
                </w:rPr>
                <m:t xml:space="preserve"> </m:t>
              </m:r>
              <m:r>
                <m:rPr>
                  <m:sty m:val="b"/>
                </m:rPr>
                <w:rPr>
                  <w:rFonts w:ascii="Cambria Math" w:hAnsi="Cambria Math"/>
                  <w:sz w:val="24"/>
                  <w:szCs w:val="24"/>
                </w:rPr>
                <m:t>92</m:t>
              </m:r>
              <m:r>
                <m:rPr>
                  <m:sty m:val="p"/>
                </m:rPr>
                <w:rPr>
                  <w:rFonts w:ascii="Cambria Math" w:hAnsi="Cambria Math"/>
                  <w:sz w:val="24"/>
                  <w:szCs w:val="24"/>
                </w:rPr>
                <m:t>.</m:t>
              </m:r>
              <m:r>
                <m:rPr>
                  <m:sty m:val="b"/>
                </m:rPr>
                <w:rPr>
                  <w:rFonts w:ascii="Cambria Math" w:hAnsi="Cambria Math"/>
                  <w:sz w:val="24"/>
                  <w:szCs w:val="24"/>
                </w:rPr>
                <m:t>0</m:t>
              </m:r>
              <m:r>
                <m:rPr>
                  <m:sty m:val="p"/>
                </m:rPr>
                <w:rPr>
                  <w:rFonts w:ascii="Cambria Math" w:hAnsi="Cambria Math"/>
                  <w:sz w:val="24"/>
                  <w:szCs w:val="24"/>
                </w:rPr>
                <m:t>%</m:t>
              </m:r>
            </m:e>
          </m:d>
          <m:r>
            <m:rPr>
              <m:sty m:val="p"/>
            </m:rPr>
            <w:rPr>
              <w:rFonts w:ascii="Cambria Math" w:hAnsi="Cambria Math"/>
              <w:sz w:val="24"/>
              <w:szCs w:val="24"/>
            </w:rPr>
            <m:t xml:space="preserve"> </m:t>
          </m:r>
          <m:r>
            <m:rPr>
              <m:sty m:val="bi"/>
            </m:rPr>
            <w:rPr>
              <w:rFonts w:ascii="Cambria Math" w:hAnsi="Cambria Math"/>
              <w:sz w:val="24"/>
              <w:szCs w:val="24"/>
            </w:rPr>
            <m:t>x</m:t>
          </m:r>
          <m:r>
            <m:rPr>
              <m:sty m:val="p"/>
            </m:rPr>
            <w:rPr>
              <w:rFonts w:ascii="Cambria Math" w:hAnsi="Cambria Math"/>
              <w:sz w:val="24"/>
              <w:szCs w:val="24"/>
            </w:rPr>
            <m:t xml:space="preserve"> </m:t>
          </m:r>
          <m:d>
            <m:dPr>
              <m:ctrlPr>
                <w:rPr>
                  <w:rFonts w:ascii="Cambria Math" w:hAnsi="Cambria Math"/>
                  <w:sz w:val="24"/>
                  <w:szCs w:val="24"/>
                </w:rPr>
              </m:ctrlPr>
            </m:dPr>
            <m:e>
              <m:r>
                <m:rPr>
                  <m:sty m:val="p"/>
                </m:rPr>
                <w:rPr>
                  <w:rFonts w:ascii="Cambria Math" w:hAnsi="Cambria Math"/>
                  <w:sz w:val="24"/>
                  <w:szCs w:val="24"/>
                </w:rPr>
                <m:t>£</m:t>
              </m:r>
              <m:r>
                <m:rPr>
                  <m:sty m:val="b"/>
                </m:rPr>
                <w:rPr>
                  <w:rFonts w:ascii="Cambria Math" w:hAnsi="Cambria Math"/>
                  <w:sz w:val="24"/>
                  <w:szCs w:val="24"/>
                </w:rPr>
                <m:t>7</m:t>
              </m:r>
              <m:r>
                <m:rPr>
                  <m:sty m:val="p"/>
                </m:rPr>
                <w:rPr>
                  <w:rFonts w:ascii="Cambria Math" w:hAnsi="Cambria Math"/>
                  <w:sz w:val="24"/>
                  <w:szCs w:val="24"/>
                </w:rPr>
                <m:t>.</m:t>
              </m:r>
              <m:r>
                <m:rPr>
                  <m:sty m:val="b"/>
                </m:rPr>
                <w:rPr>
                  <w:rFonts w:ascii="Cambria Math" w:hAnsi="Cambria Math"/>
                  <w:sz w:val="24"/>
                  <w:szCs w:val="24"/>
                </w:rPr>
                <m:t>500</m:t>
              </m:r>
            </m:e>
          </m:d>
          <m:r>
            <m:rPr>
              <m:sty m:val="p"/>
            </m:rPr>
            <w:rPr>
              <w:rFonts w:ascii="Cambria Math" w:hAnsi="Cambria Math"/>
              <w:sz w:val="24"/>
              <w:szCs w:val="24"/>
            </w:rPr>
            <m:t xml:space="preserve"> </m:t>
          </m:r>
          <m:r>
            <m:rPr>
              <m:sty m:val="bi"/>
            </m:rPr>
            <w:rPr>
              <w:rFonts w:ascii="Cambria Math" w:hAnsi="Cambria Math"/>
              <w:sz w:val="24"/>
              <w:szCs w:val="24"/>
            </w:rPr>
            <m:t>x</m:t>
          </m:r>
          <m:r>
            <m:rPr>
              <m:sty m:val="p"/>
            </m:rPr>
            <w:rPr>
              <w:rFonts w:ascii="Cambria Math" w:hAnsi="Cambria Math"/>
              <w:sz w:val="24"/>
              <w:szCs w:val="24"/>
            </w:rPr>
            <m:t xml:space="preserve"> (</m:t>
          </m:r>
          <m:r>
            <m:rPr>
              <m:sty m:val="b"/>
            </m:rPr>
            <w:rPr>
              <w:rFonts w:ascii="Cambria Math" w:hAnsi="Cambria Math"/>
              <w:sz w:val="24"/>
              <w:szCs w:val="24"/>
            </w:rPr>
            <m:t>1</m:t>
          </m:r>
          <m:r>
            <m:rPr>
              <m:sty m:val="p"/>
            </m:rPr>
            <w:rPr>
              <w:rFonts w:ascii="Cambria Math" w:hAnsi="Cambria Math"/>
              <w:sz w:val="24"/>
              <w:szCs w:val="24"/>
            </w:rPr>
            <m:t>-</m:t>
          </m:r>
          <m:r>
            <m:rPr>
              <m:sty m:val="b"/>
            </m:rPr>
            <w:rPr>
              <w:rFonts w:ascii="Cambria Math" w:hAnsi="Cambria Math"/>
              <w:sz w:val="24"/>
              <w:szCs w:val="24"/>
            </w:rPr>
            <m:t>5</m:t>
          </m:r>
          <m:r>
            <m:rPr>
              <m:sty m:val="p"/>
            </m:rPr>
            <w:rPr>
              <w:rFonts w:ascii="Cambria Math" w:hAnsi="Cambria Math"/>
              <w:sz w:val="24"/>
              <w:szCs w:val="24"/>
            </w:rPr>
            <m:t>.</m:t>
          </m:r>
          <m:r>
            <m:rPr>
              <m:sty m:val="b"/>
            </m:rPr>
            <w:rPr>
              <w:rFonts w:ascii="Cambria Math" w:hAnsi="Cambria Math"/>
              <w:sz w:val="24"/>
              <w:szCs w:val="24"/>
            </w:rPr>
            <m:t>8</m:t>
          </m:r>
          <m:r>
            <m:rPr>
              <m:sty m:val="p"/>
            </m:rPr>
            <w:rPr>
              <w:rFonts w:ascii="Cambria Math" w:hAnsi="Cambria Math"/>
              <w:sz w:val="24"/>
              <w:szCs w:val="24"/>
            </w:rPr>
            <m:t>%)</m:t>
          </m:r>
        </m:oMath>
      </m:oMathPara>
    </w:p>
    <w:p w14:paraId="1EC314CC" w14:textId="77777777" w:rsidR="00E632A4" w:rsidRPr="00E639A0" w:rsidRDefault="00E632A4" w:rsidP="00A33FB9">
      <w:pPr>
        <w:rPr>
          <w:rFonts w:cs="Arial"/>
        </w:rPr>
      </w:pPr>
    </w:p>
    <w:p w14:paraId="0F71E0A0" w14:textId="75E59338" w:rsidR="00E632A4" w:rsidRPr="00E639A0" w:rsidRDefault="0049043B" w:rsidP="00FE407E">
      <w:pPr>
        <w:pStyle w:val="BodyText1"/>
        <w:rPr>
          <w:sz w:val="24"/>
          <w:szCs w:val="24"/>
        </w:rPr>
      </w:pPr>
      <w:r w:rsidRPr="00E639A0">
        <w:rPr>
          <w:sz w:val="24"/>
          <w:szCs w:val="24"/>
        </w:rPr>
        <w:t>By also a</w:t>
      </w:r>
      <w:r w:rsidR="00E632A4" w:rsidRPr="00E639A0">
        <w:rPr>
          <w:sz w:val="24"/>
          <w:szCs w:val="24"/>
        </w:rPr>
        <w:t xml:space="preserve">ccounting for the proportion of </w:t>
      </w:r>
      <w:r w:rsidR="0099045E" w:rsidRPr="00E639A0">
        <w:rPr>
          <w:sz w:val="24"/>
          <w:szCs w:val="24"/>
        </w:rPr>
        <w:t>pregnant women</w:t>
      </w:r>
      <w:r w:rsidR="00E632A4" w:rsidRPr="00E639A0">
        <w:rPr>
          <w:sz w:val="24"/>
          <w:szCs w:val="24"/>
        </w:rPr>
        <w:t xml:space="preserve"> who </w:t>
      </w:r>
      <w:r w:rsidR="00807BD8" w:rsidRPr="00E639A0">
        <w:rPr>
          <w:sz w:val="24"/>
          <w:szCs w:val="24"/>
        </w:rPr>
        <w:t xml:space="preserve">will </w:t>
      </w:r>
      <w:r w:rsidR="00825C45" w:rsidRPr="00E639A0">
        <w:rPr>
          <w:sz w:val="24"/>
          <w:szCs w:val="24"/>
        </w:rPr>
        <w:t>not quali</w:t>
      </w:r>
      <w:r w:rsidR="00FA0D04" w:rsidRPr="00E639A0">
        <w:rPr>
          <w:sz w:val="24"/>
          <w:szCs w:val="24"/>
        </w:rPr>
        <w:t xml:space="preserve">fy for SMP, but </w:t>
      </w:r>
      <w:r w:rsidR="00807BD8" w:rsidRPr="00E639A0">
        <w:rPr>
          <w:sz w:val="24"/>
          <w:szCs w:val="24"/>
        </w:rPr>
        <w:t>claim Maternity allowance</w:t>
      </w:r>
      <w:r w:rsidR="00625252" w:rsidRPr="00E639A0">
        <w:rPr>
          <w:sz w:val="24"/>
          <w:szCs w:val="24"/>
        </w:rPr>
        <w:t xml:space="preserve"> (calculations below), </w:t>
      </w:r>
      <w:r w:rsidR="00B36640" w:rsidRPr="00E639A0">
        <w:rPr>
          <w:b/>
          <w:bCs/>
          <w:sz w:val="24"/>
          <w:szCs w:val="24"/>
        </w:rPr>
        <w:t>we estimate</w:t>
      </w:r>
      <w:r w:rsidR="00C93748" w:rsidRPr="00E639A0">
        <w:rPr>
          <w:b/>
          <w:bCs/>
          <w:sz w:val="24"/>
          <w:szCs w:val="24"/>
        </w:rPr>
        <w:t xml:space="preserve"> </w:t>
      </w:r>
      <w:r w:rsidR="00B36640" w:rsidRPr="00E639A0">
        <w:rPr>
          <w:b/>
          <w:bCs/>
          <w:sz w:val="24"/>
          <w:szCs w:val="24"/>
        </w:rPr>
        <w:t>total annual costs</w:t>
      </w:r>
      <w:r w:rsidR="00E63316" w:rsidRPr="00E639A0">
        <w:rPr>
          <w:b/>
          <w:bCs/>
          <w:sz w:val="24"/>
          <w:szCs w:val="24"/>
        </w:rPr>
        <w:t xml:space="preserve"> of SMP and MA</w:t>
      </w:r>
      <w:r w:rsidR="00B36640" w:rsidRPr="00E639A0">
        <w:rPr>
          <w:b/>
          <w:bCs/>
          <w:sz w:val="24"/>
          <w:szCs w:val="24"/>
        </w:rPr>
        <w:t xml:space="preserve"> to the Exchequer of £17.</w:t>
      </w:r>
      <w:r w:rsidR="00020B04" w:rsidRPr="00E639A0">
        <w:rPr>
          <w:b/>
          <w:bCs/>
          <w:sz w:val="24"/>
          <w:szCs w:val="24"/>
        </w:rPr>
        <w:t>1m.</w:t>
      </w:r>
    </w:p>
    <w:p w14:paraId="300EE08F" w14:textId="77777777" w:rsidR="00F40EFA" w:rsidRPr="00E639A0" w:rsidRDefault="00F40EFA" w:rsidP="00B03932">
      <w:pPr>
        <w:pStyle w:val="BodyText1"/>
        <w:rPr>
          <w:sz w:val="24"/>
          <w:szCs w:val="24"/>
        </w:rPr>
      </w:pPr>
    </w:p>
    <w:p w14:paraId="22E37A2C" w14:textId="3D841607" w:rsidR="00F40EFA" w:rsidRPr="00E639A0" w:rsidRDefault="00F40EFA" w:rsidP="00673C02">
      <w:pPr>
        <w:pStyle w:val="BodyText1"/>
        <w:rPr>
          <w:sz w:val="24"/>
          <w:szCs w:val="24"/>
        </w:rPr>
      </w:pPr>
      <w:r w:rsidRPr="00E639A0">
        <w:rPr>
          <w:sz w:val="24"/>
          <w:szCs w:val="24"/>
        </w:rPr>
        <w:t xml:space="preserve">These costs </w:t>
      </w:r>
      <w:r w:rsidR="00673C02" w:rsidRPr="00E639A0">
        <w:rPr>
          <w:sz w:val="24"/>
          <w:szCs w:val="24"/>
        </w:rPr>
        <w:t xml:space="preserve">(as with the Exchequer benefits below) </w:t>
      </w:r>
      <w:r w:rsidRPr="00E639A0">
        <w:rPr>
          <w:sz w:val="24"/>
          <w:szCs w:val="24"/>
        </w:rPr>
        <w:t xml:space="preserve">are subject to uncertainty driven by the behaviour of </w:t>
      </w:r>
      <w:r w:rsidR="00E074DA" w:rsidRPr="00E639A0">
        <w:rPr>
          <w:sz w:val="24"/>
          <w:szCs w:val="24"/>
        </w:rPr>
        <w:t>employers in response to any new regulation</w:t>
      </w:r>
      <w:r w:rsidRPr="00E639A0">
        <w:rPr>
          <w:sz w:val="24"/>
          <w:szCs w:val="24"/>
        </w:rPr>
        <w:t xml:space="preserve">.  We expect any </w:t>
      </w:r>
      <w:r w:rsidR="00F91582" w:rsidRPr="00E639A0">
        <w:rPr>
          <w:sz w:val="24"/>
          <w:szCs w:val="24"/>
        </w:rPr>
        <w:t>net</w:t>
      </w:r>
      <w:r w:rsidRPr="00E639A0">
        <w:rPr>
          <w:sz w:val="24"/>
          <w:szCs w:val="24"/>
        </w:rPr>
        <w:t xml:space="preserve"> increase </w:t>
      </w:r>
      <w:r w:rsidR="00F91582" w:rsidRPr="00E639A0">
        <w:rPr>
          <w:sz w:val="24"/>
          <w:szCs w:val="24"/>
        </w:rPr>
        <w:t xml:space="preserve">in cost </w:t>
      </w:r>
      <w:r w:rsidRPr="00E639A0">
        <w:rPr>
          <w:sz w:val="24"/>
          <w:szCs w:val="24"/>
        </w:rPr>
        <w:t xml:space="preserve">to </w:t>
      </w:r>
      <w:r w:rsidR="00056039" w:rsidRPr="00E639A0">
        <w:rPr>
          <w:sz w:val="24"/>
          <w:szCs w:val="24"/>
        </w:rPr>
        <w:t xml:space="preserve">the Exchequer </w:t>
      </w:r>
      <w:r w:rsidRPr="00E639A0">
        <w:rPr>
          <w:sz w:val="24"/>
          <w:szCs w:val="24"/>
        </w:rPr>
        <w:t>to be very small</w:t>
      </w:r>
      <w:r w:rsidR="009F4915" w:rsidRPr="00E639A0">
        <w:rPr>
          <w:sz w:val="24"/>
          <w:szCs w:val="24"/>
        </w:rPr>
        <w:t xml:space="preserve"> -</w:t>
      </w:r>
      <w:r w:rsidRPr="00E639A0">
        <w:rPr>
          <w:sz w:val="24"/>
          <w:szCs w:val="24"/>
        </w:rPr>
        <w:t xml:space="preserve"> </w:t>
      </w:r>
      <w:r w:rsidR="00F91582" w:rsidRPr="00E639A0">
        <w:rPr>
          <w:sz w:val="24"/>
          <w:szCs w:val="24"/>
        </w:rPr>
        <w:t>around £2</w:t>
      </w:r>
      <w:r w:rsidR="00A21019" w:rsidRPr="00E639A0">
        <w:rPr>
          <w:sz w:val="24"/>
          <w:szCs w:val="24"/>
        </w:rPr>
        <w:t xml:space="preserve"> </w:t>
      </w:r>
      <w:r w:rsidR="008563EA" w:rsidRPr="00E639A0">
        <w:rPr>
          <w:sz w:val="24"/>
          <w:szCs w:val="24"/>
        </w:rPr>
        <w:t>millio</w:t>
      </w:r>
      <w:r w:rsidR="00A21019" w:rsidRPr="00E639A0">
        <w:rPr>
          <w:sz w:val="24"/>
          <w:szCs w:val="24"/>
        </w:rPr>
        <w:t>n</w:t>
      </w:r>
      <w:r w:rsidR="008563EA" w:rsidRPr="00E639A0">
        <w:rPr>
          <w:sz w:val="24"/>
          <w:szCs w:val="24"/>
        </w:rPr>
        <w:t xml:space="preserve"> p</w:t>
      </w:r>
      <w:r w:rsidRPr="00E639A0">
        <w:rPr>
          <w:sz w:val="24"/>
          <w:szCs w:val="24"/>
        </w:rPr>
        <w:t xml:space="preserve">a.  </w:t>
      </w:r>
      <w:r w:rsidR="00A21019" w:rsidRPr="00E639A0">
        <w:rPr>
          <w:sz w:val="24"/>
          <w:szCs w:val="24"/>
        </w:rPr>
        <w:t>We will work closely with HMT and DWP to agree these and f</w:t>
      </w:r>
      <w:r w:rsidRPr="00E639A0">
        <w:rPr>
          <w:sz w:val="24"/>
          <w:szCs w:val="24"/>
        </w:rPr>
        <w:t xml:space="preserve">inal estimates will be set out in an accompanying Impact Assessment when regulations to implement the entitlement are brought forward. </w:t>
      </w:r>
    </w:p>
    <w:p w14:paraId="4393E6CB" w14:textId="77777777" w:rsidR="00020B04" w:rsidRPr="00E639A0" w:rsidRDefault="00020B04" w:rsidP="00B03932">
      <w:pPr>
        <w:pStyle w:val="BodyText1"/>
        <w:rPr>
          <w:sz w:val="24"/>
          <w:szCs w:val="24"/>
        </w:rPr>
      </w:pPr>
    </w:p>
    <w:p w14:paraId="492535D8" w14:textId="6E4A83AE" w:rsidR="00020B04" w:rsidRPr="00E639A0" w:rsidRDefault="00020B04" w:rsidP="00A33FB9">
      <w:pPr>
        <w:pStyle w:val="BodyText1"/>
        <w:rPr>
          <w:sz w:val="24"/>
          <w:szCs w:val="24"/>
        </w:rPr>
      </w:pPr>
      <w:r w:rsidRPr="00E639A0">
        <w:rPr>
          <w:noProof/>
          <w:sz w:val="24"/>
          <w:szCs w:val="24"/>
        </w:rPr>
        <mc:AlternateContent>
          <mc:Choice Requires="wps">
            <w:drawing>
              <wp:inline distT="45720" distB="45720" distL="114300" distR="114300" wp14:anchorId="3BAA8D31" wp14:editId="18F768B2">
                <wp:extent cx="5924550" cy="1924050"/>
                <wp:effectExtent l="0" t="0" r="19050"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1924050"/>
                        </a:xfrm>
                        <a:prstGeom prst="rect">
                          <a:avLst/>
                        </a:prstGeom>
                        <a:solidFill>
                          <a:srgbClr val="FFFFFF"/>
                        </a:solidFill>
                        <a:ln w="9525">
                          <a:solidFill>
                            <a:srgbClr val="000000"/>
                          </a:solidFill>
                          <a:miter lim="800000"/>
                          <a:headEnd/>
                          <a:tailEnd/>
                        </a:ln>
                      </wps:spPr>
                      <wps:txbx>
                        <w:txbxContent>
                          <w:p w14:paraId="7F54AC53" w14:textId="77777777" w:rsidR="00020B04" w:rsidRPr="0029524B" w:rsidRDefault="00020B04" w:rsidP="00020B04">
                            <w:pPr>
                              <w:rPr>
                                <w:rFonts w:cs="Arial"/>
                                <w:i/>
                                <w:iCs/>
                                <w:sz w:val="22"/>
                                <w:u w:val="single"/>
                              </w:rPr>
                            </w:pPr>
                            <w:r w:rsidRPr="0029524B">
                              <w:rPr>
                                <w:rFonts w:cs="Arial"/>
                                <w:i/>
                                <w:iCs/>
                                <w:sz w:val="22"/>
                                <w:u w:val="single"/>
                              </w:rPr>
                              <w:t>Maternity Allowance</w:t>
                            </w:r>
                          </w:p>
                          <w:p w14:paraId="6E63F724" w14:textId="77777777" w:rsidR="00020B04" w:rsidRPr="0029524B" w:rsidRDefault="00020B04" w:rsidP="00020B04">
                            <w:pPr>
                              <w:rPr>
                                <w:rFonts w:cs="Arial"/>
                                <w:sz w:val="22"/>
                              </w:rPr>
                            </w:pPr>
                          </w:p>
                          <w:p w14:paraId="0C0D1E30" w14:textId="77777777" w:rsidR="00020B04" w:rsidRPr="0029524B" w:rsidRDefault="00020B04" w:rsidP="00020B04">
                            <w:pPr>
                              <w:rPr>
                                <w:rFonts w:cs="Arial"/>
                                <w:sz w:val="22"/>
                              </w:rPr>
                            </w:pPr>
                            <w:r w:rsidRPr="0029524B">
                              <w:rPr>
                                <w:rFonts w:cs="Arial"/>
                                <w:sz w:val="22"/>
                              </w:rPr>
                              <w:t xml:space="preserve">Eligible population for MA = Population size – Eligible population for SMP </w:t>
                            </w:r>
                          </w:p>
                          <w:p w14:paraId="6E4BBF86" w14:textId="77777777" w:rsidR="00020B04" w:rsidRPr="0029524B" w:rsidRDefault="00020B04" w:rsidP="00020B04">
                            <w:pPr>
                              <w:rPr>
                                <w:rFonts w:cs="Arial"/>
                                <w:sz w:val="22"/>
                              </w:rPr>
                            </w:pPr>
                            <w:r w:rsidRPr="0029524B">
                              <w:rPr>
                                <w:rFonts w:cs="Arial"/>
                                <w:sz w:val="22"/>
                              </w:rPr>
                              <w:t>2,500 – 2,200  = 300</w:t>
                            </w:r>
                          </w:p>
                          <w:p w14:paraId="6AFF5856" w14:textId="77777777" w:rsidR="00020B04" w:rsidRPr="0029524B" w:rsidRDefault="00020B04" w:rsidP="00020B04">
                            <w:pPr>
                              <w:rPr>
                                <w:rFonts w:cs="Arial"/>
                                <w:sz w:val="22"/>
                              </w:rPr>
                            </w:pPr>
                          </w:p>
                          <w:p w14:paraId="60ECC15E" w14:textId="77777777" w:rsidR="00020B04" w:rsidRPr="0029524B" w:rsidRDefault="00020B04" w:rsidP="00020B04">
                            <w:pPr>
                              <w:rPr>
                                <w:rFonts w:cs="Arial"/>
                                <w:sz w:val="22"/>
                              </w:rPr>
                            </w:pPr>
                            <w:r w:rsidRPr="0029524B">
                              <w:rPr>
                                <w:rFonts w:cs="Arial"/>
                                <w:sz w:val="22"/>
                              </w:rPr>
                              <w:t>Value of Maternity Allowance = 39 weeks x £156.66 151.97 (statutory flat rate)</w:t>
                            </w:r>
                          </w:p>
                          <w:p w14:paraId="75C3232A" w14:textId="77777777" w:rsidR="00020B04" w:rsidRPr="0029524B" w:rsidRDefault="00020B04" w:rsidP="00020B04">
                            <w:pPr>
                              <w:rPr>
                                <w:rFonts w:cs="Arial"/>
                                <w:sz w:val="22"/>
                              </w:rPr>
                            </w:pPr>
                            <w:r w:rsidRPr="0029524B">
                              <w:rPr>
                                <w:rFonts w:cs="Arial"/>
                                <w:sz w:val="22"/>
                              </w:rPr>
                              <w:t>39 x £156.66 = £6,100</w:t>
                            </w:r>
                          </w:p>
                          <w:p w14:paraId="5A28F14D" w14:textId="77777777" w:rsidR="00020B04" w:rsidRPr="0029524B" w:rsidRDefault="00020B04" w:rsidP="00020B04">
                            <w:pPr>
                              <w:rPr>
                                <w:rFonts w:cs="Arial"/>
                                <w:sz w:val="22"/>
                              </w:rPr>
                            </w:pPr>
                          </w:p>
                          <w:p w14:paraId="6FBDF84D" w14:textId="77777777" w:rsidR="00020B04" w:rsidRPr="0029524B" w:rsidRDefault="00020B04" w:rsidP="00020B04">
                            <w:pPr>
                              <w:rPr>
                                <w:rFonts w:cs="Arial"/>
                                <w:sz w:val="22"/>
                              </w:rPr>
                            </w:pPr>
                            <w:r w:rsidRPr="0029524B">
                              <w:rPr>
                                <w:rFonts w:cs="Arial"/>
                                <w:sz w:val="22"/>
                              </w:rPr>
                              <w:t>Total Maternity Allowance = Eligible Population for MA x Value of Maternity Allowance</w:t>
                            </w:r>
                          </w:p>
                          <w:p w14:paraId="65EBA04D" w14:textId="77777777" w:rsidR="00020B04" w:rsidRPr="0029524B" w:rsidRDefault="00020B04" w:rsidP="00020B04">
                            <w:pPr>
                              <w:rPr>
                                <w:rFonts w:cs="Arial"/>
                                <w:sz w:val="22"/>
                              </w:rPr>
                            </w:pPr>
                            <w:r w:rsidRPr="0029524B">
                              <w:rPr>
                                <w:rFonts w:cs="Arial"/>
                                <w:sz w:val="22"/>
                              </w:rPr>
                              <w:t>300 x £6,100 = £1.8m</w:t>
                            </w:r>
                          </w:p>
                          <w:p w14:paraId="1B718D68" w14:textId="77777777" w:rsidR="00020B04" w:rsidRPr="0029524B" w:rsidRDefault="00020B04" w:rsidP="00020B04">
                            <w:pPr>
                              <w:rPr>
                                <w:rFonts w:cs="Arial"/>
                                <w:sz w:val="22"/>
                              </w:rPr>
                            </w:pPr>
                          </w:p>
                        </w:txbxContent>
                      </wps:txbx>
                      <wps:bodyPr rot="0" vert="horz" wrap="square" lIns="91440" tIns="45720" rIns="91440" bIns="45720" anchor="t" anchorCtr="0">
                        <a:noAutofit/>
                      </wps:bodyPr>
                    </wps:wsp>
                  </a:graphicData>
                </a:graphic>
              </wp:inline>
            </w:drawing>
          </mc:Choice>
          <mc:Fallback>
            <w:pict>
              <v:shape w14:anchorId="3BAA8D31" id="Text Box 2" o:spid="_x0000_s1029" type="#_x0000_t202" style="width:466.5pt;height:1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hVnEQIAACcEAAAOAAAAZHJzL2Uyb0RvYy54bWysU9tu2zAMfR+wfxD0vtjJ4q0x4hRdugwD&#10;ugvQ7QNkWY6FSaImKbGzry8lu2l2exmmB4EUqUPykFxfD1qRo3BegqnofJZTIgyHRpp9Rb9+2b24&#10;osQHZhqmwIiKnoSn15vnz9a9LcUCOlCNcARBjC97W9EuBFtmmeed0MzPwAqDxhacZgFVt88ax3pE&#10;1ypb5PmrrAfXWAdceI+vt6ORbhJ+2woePrWtF4GoimJuId0u3XW8s82alXvHbCf5lAb7hyw0kwaD&#10;nqFuWWDk4ORvUFpyBx7aMOOgM2hbyUWqAauZ579Uc98xK1ItSI63Z5r8/4PlH4/39rMjYXgDAzYw&#10;FeHtHfBvnhjYdszsxY1z0HeCNRh4HinLeuvL6Wuk2pc+gtT9B2iwyewQIAENrdORFayTIDo24HQm&#10;XQyBcHwsVotlUaCJo22OSo5KjMHKx+/W+fBOgCZRqKjDriZ4drzzYXR9dInRPCjZ7KRSSXH7eqsc&#10;OTKcgF06E/pPbsqQvqKrYlGMDPwVIk/nTxBaBhxlJXVFr85OrIy8vTVNGrTApBplrE6ZicjI3chi&#10;GOqByKaiL2OAyGsNzQmZdTBOLm4aCh24H5T0OLUV9d8PzAlK1HuD3VnNl8s45klZFq8XqLhLS31p&#10;YYYjVEUDJaO4DWk1Im8GbrCLrUz8PmUypYzTmDo0bU4c90s9eT3t9+YBAAD//wMAUEsDBBQABgAI&#10;AAAAIQCn1d8/2wAAAAUBAAAPAAAAZHJzL2Rvd25yZXYueG1sTI9BT8MwDIXvSPsPkSdxQSwdRWMr&#10;TSeEBILbGAiuWeO11RKnJFlX/j2GC1wsPz3r+XvlenRWDBhi50nBfJaBQKq96ahR8Pb6cLkEEZMm&#10;o60nVPCFEdbV5KzUhfEnesFhmxrBIRQLraBNqS+kjHWLTseZ75HY2/vgdGIZGmmCPnG4s/IqyxbS&#10;6Y74Q6t7vG+xPmyPTsHy+mn4iM/55r1e7O0qXdwMj59BqfPpeHcLIuGY/o7hB5/RoWKmnT+SicIq&#10;4CLpd7K3ynOWOwV5xousSvmfvvoGAAD//wMAUEsBAi0AFAAGAAgAAAAhALaDOJL+AAAA4QEAABMA&#10;AAAAAAAAAAAAAAAAAAAAAFtDb250ZW50X1R5cGVzXS54bWxQSwECLQAUAAYACAAAACEAOP0h/9YA&#10;AACUAQAACwAAAAAAAAAAAAAAAAAvAQAAX3JlbHMvLnJlbHNQSwECLQAUAAYACAAAACEAKqYVZxEC&#10;AAAnBAAADgAAAAAAAAAAAAAAAAAuAgAAZHJzL2Uyb0RvYy54bWxQSwECLQAUAAYACAAAACEAp9Xf&#10;P9sAAAAFAQAADwAAAAAAAAAAAAAAAABrBAAAZHJzL2Rvd25yZXYueG1sUEsFBgAAAAAEAAQA8wAA&#10;AHMFAAAAAA==&#10;">
                <v:textbox>
                  <w:txbxContent>
                    <w:p w14:paraId="7F54AC53" w14:textId="77777777" w:rsidR="00020B04" w:rsidRPr="0029524B" w:rsidRDefault="00020B04" w:rsidP="00020B04">
                      <w:pPr>
                        <w:rPr>
                          <w:rFonts w:cs="Arial"/>
                          <w:i/>
                          <w:iCs/>
                          <w:sz w:val="22"/>
                          <w:u w:val="single"/>
                        </w:rPr>
                      </w:pPr>
                      <w:r w:rsidRPr="0029524B">
                        <w:rPr>
                          <w:rFonts w:cs="Arial"/>
                          <w:i/>
                          <w:iCs/>
                          <w:sz w:val="22"/>
                          <w:u w:val="single"/>
                        </w:rPr>
                        <w:t>Maternity Allowance</w:t>
                      </w:r>
                    </w:p>
                    <w:p w14:paraId="6E63F724" w14:textId="77777777" w:rsidR="00020B04" w:rsidRPr="0029524B" w:rsidRDefault="00020B04" w:rsidP="00020B04">
                      <w:pPr>
                        <w:rPr>
                          <w:rFonts w:cs="Arial"/>
                          <w:sz w:val="22"/>
                        </w:rPr>
                      </w:pPr>
                    </w:p>
                    <w:p w14:paraId="0C0D1E30" w14:textId="77777777" w:rsidR="00020B04" w:rsidRPr="0029524B" w:rsidRDefault="00020B04" w:rsidP="00020B04">
                      <w:pPr>
                        <w:rPr>
                          <w:rFonts w:cs="Arial"/>
                          <w:sz w:val="22"/>
                        </w:rPr>
                      </w:pPr>
                      <w:r w:rsidRPr="0029524B">
                        <w:rPr>
                          <w:rFonts w:cs="Arial"/>
                          <w:sz w:val="22"/>
                        </w:rPr>
                        <w:t xml:space="preserve">Eligible population for MA = Population size – Eligible population for SMP </w:t>
                      </w:r>
                    </w:p>
                    <w:p w14:paraId="6E4BBF86" w14:textId="77777777" w:rsidR="00020B04" w:rsidRPr="0029524B" w:rsidRDefault="00020B04" w:rsidP="00020B04">
                      <w:pPr>
                        <w:rPr>
                          <w:rFonts w:cs="Arial"/>
                          <w:sz w:val="22"/>
                        </w:rPr>
                      </w:pPr>
                      <w:r w:rsidRPr="0029524B">
                        <w:rPr>
                          <w:rFonts w:cs="Arial"/>
                          <w:sz w:val="22"/>
                        </w:rPr>
                        <w:t>2,500 – 2,200  = 300</w:t>
                      </w:r>
                    </w:p>
                    <w:p w14:paraId="6AFF5856" w14:textId="77777777" w:rsidR="00020B04" w:rsidRPr="0029524B" w:rsidRDefault="00020B04" w:rsidP="00020B04">
                      <w:pPr>
                        <w:rPr>
                          <w:rFonts w:cs="Arial"/>
                          <w:sz w:val="22"/>
                        </w:rPr>
                      </w:pPr>
                    </w:p>
                    <w:p w14:paraId="60ECC15E" w14:textId="77777777" w:rsidR="00020B04" w:rsidRPr="0029524B" w:rsidRDefault="00020B04" w:rsidP="00020B04">
                      <w:pPr>
                        <w:rPr>
                          <w:rFonts w:cs="Arial"/>
                          <w:sz w:val="22"/>
                        </w:rPr>
                      </w:pPr>
                      <w:r w:rsidRPr="0029524B">
                        <w:rPr>
                          <w:rFonts w:cs="Arial"/>
                          <w:sz w:val="22"/>
                        </w:rPr>
                        <w:t>Value of Maternity Allowance = 39 weeks x £156.66 151.97 (statutory flat rate)</w:t>
                      </w:r>
                    </w:p>
                    <w:p w14:paraId="75C3232A" w14:textId="77777777" w:rsidR="00020B04" w:rsidRPr="0029524B" w:rsidRDefault="00020B04" w:rsidP="00020B04">
                      <w:pPr>
                        <w:rPr>
                          <w:rFonts w:cs="Arial"/>
                          <w:sz w:val="22"/>
                        </w:rPr>
                      </w:pPr>
                      <w:r w:rsidRPr="0029524B">
                        <w:rPr>
                          <w:rFonts w:cs="Arial"/>
                          <w:sz w:val="22"/>
                        </w:rPr>
                        <w:t>39 x £156.66 = £6,100</w:t>
                      </w:r>
                    </w:p>
                    <w:p w14:paraId="5A28F14D" w14:textId="77777777" w:rsidR="00020B04" w:rsidRPr="0029524B" w:rsidRDefault="00020B04" w:rsidP="00020B04">
                      <w:pPr>
                        <w:rPr>
                          <w:rFonts w:cs="Arial"/>
                          <w:sz w:val="22"/>
                        </w:rPr>
                      </w:pPr>
                    </w:p>
                    <w:p w14:paraId="6FBDF84D" w14:textId="77777777" w:rsidR="00020B04" w:rsidRPr="0029524B" w:rsidRDefault="00020B04" w:rsidP="00020B04">
                      <w:pPr>
                        <w:rPr>
                          <w:rFonts w:cs="Arial"/>
                          <w:sz w:val="22"/>
                        </w:rPr>
                      </w:pPr>
                      <w:r w:rsidRPr="0029524B">
                        <w:rPr>
                          <w:rFonts w:cs="Arial"/>
                          <w:sz w:val="22"/>
                        </w:rPr>
                        <w:t>Total Maternity Allowance = Eligible Population for MA x Value of Maternity Allowance</w:t>
                      </w:r>
                    </w:p>
                    <w:p w14:paraId="65EBA04D" w14:textId="77777777" w:rsidR="00020B04" w:rsidRPr="0029524B" w:rsidRDefault="00020B04" w:rsidP="00020B04">
                      <w:pPr>
                        <w:rPr>
                          <w:rFonts w:cs="Arial"/>
                          <w:sz w:val="22"/>
                        </w:rPr>
                      </w:pPr>
                      <w:r w:rsidRPr="0029524B">
                        <w:rPr>
                          <w:rFonts w:cs="Arial"/>
                          <w:sz w:val="22"/>
                        </w:rPr>
                        <w:t>300 x £6,100 = £1.8m</w:t>
                      </w:r>
                    </w:p>
                    <w:p w14:paraId="1B718D68" w14:textId="77777777" w:rsidR="00020B04" w:rsidRPr="0029524B" w:rsidRDefault="00020B04" w:rsidP="00020B04">
                      <w:pPr>
                        <w:rPr>
                          <w:rFonts w:cs="Arial"/>
                          <w:sz w:val="22"/>
                        </w:rPr>
                      </w:pPr>
                    </w:p>
                  </w:txbxContent>
                </v:textbox>
                <w10:anchorlock/>
              </v:shape>
            </w:pict>
          </mc:Fallback>
        </mc:AlternateContent>
      </w:r>
    </w:p>
    <w:p w14:paraId="222E6418" w14:textId="77777777" w:rsidR="00020B04" w:rsidRPr="00E639A0" w:rsidRDefault="00020B04" w:rsidP="00643AB0">
      <w:pPr>
        <w:pStyle w:val="EBBodyPara"/>
        <w:rPr>
          <w:b/>
          <w:sz w:val="24"/>
          <w:szCs w:val="24"/>
        </w:rPr>
      </w:pPr>
    </w:p>
    <w:p w14:paraId="6AFD6E3A" w14:textId="2A77D35B" w:rsidR="00643AB0" w:rsidRPr="00E639A0" w:rsidRDefault="00643AB0" w:rsidP="00643AB0">
      <w:pPr>
        <w:pStyle w:val="EBBodyPara"/>
        <w:rPr>
          <w:b/>
          <w:sz w:val="24"/>
          <w:szCs w:val="24"/>
        </w:rPr>
      </w:pPr>
      <w:r w:rsidRPr="00E639A0">
        <w:rPr>
          <w:b/>
          <w:sz w:val="24"/>
          <w:szCs w:val="24"/>
        </w:rPr>
        <w:t>Monetised benefits</w:t>
      </w:r>
    </w:p>
    <w:p w14:paraId="7AF3AD05" w14:textId="5CAB548F" w:rsidR="00B32744" w:rsidRPr="00E639A0" w:rsidRDefault="00B32744" w:rsidP="00643AB0">
      <w:pPr>
        <w:pStyle w:val="EBBodyPara"/>
        <w:rPr>
          <w:b/>
          <w:bCs w:val="0"/>
          <w:iCs/>
          <w:sz w:val="24"/>
          <w:szCs w:val="24"/>
          <w:u w:val="single"/>
        </w:rPr>
      </w:pPr>
      <w:r w:rsidRPr="00E639A0">
        <w:rPr>
          <w:b/>
          <w:bCs w:val="0"/>
          <w:iCs/>
          <w:sz w:val="24"/>
          <w:szCs w:val="24"/>
          <w:u w:val="single"/>
        </w:rPr>
        <w:t>Recurring benefits</w:t>
      </w:r>
    </w:p>
    <w:p w14:paraId="5BA5E430" w14:textId="4607DA52" w:rsidR="00B339B9" w:rsidRPr="00E639A0" w:rsidRDefault="00130E3F" w:rsidP="00643AB0">
      <w:pPr>
        <w:pStyle w:val="EBBodyPara"/>
        <w:rPr>
          <w:iCs/>
          <w:sz w:val="24"/>
          <w:szCs w:val="24"/>
        </w:rPr>
      </w:pPr>
      <w:r w:rsidRPr="00E639A0">
        <w:rPr>
          <w:iCs/>
          <w:sz w:val="24"/>
          <w:szCs w:val="24"/>
        </w:rPr>
        <w:t>The monetised r</w:t>
      </w:r>
      <w:r w:rsidR="00B339B9" w:rsidRPr="00E639A0">
        <w:rPr>
          <w:iCs/>
          <w:sz w:val="24"/>
          <w:szCs w:val="24"/>
        </w:rPr>
        <w:t>ecurring benefits are:</w:t>
      </w:r>
    </w:p>
    <w:p w14:paraId="49BE9C08" w14:textId="0C21BE15" w:rsidR="00B339B9" w:rsidRPr="00E639A0" w:rsidRDefault="00887F8D" w:rsidP="00332DC0">
      <w:pPr>
        <w:pStyle w:val="EBBodyPara"/>
        <w:numPr>
          <w:ilvl w:val="0"/>
          <w:numId w:val="45"/>
        </w:numPr>
        <w:spacing w:after="0"/>
        <w:ind w:left="714" w:hanging="357"/>
        <w:rPr>
          <w:iCs/>
          <w:sz w:val="24"/>
          <w:szCs w:val="24"/>
        </w:rPr>
      </w:pPr>
      <w:r w:rsidRPr="00E639A0">
        <w:rPr>
          <w:b/>
          <w:bCs w:val="0"/>
          <w:iCs/>
          <w:sz w:val="24"/>
          <w:szCs w:val="24"/>
        </w:rPr>
        <w:t>Benefits from improved e</w:t>
      </w:r>
      <w:r w:rsidR="00BA48D3" w:rsidRPr="00E639A0">
        <w:rPr>
          <w:b/>
          <w:bCs w:val="0"/>
          <w:iCs/>
          <w:sz w:val="24"/>
          <w:szCs w:val="24"/>
        </w:rPr>
        <w:t>m</w:t>
      </w:r>
      <w:r w:rsidRPr="00E639A0">
        <w:rPr>
          <w:b/>
          <w:bCs w:val="0"/>
          <w:iCs/>
          <w:sz w:val="24"/>
          <w:szCs w:val="24"/>
        </w:rPr>
        <w:t>ployer relations</w:t>
      </w:r>
      <w:r w:rsidR="001A7E0C" w:rsidRPr="00E639A0">
        <w:rPr>
          <w:iCs/>
          <w:sz w:val="24"/>
          <w:szCs w:val="24"/>
        </w:rPr>
        <w:t xml:space="preserve"> (i.e. reduced Employment Tribunals and Early Conciliation)</w:t>
      </w:r>
      <w:r w:rsidRPr="00E639A0">
        <w:rPr>
          <w:iCs/>
          <w:sz w:val="24"/>
          <w:szCs w:val="24"/>
        </w:rPr>
        <w:t xml:space="preserve"> </w:t>
      </w:r>
      <w:r w:rsidR="00C65C91" w:rsidRPr="00E639A0">
        <w:rPr>
          <w:iCs/>
          <w:sz w:val="24"/>
          <w:szCs w:val="24"/>
        </w:rPr>
        <w:t>–</w:t>
      </w:r>
      <w:r w:rsidR="005900E4" w:rsidRPr="00E639A0">
        <w:rPr>
          <w:iCs/>
          <w:sz w:val="24"/>
          <w:szCs w:val="24"/>
        </w:rPr>
        <w:t xml:space="preserve"> benefits all groups</w:t>
      </w:r>
    </w:p>
    <w:p w14:paraId="37000D5E" w14:textId="5D63D6FF" w:rsidR="00EA4A0E" w:rsidRPr="00E639A0" w:rsidRDefault="00642A4A" w:rsidP="00332DC0">
      <w:pPr>
        <w:pStyle w:val="EBBodyPara"/>
        <w:numPr>
          <w:ilvl w:val="0"/>
          <w:numId w:val="45"/>
        </w:numPr>
        <w:spacing w:after="0"/>
        <w:ind w:left="714" w:hanging="357"/>
        <w:rPr>
          <w:iCs/>
          <w:sz w:val="24"/>
          <w:szCs w:val="24"/>
        </w:rPr>
      </w:pPr>
      <w:r w:rsidRPr="00E639A0">
        <w:rPr>
          <w:b/>
          <w:bCs w:val="0"/>
          <w:iCs/>
          <w:sz w:val="24"/>
          <w:szCs w:val="24"/>
        </w:rPr>
        <w:t xml:space="preserve">Individual </w:t>
      </w:r>
      <w:r w:rsidR="007D52B3" w:rsidRPr="00E639A0">
        <w:rPr>
          <w:b/>
          <w:bCs w:val="0"/>
          <w:iCs/>
          <w:sz w:val="24"/>
          <w:szCs w:val="24"/>
        </w:rPr>
        <w:t>b</w:t>
      </w:r>
      <w:r w:rsidRPr="00E639A0">
        <w:rPr>
          <w:b/>
          <w:bCs w:val="0"/>
          <w:iCs/>
          <w:sz w:val="24"/>
          <w:szCs w:val="24"/>
        </w:rPr>
        <w:t>enefit:</w:t>
      </w:r>
      <w:r w:rsidRPr="00E639A0">
        <w:rPr>
          <w:iCs/>
          <w:sz w:val="24"/>
          <w:szCs w:val="24"/>
        </w:rPr>
        <w:t xml:space="preserve"> </w:t>
      </w:r>
      <w:r w:rsidR="00BA48D3" w:rsidRPr="00E639A0">
        <w:rPr>
          <w:iCs/>
          <w:sz w:val="24"/>
          <w:szCs w:val="24"/>
        </w:rPr>
        <w:t>additio</w:t>
      </w:r>
      <w:r w:rsidR="00EA4A0E" w:rsidRPr="00E639A0">
        <w:rPr>
          <w:iCs/>
          <w:sz w:val="24"/>
          <w:szCs w:val="24"/>
        </w:rPr>
        <w:t xml:space="preserve">nal statutory payments </w:t>
      </w:r>
      <w:r w:rsidR="00082B13" w:rsidRPr="00E639A0">
        <w:rPr>
          <w:iCs/>
          <w:sz w:val="24"/>
          <w:szCs w:val="24"/>
        </w:rPr>
        <w:t>(Statutory Maternity Pay less Maternity Allowance payment</w:t>
      </w:r>
      <w:r w:rsidR="00BA48D3" w:rsidRPr="00E639A0">
        <w:rPr>
          <w:iCs/>
          <w:sz w:val="24"/>
          <w:szCs w:val="24"/>
        </w:rPr>
        <w:t>)</w:t>
      </w:r>
    </w:p>
    <w:p w14:paraId="4129B9DD" w14:textId="31021765" w:rsidR="00703E90" w:rsidRPr="00E639A0" w:rsidRDefault="00703E90" w:rsidP="00332DC0">
      <w:pPr>
        <w:pStyle w:val="EBBodyPara"/>
        <w:numPr>
          <w:ilvl w:val="0"/>
          <w:numId w:val="45"/>
        </w:numPr>
        <w:spacing w:after="0"/>
        <w:ind w:left="714" w:hanging="357"/>
        <w:rPr>
          <w:iCs/>
          <w:sz w:val="24"/>
          <w:szCs w:val="24"/>
        </w:rPr>
      </w:pPr>
      <w:r w:rsidRPr="00E639A0">
        <w:rPr>
          <w:b/>
          <w:bCs w:val="0"/>
          <w:iCs/>
          <w:sz w:val="24"/>
          <w:szCs w:val="24"/>
        </w:rPr>
        <w:t>Exchequer benefit:</w:t>
      </w:r>
      <w:r w:rsidRPr="00E639A0">
        <w:rPr>
          <w:iCs/>
          <w:sz w:val="24"/>
          <w:szCs w:val="24"/>
        </w:rPr>
        <w:t xml:space="preserve"> Savings from no </w:t>
      </w:r>
      <w:r w:rsidR="00A94F9D" w:rsidRPr="00E639A0">
        <w:rPr>
          <w:iCs/>
          <w:sz w:val="24"/>
          <w:szCs w:val="24"/>
        </w:rPr>
        <w:t xml:space="preserve">longer paying </w:t>
      </w:r>
      <w:r w:rsidR="00E80AE7" w:rsidRPr="00E639A0">
        <w:rPr>
          <w:iCs/>
          <w:sz w:val="24"/>
          <w:szCs w:val="24"/>
        </w:rPr>
        <w:t>M</w:t>
      </w:r>
      <w:r w:rsidR="00A94F9D" w:rsidRPr="00E639A0">
        <w:rPr>
          <w:iCs/>
          <w:sz w:val="24"/>
          <w:szCs w:val="24"/>
        </w:rPr>
        <w:t xml:space="preserve">aternity </w:t>
      </w:r>
      <w:r w:rsidR="00E80AE7" w:rsidRPr="00E639A0">
        <w:rPr>
          <w:iCs/>
          <w:sz w:val="24"/>
          <w:szCs w:val="24"/>
        </w:rPr>
        <w:t>A</w:t>
      </w:r>
      <w:r w:rsidR="00A94F9D" w:rsidRPr="00E639A0">
        <w:rPr>
          <w:iCs/>
          <w:sz w:val="24"/>
          <w:szCs w:val="24"/>
        </w:rPr>
        <w:t>llowance</w:t>
      </w:r>
    </w:p>
    <w:p w14:paraId="0E76C353" w14:textId="77777777" w:rsidR="006C428F" w:rsidRPr="00E639A0" w:rsidRDefault="006C428F">
      <w:pPr>
        <w:pStyle w:val="EBBodyPara"/>
        <w:rPr>
          <w:sz w:val="24"/>
          <w:szCs w:val="24"/>
        </w:rPr>
      </w:pPr>
    </w:p>
    <w:p w14:paraId="77C3D90D" w14:textId="765F1874" w:rsidR="003D1B52" w:rsidRPr="00E639A0" w:rsidRDefault="003D6409" w:rsidP="003D1B52">
      <w:pPr>
        <w:pStyle w:val="EBBodyPara"/>
        <w:rPr>
          <w:b/>
          <w:bCs w:val="0"/>
          <w:iCs/>
          <w:sz w:val="24"/>
          <w:szCs w:val="24"/>
          <w:u w:val="single"/>
        </w:rPr>
      </w:pPr>
      <w:r w:rsidRPr="00E639A0">
        <w:rPr>
          <w:b/>
          <w:bCs w:val="0"/>
          <w:iCs/>
          <w:sz w:val="24"/>
          <w:szCs w:val="24"/>
          <w:u w:val="single"/>
        </w:rPr>
        <w:t xml:space="preserve">i) </w:t>
      </w:r>
      <w:r w:rsidR="001155DA" w:rsidRPr="00E639A0">
        <w:rPr>
          <w:b/>
          <w:bCs w:val="0"/>
          <w:iCs/>
          <w:sz w:val="24"/>
          <w:szCs w:val="24"/>
          <w:u w:val="single"/>
        </w:rPr>
        <w:t>Benefits</w:t>
      </w:r>
      <w:r w:rsidR="003D1B52" w:rsidRPr="00E639A0">
        <w:rPr>
          <w:b/>
          <w:bCs w:val="0"/>
          <w:iCs/>
          <w:sz w:val="24"/>
          <w:szCs w:val="24"/>
          <w:u w:val="single"/>
        </w:rPr>
        <w:t xml:space="preserve"> from improved employer relations</w:t>
      </w:r>
      <w:r w:rsidR="00006D2E" w:rsidRPr="00E639A0">
        <w:rPr>
          <w:b/>
          <w:bCs w:val="0"/>
          <w:iCs/>
          <w:sz w:val="24"/>
          <w:szCs w:val="24"/>
          <w:u w:val="single"/>
        </w:rPr>
        <w:t xml:space="preserve"> – benefits business</w:t>
      </w:r>
      <w:r w:rsidR="00DB2506" w:rsidRPr="00E639A0">
        <w:rPr>
          <w:b/>
          <w:bCs w:val="0"/>
          <w:iCs/>
          <w:sz w:val="24"/>
          <w:szCs w:val="24"/>
          <w:u w:val="single"/>
        </w:rPr>
        <w:t>es, individuals and Exchequer</w:t>
      </w:r>
      <w:r w:rsidR="003D1B52" w:rsidRPr="00E639A0">
        <w:rPr>
          <w:b/>
          <w:bCs w:val="0"/>
          <w:iCs/>
          <w:sz w:val="24"/>
          <w:szCs w:val="24"/>
          <w:u w:val="single"/>
        </w:rPr>
        <w:t xml:space="preserve">: </w:t>
      </w:r>
    </w:p>
    <w:p w14:paraId="2F6AC48E" w14:textId="1594ACDF" w:rsidR="003D1B52" w:rsidRPr="00E639A0" w:rsidRDefault="003D1B52" w:rsidP="00332DC0">
      <w:pPr>
        <w:pStyle w:val="EBBodyPara"/>
        <w:numPr>
          <w:ilvl w:val="0"/>
          <w:numId w:val="7"/>
        </w:numPr>
        <w:rPr>
          <w:i/>
          <w:iCs/>
          <w:sz w:val="24"/>
          <w:szCs w:val="24"/>
        </w:rPr>
      </w:pPr>
      <w:r w:rsidRPr="00E639A0">
        <w:rPr>
          <w:sz w:val="24"/>
          <w:szCs w:val="24"/>
        </w:rPr>
        <w:t>We expect some savings associated with a reduction in the number of individuals seek</w:t>
      </w:r>
      <w:r w:rsidR="00283655" w:rsidRPr="00E639A0">
        <w:rPr>
          <w:sz w:val="24"/>
          <w:szCs w:val="24"/>
        </w:rPr>
        <w:t>ing</w:t>
      </w:r>
      <w:r w:rsidRPr="00E639A0">
        <w:rPr>
          <w:sz w:val="24"/>
          <w:szCs w:val="24"/>
        </w:rPr>
        <w:t xml:space="preserve"> to enforce their rights through Employment Tribunal and Early Conciliation. The extension to the protected period will mean fewer pregnant women and returning parents will be made redundant</w:t>
      </w:r>
      <w:r w:rsidR="007E649B" w:rsidRPr="00E639A0">
        <w:rPr>
          <w:sz w:val="24"/>
          <w:szCs w:val="24"/>
        </w:rPr>
        <w:t>. This</w:t>
      </w:r>
      <w:r w:rsidRPr="00E639A0">
        <w:rPr>
          <w:sz w:val="24"/>
          <w:szCs w:val="24"/>
        </w:rPr>
        <w:t xml:space="preserve"> avoids a source of potential employee-employer</w:t>
      </w:r>
      <w:r w:rsidR="004461D6" w:rsidRPr="00E639A0">
        <w:rPr>
          <w:sz w:val="24"/>
          <w:szCs w:val="24"/>
        </w:rPr>
        <w:t xml:space="preserve"> conflict, </w:t>
      </w:r>
      <w:r w:rsidRPr="00E639A0">
        <w:rPr>
          <w:sz w:val="24"/>
          <w:szCs w:val="24"/>
        </w:rPr>
        <w:t xml:space="preserve">which may centre on the issue of fairness or on whether the correct process was followed. The sections below sets out the business, employee and exchequer benefits from this change. We have assumed that the protection period of 6 months on return to work gives parents sufficient time to re-establish themselves in work and will mean employers will not simply delay any redundancy decisions to a later point. </w:t>
      </w:r>
    </w:p>
    <w:p w14:paraId="2E0346BE" w14:textId="77777777" w:rsidR="003D1B52" w:rsidRPr="00E639A0" w:rsidRDefault="003D1B52" w:rsidP="003D1B52">
      <w:pPr>
        <w:pStyle w:val="Default"/>
        <w:spacing w:after="120"/>
        <w:rPr>
          <w:bCs/>
          <w:u w:val="single"/>
        </w:rPr>
      </w:pPr>
      <w:r w:rsidRPr="00E639A0">
        <w:rPr>
          <w:bCs/>
          <w:u w:val="single"/>
        </w:rPr>
        <w:t xml:space="preserve">Business savings from reduced Employment Tribunals and Early Conciliation </w:t>
      </w:r>
    </w:p>
    <w:p w14:paraId="4EBDA19E" w14:textId="03B899BE" w:rsidR="003D1B52" w:rsidRPr="00E639A0" w:rsidRDefault="003D1B52" w:rsidP="00332DC0">
      <w:pPr>
        <w:pStyle w:val="ListParagraph"/>
        <w:numPr>
          <w:ilvl w:val="0"/>
          <w:numId w:val="7"/>
        </w:numPr>
        <w:rPr>
          <w:rFonts w:cs="Arial"/>
        </w:rPr>
      </w:pPr>
      <w:r w:rsidRPr="00E639A0">
        <w:rPr>
          <w:rFonts w:cs="Arial"/>
        </w:rPr>
        <w:t>Business may see savings from the reduction in pregnant women/returning parents made redundant going to an employment tribunal or seeking early conciliation. We apply figures from the report on the proportion of mothers seeking advice from Acas on early conciliation (4%) and lodging a complaint at the employment tribunal (1%)</w:t>
      </w:r>
      <w:r w:rsidRPr="00E639A0">
        <w:rPr>
          <w:rFonts w:cs="Arial"/>
          <w:vertAlign w:val="superscript"/>
        </w:rPr>
        <w:footnoteReference w:id="37"/>
      </w:r>
      <w:r w:rsidRPr="00E639A0">
        <w:rPr>
          <w:rFonts w:cs="Arial"/>
        </w:rPr>
        <w:t xml:space="preserve"> to our eligible population to derive the number of pregnant mothers and new parents who will no longer have to go through employment tribunal (100) or early conciliation (200)</w:t>
      </w:r>
      <w:r w:rsidRPr="00E639A0">
        <w:rPr>
          <w:rFonts w:cs="Arial"/>
          <w:vertAlign w:val="superscript"/>
        </w:rPr>
        <w:footnoteReference w:id="38"/>
      </w:r>
      <w:r w:rsidRPr="00E639A0">
        <w:rPr>
          <w:rFonts w:cs="Arial"/>
        </w:rPr>
        <w:t xml:space="preserve">. </w:t>
      </w:r>
      <w:r w:rsidR="00D94FD4" w:rsidRPr="00E639A0">
        <w:rPr>
          <w:rFonts w:cs="Arial"/>
        </w:rPr>
        <w:t xml:space="preserve"> </w:t>
      </w:r>
    </w:p>
    <w:p w14:paraId="5BEE05E2" w14:textId="77777777" w:rsidR="003D1B52" w:rsidRPr="00E639A0" w:rsidRDefault="003D1B52" w:rsidP="003D1B52">
      <w:pPr>
        <w:pStyle w:val="ListParagraph"/>
        <w:rPr>
          <w:rFonts w:cs="Arial"/>
        </w:rPr>
      </w:pPr>
    </w:p>
    <w:p w14:paraId="5564A6FC" w14:textId="487A00F0" w:rsidR="003D1B52" w:rsidRPr="00E639A0" w:rsidRDefault="003D1B52" w:rsidP="00332DC0">
      <w:pPr>
        <w:pStyle w:val="ListParagraph"/>
        <w:numPr>
          <w:ilvl w:val="0"/>
          <w:numId w:val="7"/>
        </w:numPr>
        <w:rPr>
          <w:rFonts w:cs="Arial"/>
        </w:rPr>
      </w:pPr>
      <w:r w:rsidRPr="00E639A0">
        <w:rPr>
          <w:rFonts w:cs="Arial"/>
        </w:rPr>
        <w:t>The employer savings from a reduction in employment tribunal (ET) cases arise from the Director and senior staff time spent, HR time spent and the median paid costs for advice and representation. Based on the Survey of Employment Tribunal Applications (SETA) 2018, Directors spend 6.25 days on a case and HR staff spend 0.5 days on a case. Assuming 8 working hours in a day, we use ASHE 2021 median hourly wages (adjusted for non-wage costs) for Chief Executives</w:t>
      </w:r>
      <w:r w:rsidR="00030595" w:rsidRPr="00E639A0">
        <w:rPr>
          <w:rFonts w:cs="Arial"/>
        </w:rPr>
        <w:t>,</w:t>
      </w:r>
      <w:r w:rsidRPr="00E639A0">
        <w:rPr>
          <w:rFonts w:cs="Arial"/>
        </w:rPr>
        <w:t xml:space="preserve"> senior officials</w:t>
      </w:r>
      <w:r w:rsidR="00030595" w:rsidRPr="00E639A0">
        <w:rPr>
          <w:rFonts w:cs="Arial"/>
        </w:rPr>
        <w:t>,</w:t>
      </w:r>
      <w:r w:rsidRPr="00E639A0">
        <w:rPr>
          <w:rFonts w:cs="Arial"/>
        </w:rPr>
        <w:t xml:space="preserve"> HR managers and directors respectively to estimate the unit cost of time spent by Directors and senior staff and HR on an ET case. Combined with the median paid costs for advice and representation (£3,400, also SETA 2018), we estimate the unit employer cost of defending an ET case at £5,400. </w:t>
      </w:r>
    </w:p>
    <w:p w14:paraId="1167035E" w14:textId="77777777" w:rsidR="003D1B52" w:rsidRPr="00E639A0" w:rsidRDefault="003D1B52" w:rsidP="003D1B52">
      <w:pPr>
        <w:pStyle w:val="ListParagraph"/>
        <w:rPr>
          <w:rFonts w:cs="Arial"/>
        </w:rPr>
      </w:pPr>
    </w:p>
    <w:p w14:paraId="37F8DD41" w14:textId="5BEEC060" w:rsidR="003D1B52" w:rsidRPr="00E639A0" w:rsidRDefault="003D1B52" w:rsidP="00332DC0">
      <w:pPr>
        <w:pStyle w:val="ListParagraph"/>
        <w:numPr>
          <w:ilvl w:val="0"/>
          <w:numId w:val="7"/>
        </w:numPr>
        <w:rPr>
          <w:rFonts w:cs="Arial"/>
        </w:rPr>
      </w:pPr>
      <w:r w:rsidRPr="00E639A0">
        <w:rPr>
          <w:rFonts w:cs="Arial"/>
        </w:rPr>
        <w:t xml:space="preserve">The employer savings from a reduction in early conciliation (EC) are based on the approach in the Early Conciliation Impact Assessment, which uses evidence from an Acas survey on pre-claim conciliation and uprated for inflation. The unit cost of early conciliation is estimated at £280. </w:t>
      </w:r>
    </w:p>
    <w:p w14:paraId="614CD19D" w14:textId="77777777" w:rsidR="003D1B52" w:rsidRPr="00E639A0" w:rsidRDefault="003D1B52" w:rsidP="003D1B52">
      <w:pPr>
        <w:pStyle w:val="ListParagraph"/>
        <w:rPr>
          <w:rFonts w:cs="Arial"/>
        </w:rPr>
      </w:pPr>
    </w:p>
    <w:p w14:paraId="5B126D6B" w14:textId="01F2E898" w:rsidR="003D1B52" w:rsidRPr="00E639A0" w:rsidRDefault="00B66CF7">
      <w:pPr>
        <w:pStyle w:val="ListParagraph"/>
        <w:numPr>
          <w:ilvl w:val="0"/>
          <w:numId w:val="7"/>
        </w:numPr>
        <w:rPr>
          <w:rFonts w:cs="Arial"/>
        </w:rPr>
      </w:pPr>
      <w:r w:rsidRPr="00E639A0">
        <w:rPr>
          <w:rFonts w:cs="Arial"/>
        </w:rPr>
        <w:t>It is difficult to predict the business response to legislative change, and i</w:t>
      </w:r>
      <w:r w:rsidR="006A2948" w:rsidRPr="00E639A0">
        <w:rPr>
          <w:rFonts w:cs="Arial"/>
        </w:rPr>
        <w:t>t is possible that changes will lead to redundancies elsewhere in the business</w:t>
      </w:r>
      <w:r w:rsidR="00606E9D" w:rsidRPr="00E639A0">
        <w:rPr>
          <w:rFonts w:cs="Arial"/>
        </w:rPr>
        <w:t xml:space="preserve"> (see Annex A for discussion on scenarios)</w:t>
      </w:r>
      <w:r w:rsidR="00A916B0" w:rsidRPr="00E639A0">
        <w:rPr>
          <w:rFonts w:cs="Arial"/>
        </w:rPr>
        <w:t>. In the absence of supporting evidence, w</w:t>
      </w:r>
      <w:r w:rsidR="00A94FF3" w:rsidRPr="00E639A0">
        <w:rPr>
          <w:rFonts w:cs="Arial"/>
        </w:rPr>
        <w:t xml:space="preserve">e </w:t>
      </w:r>
      <w:r w:rsidR="00BB3001" w:rsidRPr="00E639A0">
        <w:rPr>
          <w:rFonts w:cs="Arial"/>
        </w:rPr>
        <w:t xml:space="preserve">apply a factor of </w:t>
      </w:r>
      <w:r w:rsidR="003D1B52" w:rsidRPr="00E639A0">
        <w:rPr>
          <w:rFonts w:cs="Arial"/>
        </w:rPr>
        <w:t>50%</w:t>
      </w:r>
      <w:r w:rsidR="00162722" w:rsidRPr="00E639A0">
        <w:rPr>
          <w:rFonts w:cs="Arial"/>
        </w:rPr>
        <w:t xml:space="preserve"> </w:t>
      </w:r>
      <w:r w:rsidR="003D1B52" w:rsidRPr="00E639A0">
        <w:rPr>
          <w:rFonts w:cs="Arial"/>
        </w:rPr>
        <w:t>to the eligible population</w:t>
      </w:r>
      <w:r w:rsidR="00BB3001" w:rsidRPr="00E639A0">
        <w:rPr>
          <w:rFonts w:cs="Arial"/>
        </w:rPr>
        <w:t xml:space="preserve"> to account for this uncertainty</w:t>
      </w:r>
      <w:r w:rsidR="00BC1648" w:rsidRPr="00E639A0">
        <w:rPr>
          <w:rFonts w:cs="Arial"/>
        </w:rPr>
        <w:t xml:space="preserve"> for our best estimate</w:t>
      </w:r>
      <w:r w:rsidR="00BB3001" w:rsidRPr="00E639A0">
        <w:rPr>
          <w:rFonts w:cs="Arial"/>
        </w:rPr>
        <w:t>.</w:t>
      </w:r>
      <w:r w:rsidR="00B224DC" w:rsidRPr="00E639A0">
        <w:rPr>
          <w:rFonts w:cs="Arial"/>
        </w:rPr>
        <w:t xml:space="preserve"> We ap</w:t>
      </w:r>
      <w:r w:rsidR="00BD055E" w:rsidRPr="00E639A0">
        <w:rPr>
          <w:rFonts w:cs="Arial"/>
        </w:rPr>
        <w:t xml:space="preserve">ply a factor of 0% and 100% respectively </w:t>
      </w:r>
      <w:r w:rsidR="00B52374" w:rsidRPr="00E639A0">
        <w:rPr>
          <w:rFonts w:cs="Arial"/>
        </w:rPr>
        <w:t>for</w:t>
      </w:r>
      <w:r w:rsidR="00BD055E" w:rsidRPr="00E639A0">
        <w:rPr>
          <w:rFonts w:cs="Arial"/>
        </w:rPr>
        <w:t xml:space="preserve"> low and high scenarios.</w:t>
      </w:r>
      <w:r w:rsidR="00BB3001" w:rsidRPr="00E639A0">
        <w:rPr>
          <w:rFonts w:cs="Arial"/>
        </w:rPr>
        <w:t xml:space="preserve"> </w:t>
      </w:r>
      <w:r w:rsidR="003D1B52" w:rsidRPr="00E639A0">
        <w:rPr>
          <w:rFonts w:cs="Arial"/>
        </w:rPr>
        <w:t>Combined with BEIS estimates of the unit employer costs of defending an employment tribunal claim (£5,400) and costs of early conciliation (£280) based on a survey of employment tribunal applications</w:t>
      </w:r>
      <w:r w:rsidR="003D1B52" w:rsidRPr="00E639A0">
        <w:rPr>
          <w:rStyle w:val="FootnoteReference"/>
          <w:rFonts w:cs="Arial"/>
          <w:sz w:val="24"/>
        </w:rPr>
        <w:footnoteReference w:id="39"/>
      </w:r>
      <w:r w:rsidR="003D1B52" w:rsidRPr="00E639A0">
        <w:rPr>
          <w:rFonts w:cs="Arial"/>
        </w:rPr>
        <w:t xml:space="preserve"> </w:t>
      </w:r>
      <w:r w:rsidR="003D1B52" w:rsidRPr="00E639A0">
        <w:rPr>
          <w:rFonts w:cs="Arial"/>
          <w:b/>
          <w:bCs/>
        </w:rPr>
        <w:t>we estimate annual savings to employers between £0m and £0.5m with a best estimate of £0.</w:t>
      </w:r>
      <w:r w:rsidR="000D7EC3" w:rsidRPr="00E639A0">
        <w:rPr>
          <w:rFonts w:cs="Arial"/>
          <w:b/>
          <w:bCs/>
        </w:rPr>
        <w:t xml:space="preserve">2m </w:t>
      </w:r>
      <w:r w:rsidR="003D1B52" w:rsidRPr="00E639A0">
        <w:rPr>
          <w:rFonts w:cs="Arial"/>
          <w:b/>
          <w:bCs/>
        </w:rPr>
        <w:t>per year.</w:t>
      </w:r>
    </w:p>
    <w:p w14:paraId="6CFC8599" w14:textId="77777777" w:rsidR="003D1B52" w:rsidRPr="00E639A0" w:rsidRDefault="003D1B52" w:rsidP="003D1B52">
      <w:pPr>
        <w:pStyle w:val="ListParagraph"/>
        <w:rPr>
          <w:rFonts w:cs="Arial"/>
        </w:rPr>
      </w:pPr>
    </w:p>
    <w:p w14:paraId="067FA67E" w14:textId="53A6B0A7" w:rsidR="003D1B52" w:rsidRPr="00E639A0" w:rsidRDefault="003D1B52" w:rsidP="00332DC0">
      <w:pPr>
        <w:rPr>
          <w:rFonts w:cs="Arial"/>
          <w:u w:val="single"/>
        </w:rPr>
      </w:pPr>
      <w:r w:rsidRPr="00E639A0">
        <w:rPr>
          <w:rFonts w:cs="Arial"/>
          <w:u w:val="single"/>
        </w:rPr>
        <w:t xml:space="preserve">Individual Savings from reduced Employment Tribunals and Early Conciliation </w:t>
      </w:r>
    </w:p>
    <w:p w14:paraId="6A22F0A9" w14:textId="77777777" w:rsidR="003D1B52" w:rsidRPr="00E639A0" w:rsidRDefault="003D1B52" w:rsidP="003D1B52">
      <w:pPr>
        <w:pStyle w:val="ListParagraph"/>
        <w:rPr>
          <w:rFonts w:cs="Arial"/>
        </w:rPr>
      </w:pPr>
    </w:p>
    <w:p w14:paraId="597768C5" w14:textId="3E631484" w:rsidR="003D1B52" w:rsidRPr="00E639A0" w:rsidRDefault="003D1B52" w:rsidP="00332DC0">
      <w:pPr>
        <w:pStyle w:val="ListParagraph"/>
        <w:numPr>
          <w:ilvl w:val="0"/>
          <w:numId w:val="7"/>
        </w:numPr>
        <w:rPr>
          <w:rFonts w:cs="Arial"/>
        </w:rPr>
      </w:pPr>
      <w:r w:rsidRPr="00E639A0">
        <w:rPr>
          <w:rFonts w:cs="Arial"/>
        </w:rPr>
        <w:t xml:space="preserve">Following a similar strategy used to estimate these benefits for businesses above we attempt to calculate savings for individuals who no longer go to tribunal or early conciliation. The costs of a claimant going to ET arise from time spent on the case, costs </w:t>
      </w:r>
      <w:r w:rsidR="00902C5B" w:rsidRPr="00E639A0">
        <w:rPr>
          <w:rFonts w:cs="Arial"/>
        </w:rPr>
        <w:t>o</w:t>
      </w:r>
      <w:r w:rsidRPr="00E639A0">
        <w:rPr>
          <w:rFonts w:cs="Arial"/>
        </w:rPr>
        <w:t>f advice and representation, and travel and communication costs. Based on SETA 2018 evidence, claimants are assumed to spend 7.5 days on a case and 8 working hours per day. Applying the median hourly pay (£14.05) from ASHE 2021, we estimate an individual spends £840 per case. The median paid cost of advice and representation for a claimant is estimated to be £1,400, and an additional £28 for communication and travel costs (SETA 2018). In total, the unit individual cost of an ET hearing for claimants is therefore estimated at almost £2,300.</w:t>
      </w:r>
    </w:p>
    <w:p w14:paraId="54FB448D" w14:textId="77777777" w:rsidR="003D1B52" w:rsidRPr="00E639A0" w:rsidRDefault="003D1B52" w:rsidP="003D1B52">
      <w:pPr>
        <w:pStyle w:val="ListParagraph"/>
        <w:rPr>
          <w:rFonts w:cs="Arial"/>
        </w:rPr>
      </w:pPr>
    </w:p>
    <w:p w14:paraId="4681C025" w14:textId="730E00D6" w:rsidR="003D1B52" w:rsidRPr="00E639A0" w:rsidRDefault="003D1B52" w:rsidP="00332DC0">
      <w:pPr>
        <w:pStyle w:val="ListParagraph"/>
        <w:numPr>
          <w:ilvl w:val="0"/>
          <w:numId w:val="7"/>
        </w:numPr>
        <w:rPr>
          <w:rFonts w:cs="Arial"/>
        </w:rPr>
      </w:pPr>
      <w:r w:rsidRPr="00E639A0">
        <w:rPr>
          <w:rFonts w:cs="Arial"/>
        </w:rPr>
        <w:t xml:space="preserve">The unit cost for EC (£120) is based on evidence from an Acas Individual </w:t>
      </w:r>
      <w:r w:rsidR="004461D6" w:rsidRPr="00E639A0">
        <w:rPr>
          <w:rFonts w:cs="Arial"/>
        </w:rPr>
        <w:t>Conciliation</w:t>
      </w:r>
      <w:r w:rsidRPr="00E639A0">
        <w:rPr>
          <w:rFonts w:cs="Arial"/>
        </w:rPr>
        <w:t xml:space="preserve"> </w:t>
      </w:r>
      <w:r w:rsidR="004461D6" w:rsidRPr="00E639A0">
        <w:rPr>
          <w:rFonts w:cs="Arial"/>
        </w:rPr>
        <w:t>Evaluation</w:t>
      </w:r>
      <w:r w:rsidRPr="00E639A0">
        <w:rPr>
          <w:rFonts w:cs="Arial"/>
        </w:rPr>
        <w:t xml:space="preserve">. The costs arise from time spent on completing the intention to claim form, time spent in conciliation and preparation, and legal representation. </w:t>
      </w:r>
    </w:p>
    <w:p w14:paraId="7AB52CFF" w14:textId="77777777" w:rsidR="003D1B52" w:rsidRPr="00E639A0" w:rsidRDefault="003D1B52" w:rsidP="003D1B52">
      <w:pPr>
        <w:rPr>
          <w:rFonts w:cs="Arial"/>
          <w:b/>
        </w:rPr>
      </w:pPr>
    </w:p>
    <w:p w14:paraId="138C1F83" w14:textId="592B1ABC" w:rsidR="003D1B52" w:rsidRPr="00E639A0" w:rsidRDefault="003D1B52" w:rsidP="00332DC0">
      <w:pPr>
        <w:pStyle w:val="ListParagraph"/>
        <w:numPr>
          <w:ilvl w:val="0"/>
          <w:numId w:val="7"/>
        </w:numPr>
        <w:rPr>
          <w:rFonts w:cs="Arial"/>
        </w:rPr>
      </w:pPr>
      <w:r w:rsidRPr="00E639A0">
        <w:rPr>
          <w:rFonts w:cs="Arial"/>
          <w:b/>
          <w:bCs/>
        </w:rPr>
        <w:t>Combining the benefits arising from reduced ET and EC claims,</w:t>
      </w:r>
      <w:r w:rsidRPr="00E639A0">
        <w:rPr>
          <w:rFonts w:cs="Arial"/>
        </w:rPr>
        <w:t xml:space="preserve"> </w:t>
      </w:r>
      <w:r w:rsidRPr="00E639A0">
        <w:rPr>
          <w:rFonts w:cs="Arial"/>
          <w:b/>
          <w:bCs/>
        </w:rPr>
        <w:t>we estimate annual savings to individuals</w:t>
      </w:r>
      <w:r w:rsidR="00EE4FB5" w:rsidRPr="00E639A0">
        <w:rPr>
          <w:rFonts w:cs="Arial"/>
          <w:b/>
          <w:bCs/>
        </w:rPr>
        <w:t xml:space="preserve"> between </w:t>
      </w:r>
      <w:r w:rsidR="00CC4B60" w:rsidRPr="00E639A0">
        <w:rPr>
          <w:rFonts w:cs="Arial"/>
          <w:b/>
          <w:bCs/>
        </w:rPr>
        <w:t>£0m and £0.2m</w:t>
      </w:r>
      <w:r w:rsidR="00F56D28" w:rsidRPr="00E639A0">
        <w:rPr>
          <w:rFonts w:cs="Arial"/>
          <w:b/>
          <w:bCs/>
        </w:rPr>
        <w:t>, with a best estimate</w:t>
      </w:r>
      <w:r w:rsidRPr="00E639A0">
        <w:rPr>
          <w:rFonts w:cs="Arial"/>
          <w:b/>
          <w:bCs/>
        </w:rPr>
        <w:t xml:space="preserve"> of £0.</w:t>
      </w:r>
      <w:r w:rsidR="000D7EC3" w:rsidRPr="00E639A0">
        <w:rPr>
          <w:rFonts w:cs="Arial"/>
          <w:b/>
          <w:bCs/>
        </w:rPr>
        <w:t xml:space="preserve">1m </w:t>
      </w:r>
      <w:r w:rsidRPr="00E639A0">
        <w:rPr>
          <w:rFonts w:cs="Arial"/>
          <w:b/>
          <w:bCs/>
        </w:rPr>
        <w:t>per year.</w:t>
      </w:r>
    </w:p>
    <w:p w14:paraId="01A19539" w14:textId="77777777" w:rsidR="003D1B52" w:rsidRPr="00E639A0" w:rsidRDefault="003D1B52" w:rsidP="003D1B52">
      <w:pPr>
        <w:rPr>
          <w:rFonts w:cs="Arial"/>
        </w:rPr>
      </w:pPr>
    </w:p>
    <w:p w14:paraId="2EE65AC3" w14:textId="77777777" w:rsidR="003D1B52" w:rsidRPr="00E639A0" w:rsidRDefault="00172628" w:rsidP="003D1B52">
      <w:pPr>
        <w:pStyle w:val="EBBodyPara"/>
        <w:rPr>
          <w:i/>
          <w:sz w:val="24"/>
          <w:szCs w:val="24"/>
        </w:rPr>
      </w:pPr>
      <w:r w:rsidRPr="00E639A0">
        <w:rPr>
          <w:noProof/>
          <w:sz w:val="24"/>
          <w:szCs w:val="24"/>
        </w:rPr>
        <mc:AlternateContent>
          <mc:Choice Requires="wps">
            <w:drawing>
              <wp:anchor distT="45720" distB="45720" distL="114300" distR="114300" simplePos="0" relativeHeight="251658245" behindDoc="0" locked="0" layoutInCell="1" allowOverlap="1" wp14:anchorId="779AA869" wp14:editId="13642E30">
                <wp:simplePos x="0" y="0"/>
                <wp:positionH relativeFrom="margin">
                  <wp:posOffset>3441065</wp:posOffset>
                </wp:positionH>
                <wp:positionV relativeFrom="paragraph">
                  <wp:posOffset>12700</wp:posOffset>
                </wp:positionV>
                <wp:extent cx="2876550" cy="4413250"/>
                <wp:effectExtent l="0" t="0" r="19050" b="2540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6550" cy="4413250"/>
                        </a:xfrm>
                        <a:prstGeom prst="rect">
                          <a:avLst/>
                        </a:prstGeom>
                        <a:solidFill>
                          <a:srgbClr val="FFFFFF"/>
                        </a:solidFill>
                        <a:ln w="9525">
                          <a:solidFill>
                            <a:srgbClr val="000000"/>
                          </a:solidFill>
                          <a:miter lim="800000"/>
                          <a:headEnd/>
                          <a:tailEnd/>
                        </a:ln>
                      </wps:spPr>
                      <wps:txbx>
                        <w:txbxContent>
                          <w:p w14:paraId="040D1104" w14:textId="339C57B8" w:rsidR="003D1B52" w:rsidRPr="005D010E" w:rsidRDefault="003D1B52" w:rsidP="003D1B52">
                            <w:pPr>
                              <w:rPr>
                                <w:rFonts w:cs="Arial"/>
                                <w:b/>
                                <w:bCs/>
                                <w:color w:val="000000"/>
                                <w:sz w:val="22"/>
                                <w:szCs w:val="22"/>
                                <w:lang w:eastAsia="en-GB"/>
                              </w:rPr>
                            </w:pPr>
                            <w:r>
                              <w:rPr>
                                <w:rFonts w:cs="Arial"/>
                                <w:b/>
                                <w:bCs/>
                                <w:color w:val="000000"/>
                                <w:sz w:val="22"/>
                                <w:szCs w:val="22"/>
                                <w:lang w:eastAsia="en-GB"/>
                              </w:rPr>
                              <w:t xml:space="preserve">Early </w:t>
                            </w:r>
                            <w:r w:rsidR="00E01A49">
                              <w:rPr>
                                <w:rFonts w:cs="Arial"/>
                                <w:b/>
                                <w:bCs/>
                                <w:color w:val="000000"/>
                                <w:sz w:val="22"/>
                                <w:szCs w:val="22"/>
                                <w:lang w:eastAsia="en-GB"/>
                              </w:rPr>
                              <w:t>Conciliation</w:t>
                            </w:r>
                            <w:r>
                              <w:rPr>
                                <w:rFonts w:cs="Arial"/>
                                <w:b/>
                                <w:bCs/>
                                <w:color w:val="000000"/>
                                <w:sz w:val="22"/>
                                <w:szCs w:val="22"/>
                                <w:lang w:eastAsia="en-GB"/>
                              </w:rPr>
                              <w:t xml:space="preserve"> Savings</w:t>
                            </w:r>
                          </w:p>
                          <w:p w14:paraId="04526C5F" w14:textId="77777777" w:rsidR="003D1B52" w:rsidRDefault="003D1B52" w:rsidP="003D1B52">
                            <w:pPr>
                              <w:rPr>
                                <w:rFonts w:cs="Arial"/>
                                <w:sz w:val="22"/>
                              </w:rPr>
                            </w:pPr>
                          </w:p>
                          <w:p w14:paraId="6914288A" w14:textId="77777777" w:rsidR="003D1B52" w:rsidRPr="00D31D1A" w:rsidRDefault="003D1B52" w:rsidP="003D1B52">
                            <w:pPr>
                              <w:rPr>
                                <w:rFonts w:cs="Arial"/>
                                <w:b/>
                                <w:bCs/>
                                <w:sz w:val="22"/>
                              </w:rPr>
                            </w:pPr>
                            <w:r w:rsidRPr="00D31D1A">
                              <w:rPr>
                                <w:rFonts w:cs="Arial"/>
                                <w:b/>
                                <w:bCs/>
                                <w:sz w:val="22"/>
                              </w:rPr>
                              <w:t>Step 1 unit cost</w:t>
                            </w:r>
                          </w:p>
                          <w:p w14:paraId="45642088" w14:textId="77777777" w:rsidR="003D1B52" w:rsidRDefault="003D1B52" w:rsidP="003D1B52">
                            <w:pPr>
                              <w:rPr>
                                <w:rFonts w:cs="Arial"/>
                                <w:sz w:val="22"/>
                              </w:rPr>
                            </w:pPr>
                            <w:r>
                              <w:rPr>
                                <w:rFonts w:cs="Arial"/>
                                <w:sz w:val="22"/>
                              </w:rPr>
                              <w:t>Average representation costs spread across all cases (given small % of employees seek representation and pay for it) = £20</w:t>
                            </w:r>
                          </w:p>
                          <w:p w14:paraId="2D40D88D" w14:textId="77777777" w:rsidR="003D1B52" w:rsidRDefault="003D1B52" w:rsidP="003D1B52">
                            <w:pPr>
                              <w:rPr>
                                <w:rFonts w:cs="Arial"/>
                                <w:sz w:val="22"/>
                              </w:rPr>
                            </w:pPr>
                            <w:r>
                              <w:rPr>
                                <w:rFonts w:cs="Arial"/>
                                <w:sz w:val="22"/>
                              </w:rPr>
                              <w:t>+</w:t>
                            </w:r>
                          </w:p>
                          <w:p w14:paraId="2BC05637" w14:textId="77777777" w:rsidR="003D1B52" w:rsidRDefault="003D1B52" w:rsidP="003D1B52">
                            <w:pPr>
                              <w:rPr>
                                <w:rFonts w:cs="Arial"/>
                                <w:sz w:val="22"/>
                              </w:rPr>
                            </w:pPr>
                            <w:r>
                              <w:rPr>
                                <w:rFonts w:cs="Arial"/>
                                <w:sz w:val="22"/>
                              </w:rPr>
                              <w:t>(7 hours spent on case x £14.05 (Median hourly pay = £100)</w:t>
                            </w:r>
                          </w:p>
                          <w:p w14:paraId="0CB85047" w14:textId="77777777" w:rsidR="003D1B52" w:rsidRDefault="003D1B52" w:rsidP="003D1B52">
                            <w:pPr>
                              <w:rPr>
                                <w:rFonts w:cs="Arial"/>
                                <w:sz w:val="22"/>
                              </w:rPr>
                            </w:pPr>
                            <w:r>
                              <w:rPr>
                                <w:rFonts w:cs="Arial"/>
                                <w:sz w:val="22"/>
                              </w:rPr>
                              <w:t>=</w:t>
                            </w:r>
                          </w:p>
                          <w:p w14:paraId="15EC7489" w14:textId="77777777" w:rsidR="003D1B52" w:rsidRDefault="003D1B52" w:rsidP="003D1B52">
                            <w:pPr>
                              <w:rPr>
                                <w:rFonts w:cs="Arial"/>
                                <w:sz w:val="22"/>
                              </w:rPr>
                            </w:pPr>
                            <w:r>
                              <w:rPr>
                                <w:rFonts w:cs="Arial"/>
                                <w:sz w:val="22"/>
                              </w:rPr>
                              <w:t>£120 (Total claimant cost of EC)</w:t>
                            </w:r>
                          </w:p>
                          <w:p w14:paraId="2B3F5CD9" w14:textId="77777777" w:rsidR="003D1B52" w:rsidRDefault="003D1B52" w:rsidP="003D1B52">
                            <w:pPr>
                              <w:rPr>
                                <w:rFonts w:cs="Arial"/>
                                <w:sz w:val="22"/>
                              </w:rPr>
                            </w:pPr>
                          </w:p>
                          <w:p w14:paraId="38D9C9B3" w14:textId="77777777" w:rsidR="003D1B52" w:rsidRPr="00D31D1A" w:rsidRDefault="003D1B52" w:rsidP="003D1B52">
                            <w:pPr>
                              <w:rPr>
                                <w:rFonts w:cs="Arial"/>
                                <w:b/>
                                <w:bCs/>
                                <w:sz w:val="22"/>
                              </w:rPr>
                            </w:pPr>
                            <w:r w:rsidRPr="00D31D1A">
                              <w:rPr>
                                <w:rFonts w:cs="Arial"/>
                                <w:b/>
                                <w:bCs/>
                                <w:sz w:val="22"/>
                              </w:rPr>
                              <w:t xml:space="preserve">Step 2 total cost </w:t>
                            </w:r>
                          </w:p>
                          <w:p w14:paraId="161B9BD7" w14:textId="45BE2DC2" w:rsidR="003D1B52" w:rsidRPr="008D7FE5" w:rsidRDefault="003D1B52" w:rsidP="003D1B52">
                            <w:pPr>
                              <w:rPr>
                                <w:rFonts w:cs="Arial"/>
                                <w:sz w:val="22"/>
                              </w:rPr>
                            </w:pPr>
                            <w:r>
                              <w:rPr>
                                <w:rFonts w:cs="Arial"/>
                                <w:sz w:val="22"/>
                              </w:rPr>
                              <w:t>Number of EC claimants* among pregnant employees + those on return to work (</w:t>
                            </w:r>
                            <w:r w:rsidRPr="008D7FE5">
                              <w:rPr>
                                <w:rFonts w:cs="Arial"/>
                                <w:sz w:val="22"/>
                              </w:rPr>
                              <w:t xml:space="preserve">including Maternity, Adoption and Shared Parental Leave) = </w:t>
                            </w:r>
                            <w:r w:rsidR="00172628" w:rsidRPr="008D7FE5">
                              <w:rPr>
                                <w:rFonts w:cs="Arial"/>
                                <w:sz w:val="22"/>
                              </w:rPr>
                              <w:t>150</w:t>
                            </w:r>
                          </w:p>
                          <w:p w14:paraId="3C364958" w14:textId="77777777" w:rsidR="003D1B52" w:rsidRPr="008D7FE5" w:rsidRDefault="003D1B52" w:rsidP="003D1B52">
                            <w:pPr>
                              <w:rPr>
                                <w:rFonts w:cs="Arial"/>
                                <w:sz w:val="22"/>
                              </w:rPr>
                            </w:pPr>
                            <w:r w:rsidRPr="008D7FE5">
                              <w:rPr>
                                <w:rFonts w:cs="Arial"/>
                                <w:sz w:val="22"/>
                              </w:rPr>
                              <w:t>x</w:t>
                            </w:r>
                          </w:p>
                          <w:p w14:paraId="09A87E54" w14:textId="77777777" w:rsidR="003D1B52" w:rsidRPr="008D7FE5" w:rsidRDefault="003D1B52" w:rsidP="003D1B52">
                            <w:pPr>
                              <w:rPr>
                                <w:rFonts w:cs="Arial"/>
                                <w:sz w:val="22"/>
                              </w:rPr>
                            </w:pPr>
                            <w:r w:rsidRPr="008D7FE5">
                              <w:rPr>
                                <w:rFonts w:cs="Arial"/>
                                <w:sz w:val="22"/>
                              </w:rPr>
                              <w:t>£120 unit cost</w:t>
                            </w:r>
                          </w:p>
                          <w:p w14:paraId="20030953" w14:textId="2BEE5773" w:rsidR="003D1B52" w:rsidRDefault="003D1B52" w:rsidP="003D1B52">
                            <w:pPr>
                              <w:rPr>
                                <w:rFonts w:cs="Arial"/>
                                <w:sz w:val="22"/>
                              </w:rPr>
                            </w:pPr>
                            <w:r w:rsidRPr="008D7FE5">
                              <w:rPr>
                                <w:rFonts w:cs="Arial"/>
                                <w:sz w:val="22"/>
                              </w:rPr>
                              <w:t>= £0.</w:t>
                            </w:r>
                            <w:r w:rsidR="0046622D" w:rsidRPr="008D7FE5">
                              <w:rPr>
                                <w:rFonts w:cs="Arial"/>
                                <w:sz w:val="22"/>
                              </w:rPr>
                              <w:t>02m</w:t>
                            </w:r>
                          </w:p>
                          <w:p w14:paraId="2F898075" w14:textId="77777777" w:rsidR="003D1B52" w:rsidRDefault="003D1B52" w:rsidP="003D1B52">
                            <w:pPr>
                              <w:rPr>
                                <w:rFonts w:cs="Arial"/>
                                <w:sz w:val="22"/>
                              </w:rPr>
                            </w:pPr>
                          </w:p>
                          <w:p w14:paraId="4911D109" w14:textId="7C8F6E7F" w:rsidR="003D1B52" w:rsidRDefault="003D1B52" w:rsidP="003D1B52">
                            <w:pPr>
                              <w:rPr>
                                <w:rFonts w:cs="Arial"/>
                                <w:color w:val="000000"/>
                                <w:sz w:val="22"/>
                                <w:szCs w:val="22"/>
                                <w:lang w:eastAsia="en-GB"/>
                              </w:rPr>
                            </w:pPr>
                            <w:r>
                              <w:rPr>
                                <w:rFonts w:cs="Arial"/>
                                <w:sz w:val="22"/>
                              </w:rPr>
                              <w:t>*Based on the eligible population x 4% (proportion of mothers seeking early conciliation)</w:t>
                            </w:r>
                            <w:r>
                              <w:rPr>
                                <w:rFonts w:cs="Arial"/>
                                <w:color w:val="000000"/>
                                <w:sz w:val="22"/>
                                <w:szCs w:val="22"/>
                                <w:lang w:eastAsia="en-GB"/>
                              </w:rPr>
                              <w:t xml:space="preserve"> </w:t>
                            </w:r>
                            <w:r w:rsidR="00172628">
                              <w:rPr>
                                <w:rFonts w:cs="Arial"/>
                                <w:sz w:val="22"/>
                              </w:rPr>
                              <w:t>, applying 50% adjustment for central scenario</w:t>
                            </w:r>
                          </w:p>
                          <w:p w14:paraId="4B8D1984" w14:textId="77777777" w:rsidR="003D1B52" w:rsidRPr="009E0CDB" w:rsidRDefault="003D1B52" w:rsidP="003D1B52">
                            <w:pPr>
                              <w:rPr>
                                <w:rFonts w:cs="Arial"/>
                                <w:sz w:val="22"/>
                              </w:rPr>
                            </w:pPr>
                          </w:p>
                          <w:p w14:paraId="7F18AF39" w14:textId="77777777" w:rsidR="003D1B52" w:rsidRDefault="003D1B52" w:rsidP="003D1B52">
                            <w:pPr>
                              <w:rPr>
                                <w:rFonts w:cs="Arial"/>
                                <w:sz w:val="22"/>
                              </w:rPr>
                            </w:pPr>
                          </w:p>
                          <w:p w14:paraId="7107087A" w14:textId="77777777" w:rsidR="003D1B52" w:rsidRPr="009E0CDB" w:rsidRDefault="003D1B52" w:rsidP="003D1B52">
                            <w:pPr>
                              <w:rPr>
                                <w:b/>
                                <w:sz w:val="22"/>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9AA869" id="_x0000_s1030" type="#_x0000_t202" style="position:absolute;margin-left:270.95pt;margin-top:1pt;width:226.5pt;height:347.5pt;z-index:251658245;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KLlEwIAACcEAAAOAAAAZHJzL2Uyb0RvYy54bWysU9tu2zAMfR+wfxD0vjjJkjY14hRdugwD&#10;ugvQ7QNkWY6FyaJGKbG7ry8lu2l2exmmB4EUqUPykFxf961hR4Vegy34bDLlTFkJlbb7gn/9snu1&#10;4swHYSthwKqCPyjPrzcvX6w7l6s5NGAqhYxArM87V/AmBJdnmZeNaoWfgFOWjDVgKwKpuM8qFB2h&#10;tyabT6cXWQdYOQSpvKfX28HINwm/rpUMn+raq8BMwSm3kG5MdxnvbLMW+R6Fa7Qc0xD/kEUrtKWg&#10;J6hbEQQ7oP4NqtUSwUMdJhLaDOpaS5VqoGpm01+quW+EU6kWIse7E03+/8HKj8d79xlZ6N9ATw1M&#10;RXh3B/KbZxa2jbB7dYMIXaNERYFnkbKscz4fv0aqfe4jSNl9gIqaLA4BElBfYxtZoToZoVMDHk6k&#10;qz4wSY/z1eXFckkmSbbFYvZ6TkqMIfKn7w59eKegZVEoOFJXE7w43vkwuD65xGgejK522pik4L7c&#10;GmRHQROwS2dE/8nNWNYV/Go5Xw4M/BVims6fIFodaJSNbgu+OjmJPPL21lZp0ILQZpCpOmNHIiN3&#10;A4uhL3umK+IhBoi8llA9ELMIw+TSppHQAP7grKOpLbj/fhCoODPvLXXnarZYxDFPymJ5OScFzy3l&#10;uUVYSVAFD5wN4jak1Yi8WbihLtY68fucyZgyTWPq0Lg5cdzP9eT1vN+bRwAAAP//AwBQSwMEFAAG&#10;AAgAAAAhAGgAhGzfAAAACQEAAA8AAABkcnMvZG93bnJldi54bWxMj81OwzAQhO9IvIO1SFwQdVpC&#10;Woc4FUICwQ3aCq5uvE0i/BNsNw1vz3KC42hGM99U68kaNmKIvXcS5rMMGLrG6961Enbbx+sVsJiU&#10;08p4hxK+McK6Pj+rVKn9yb3huEktoxIXSyWhS2koOY9Nh1bFmR/QkXfwwapEMrRcB3Wicmv4IssK&#10;blXvaKFTAz502HxujlbCKn8eP+LLzet7UxyMSFfL8ekrSHl5Md3fAUs4pb8w/OITOtTEtPdHpyMz&#10;Em7zuaCohAVdIl+InPReQiGWGfC64v8f1D8AAAD//wMAUEsBAi0AFAAGAAgAAAAhALaDOJL+AAAA&#10;4QEAABMAAAAAAAAAAAAAAAAAAAAAAFtDb250ZW50X1R5cGVzXS54bWxQSwECLQAUAAYACAAAACEA&#10;OP0h/9YAAACUAQAACwAAAAAAAAAAAAAAAAAvAQAAX3JlbHMvLnJlbHNQSwECLQAUAAYACAAAACEA&#10;lzCi5RMCAAAnBAAADgAAAAAAAAAAAAAAAAAuAgAAZHJzL2Uyb0RvYy54bWxQSwECLQAUAAYACAAA&#10;ACEAaACEbN8AAAAJAQAADwAAAAAAAAAAAAAAAABtBAAAZHJzL2Rvd25yZXYueG1sUEsFBgAAAAAE&#10;AAQA8wAAAHkFAAAAAA==&#10;">
                <v:textbox>
                  <w:txbxContent>
                    <w:p w14:paraId="040D1104" w14:textId="339C57B8" w:rsidR="003D1B52" w:rsidRPr="005D010E" w:rsidRDefault="003D1B52" w:rsidP="003D1B52">
                      <w:pPr>
                        <w:rPr>
                          <w:rFonts w:cs="Arial"/>
                          <w:b/>
                          <w:bCs/>
                          <w:color w:val="000000"/>
                          <w:sz w:val="22"/>
                          <w:szCs w:val="22"/>
                          <w:lang w:eastAsia="en-GB"/>
                        </w:rPr>
                      </w:pPr>
                      <w:r>
                        <w:rPr>
                          <w:rFonts w:cs="Arial"/>
                          <w:b/>
                          <w:bCs/>
                          <w:color w:val="000000"/>
                          <w:sz w:val="22"/>
                          <w:szCs w:val="22"/>
                          <w:lang w:eastAsia="en-GB"/>
                        </w:rPr>
                        <w:t xml:space="preserve">Early </w:t>
                      </w:r>
                      <w:r w:rsidR="00E01A49">
                        <w:rPr>
                          <w:rFonts w:cs="Arial"/>
                          <w:b/>
                          <w:bCs/>
                          <w:color w:val="000000"/>
                          <w:sz w:val="22"/>
                          <w:szCs w:val="22"/>
                          <w:lang w:eastAsia="en-GB"/>
                        </w:rPr>
                        <w:t>Conciliation</w:t>
                      </w:r>
                      <w:r>
                        <w:rPr>
                          <w:rFonts w:cs="Arial"/>
                          <w:b/>
                          <w:bCs/>
                          <w:color w:val="000000"/>
                          <w:sz w:val="22"/>
                          <w:szCs w:val="22"/>
                          <w:lang w:eastAsia="en-GB"/>
                        </w:rPr>
                        <w:t xml:space="preserve"> Savings</w:t>
                      </w:r>
                    </w:p>
                    <w:p w14:paraId="04526C5F" w14:textId="77777777" w:rsidR="003D1B52" w:rsidRDefault="003D1B52" w:rsidP="003D1B52">
                      <w:pPr>
                        <w:rPr>
                          <w:rFonts w:cs="Arial"/>
                          <w:sz w:val="22"/>
                        </w:rPr>
                      </w:pPr>
                    </w:p>
                    <w:p w14:paraId="6914288A" w14:textId="77777777" w:rsidR="003D1B52" w:rsidRPr="00D31D1A" w:rsidRDefault="003D1B52" w:rsidP="003D1B52">
                      <w:pPr>
                        <w:rPr>
                          <w:rFonts w:cs="Arial"/>
                          <w:b/>
                          <w:bCs/>
                          <w:sz w:val="22"/>
                        </w:rPr>
                      </w:pPr>
                      <w:r w:rsidRPr="00D31D1A">
                        <w:rPr>
                          <w:rFonts w:cs="Arial"/>
                          <w:b/>
                          <w:bCs/>
                          <w:sz w:val="22"/>
                        </w:rPr>
                        <w:t>Step 1 unit cost</w:t>
                      </w:r>
                    </w:p>
                    <w:p w14:paraId="45642088" w14:textId="77777777" w:rsidR="003D1B52" w:rsidRDefault="003D1B52" w:rsidP="003D1B52">
                      <w:pPr>
                        <w:rPr>
                          <w:rFonts w:cs="Arial"/>
                          <w:sz w:val="22"/>
                        </w:rPr>
                      </w:pPr>
                      <w:r>
                        <w:rPr>
                          <w:rFonts w:cs="Arial"/>
                          <w:sz w:val="22"/>
                        </w:rPr>
                        <w:t>Average representation costs spread across all cases (given small % of employees seek representation and pay for it) = £20</w:t>
                      </w:r>
                    </w:p>
                    <w:p w14:paraId="2D40D88D" w14:textId="77777777" w:rsidR="003D1B52" w:rsidRDefault="003D1B52" w:rsidP="003D1B52">
                      <w:pPr>
                        <w:rPr>
                          <w:rFonts w:cs="Arial"/>
                          <w:sz w:val="22"/>
                        </w:rPr>
                      </w:pPr>
                      <w:r>
                        <w:rPr>
                          <w:rFonts w:cs="Arial"/>
                          <w:sz w:val="22"/>
                        </w:rPr>
                        <w:t>+</w:t>
                      </w:r>
                    </w:p>
                    <w:p w14:paraId="2BC05637" w14:textId="77777777" w:rsidR="003D1B52" w:rsidRDefault="003D1B52" w:rsidP="003D1B52">
                      <w:pPr>
                        <w:rPr>
                          <w:rFonts w:cs="Arial"/>
                          <w:sz w:val="22"/>
                        </w:rPr>
                      </w:pPr>
                      <w:r>
                        <w:rPr>
                          <w:rFonts w:cs="Arial"/>
                          <w:sz w:val="22"/>
                        </w:rPr>
                        <w:t>(7 hours spent on case x £14.05 (Median hourly pay = £100)</w:t>
                      </w:r>
                    </w:p>
                    <w:p w14:paraId="0CB85047" w14:textId="77777777" w:rsidR="003D1B52" w:rsidRDefault="003D1B52" w:rsidP="003D1B52">
                      <w:pPr>
                        <w:rPr>
                          <w:rFonts w:cs="Arial"/>
                          <w:sz w:val="22"/>
                        </w:rPr>
                      </w:pPr>
                      <w:r>
                        <w:rPr>
                          <w:rFonts w:cs="Arial"/>
                          <w:sz w:val="22"/>
                        </w:rPr>
                        <w:t>=</w:t>
                      </w:r>
                    </w:p>
                    <w:p w14:paraId="15EC7489" w14:textId="77777777" w:rsidR="003D1B52" w:rsidRDefault="003D1B52" w:rsidP="003D1B52">
                      <w:pPr>
                        <w:rPr>
                          <w:rFonts w:cs="Arial"/>
                          <w:sz w:val="22"/>
                        </w:rPr>
                      </w:pPr>
                      <w:r>
                        <w:rPr>
                          <w:rFonts w:cs="Arial"/>
                          <w:sz w:val="22"/>
                        </w:rPr>
                        <w:t>£120 (Total claimant cost of EC)</w:t>
                      </w:r>
                    </w:p>
                    <w:p w14:paraId="2B3F5CD9" w14:textId="77777777" w:rsidR="003D1B52" w:rsidRDefault="003D1B52" w:rsidP="003D1B52">
                      <w:pPr>
                        <w:rPr>
                          <w:rFonts w:cs="Arial"/>
                          <w:sz w:val="22"/>
                        </w:rPr>
                      </w:pPr>
                    </w:p>
                    <w:p w14:paraId="38D9C9B3" w14:textId="77777777" w:rsidR="003D1B52" w:rsidRPr="00D31D1A" w:rsidRDefault="003D1B52" w:rsidP="003D1B52">
                      <w:pPr>
                        <w:rPr>
                          <w:rFonts w:cs="Arial"/>
                          <w:b/>
                          <w:bCs/>
                          <w:sz w:val="22"/>
                        </w:rPr>
                      </w:pPr>
                      <w:r w:rsidRPr="00D31D1A">
                        <w:rPr>
                          <w:rFonts w:cs="Arial"/>
                          <w:b/>
                          <w:bCs/>
                          <w:sz w:val="22"/>
                        </w:rPr>
                        <w:t xml:space="preserve">Step 2 total cost </w:t>
                      </w:r>
                    </w:p>
                    <w:p w14:paraId="161B9BD7" w14:textId="45BE2DC2" w:rsidR="003D1B52" w:rsidRPr="008D7FE5" w:rsidRDefault="003D1B52" w:rsidP="003D1B52">
                      <w:pPr>
                        <w:rPr>
                          <w:rFonts w:cs="Arial"/>
                          <w:sz w:val="22"/>
                        </w:rPr>
                      </w:pPr>
                      <w:r>
                        <w:rPr>
                          <w:rFonts w:cs="Arial"/>
                          <w:sz w:val="22"/>
                        </w:rPr>
                        <w:t>Number of EC claimants* among pregnant employees + those on return to work (</w:t>
                      </w:r>
                      <w:r w:rsidRPr="008D7FE5">
                        <w:rPr>
                          <w:rFonts w:cs="Arial"/>
                          <w:sz w:val="22"/>
                        </w:rPr>
                        <w:t xml:space="preserve">including Maternity, Adoption and Shared Parental Leave) = </w:t>
                      </w:r>
                      <w:r w:rsidR="00172628" w:rsidRPr="008D7FE5">
                        <w:rPr>
                          <w:rFonts w:cs="Arial"/>
                          <w:sz w:val="22"/>
                        </w:rPr>
                        <w:t>150</w:t>
                      </w:r>
                    </w:p>
                    <w:p w14:paraId="3C364958" w14:textId="77777777" w:rsidR="003D1B52" w:rsidRPr="008D7FE5" w:rsidRDefault="003D1B52" w:rsidP="003D1B52">
                      <w:pPr>
                        <w:rPr>
                          <w:rFonts w:cs="Arial"/>
                          <w:sz w:val="22"/>
                        </w:rPr>
                      </w:pPr>
                      <w:r w:rsidRPr="008D7FE5">
                        <w:rPr>
                          <w:rFonts w:cs="Arial"/>
                          <w:sz w:val="22"/>
                        </w:rPr>
                        <w:t>x</w:t>
                      </w:r>
                    </w:p>
                    <w:p w14:paraId="09A87E54" w14:textId="77777777" w:rsidR="003D1B52" w:rsidRPr="008D7FE5" w:rsidRDefault="003D1B52" w:rsidP="003D1B52">
                      <w:pPr>
                        <w:rPr>
                          <w:rFonts w:cs="Arial"/>
                          <w:sz w:val="22"/>
                        </w:rPr>
                      </w:pPr>
                      <w:r w:rsidRPr="008D7FE5">
                        <w:rPr>
                          <w:rFonts w:cs="Arial"/>
                          <w:sz w:val="22"/>
                        </w:rPr>
                        <w:t>£120 unit cost</w:t>
                      </w:r>
                    </w:p>
                    <w:p w14:paraId="20030953" w14:textId="2BEE5773" w:rsidR="003D1B52" w:rsidRDefault="003D1B52" w:rsidP="003D1B52">
                      <w:pPr>
                        <w:rPr>
                          <w:rFonts w:cs="Arial"/>
                          <w:sz w:val="22"/>
                        </w:rPr>
                      </w:pPr>
                      <w:r w:rsidRPr="008D7FE5">
                        <w:rPr>
                          <w:rFonts w:cs="Arial"/>
                          <w:sz w:val="22"/>
                        </w:rPr>
                        <w:t>= £0.</w:t>
                      </w:r>
                      <w:r w:rsidR="0046622D" w:rsidRPr="008D7FE5">
                        <w:rPr>
                          <w:rFonts w:cs="Arial"/>
                          <w:sz w:val="22"/>
                        </w:rPr>
                        <w:t>02m</w:t>
                      </w:r>
                    </w:p>
                    <w:p w14:paraId="2F898075" w14:textId="77777777" w:rsidR="003D1B52" w:rsidRDefault="003D1B52" w:rsidP="003D1B52">
                      <w:pPr>
                        <w:rPr>
                          <w:rFonts w:cs="Arial"/>
                          <w:sz w:val="22"/>
                        </w:rPr>
                      </w:pPr>
                    </w:p>
                    <w:p w14:paraId="4911D109" w14:textId="7C8F6E7F" w:rsidR="003D1B52" w:rsidRDefault="003D1B52" w:rsidP="003D1B52">
                      <w:pPr>
                        <w:rPr>
                          <w:rFonts w:cs="Arial"/>
                          <w:color w:val="000000"/>
                          <w:sz w:val="22"/>
                          <w:szCs w:val="22"/>
                          <w:lang w:eastAsia="en-GB"/>
                        </w:rPr>
                      </w:pPr>
                      <w:r>
                        <w:rPr>
                          <w:rFonts w:cs="Arial"/>
                          <w:sz w:val="22"/>
                        </w:rPr>
                        <w:t>*Based on the eligible population x 4% (proportion of mothers seeking early conciliation)</w:t>
                      </w:r>
                      <w:r>
                        <w:rPr>
                          <w:rFonts w:cs="Arial"/>
                          <w:color w:val="000000"/>
                          <w:sz w:val="22"/>
                          <w:szCs w:val="22"/>
                          <w:lang w:eastAsia="en-GB"/>
                        </w:rPr>
                        <w:t xml:space="preserve"> </w:t>
                      </w:r>
                      <w:r w:rsidR="00172628">
                        <w:rPr>
                          <w:rFonts w:cs="Arial"/>
                          <w:sz w:val="22"/>
                        </w:rPr>
                        <w:t>, applying 50% adjustment for central scenario</w:t>
                      </w:r>
                    </w:p>
                    <w:p w14:paraId="4B8D1984" w14:textId="77777777" w:rsidR="003D1B52" w:rsidRPr="009E0CDB" w:rsidRDefault="003D1B52" w:rsidP="003D1B52">
                      <w:pPr>
                        <w:rPr>
                          <w:rFonts w:cs="Arial"/>
                          <w:sz w:val="22"/>
                        </w:rPr>
                      </w:pPr>
                    </w:p>
                    <w:p w14:paraId="7F18AF39" w14:textId="77777777" w:rsidR="003D1B52" w:rsidRDefault="003D1B52" w:rsidP="003D1B52">
                      <w:pPr>
                        <w:rPr>
                          <w:rFonts w:cs="Arial"/>
                          <w:sz w:val="22"/>
                        </w:rPr>
                      </w:pPr>
                    </w:p>
                    <w:p w14:paraId="7107087A" w14:textId="77777777" w:rsidR="003D1B52" w:rsidRPr="009E0CDB" w:rsidRDefault="003D1B52" w:rsidP="003D1B52">
                      <w:pPr>
                        <w:rPr>
                          <w:b/>
                          <w:sz w:val="22"/>
                          <w:u w:val="single"/>
                        </w:rPr>
                      </w:pPr>
                    </w:p>
                  </w:txbxContent>
                </v:textbox>
                <w10:wrap type="square" anchorx="margin"/>
              </v:shape>
            </w:pict>
          </mc:Fallback>
        </mc:AlternateContent>
      </w:r>
      <w:r w:rsidRPr="00E639A0">
        <w:rPr>
          <w:noProof/>
          <w:sz w:val="24"/>
          <w:szCs w:val="24"/>
        </w:rPr>
        <mc:AlternateContent>
          <mc:Choice Requires="wps">
            <w:drawing>
              <wp:anchor distT="45720" distB="45720" distL="114300" distR="114300" simplePos="0" relativeHeight="251658244" behindDoc="0" locked="0" layoutInCell="1" allowOverlap="1" wp14:anchorId="2804EF5A" wp14:editId="5EAF1938">
                <wp:simplePos x="0" y="0"/>
                <wp:positionH relativeFrom="margin">
                  <wp:posOffset>443865</wp:posOffset>
                </wp:positionH>
                <wp:positionV relativeFrom="paragraph">
                  <wp:posOffset>12700</wp:posOffset>
                </wp:positionV>
                <wp:extent cx="2647950" cy="4406900"/>
                <wp:effectExtent l="0" t="0" r="19050" b="1270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7950" cy="4406900"/>
                        </a:xfrm>
                        <a:prstGeom prst="rect">
                          <a:avLst/>
                        </a:prstGeom>
                        <a:solidFill>
                          <a:srgbClr val="FFFFFF"/>
                        </a:solidFill>
                        <a:ln w="9525">
                          <a:solidFill>
                            <a:srgbClr val="000000"/>
                          </a:solidFill>
                          <a:miter lim="800000"/>
                          <a:headEnd/>
                          <a:tailEnd/>
                        </a:ln>
                      </wps:spPr>
                      <wps:txbx>
                        <w:txbxContent>
                          <w:p w14:paraId="00AFA109" w14:textId="77777777" w:rsidR="003D1B52" w:rsidRPr="005D010E" w:rsidRDefault="003D1B52" w:rsidP="003D1B52">
                            <w:pPr>
                              <w:rPr>
                                <w:rFonts w:cs="Arial"/>
                                <w:b/>
                                <w:bCs/>
                                <w:color w:val="000000"/>
                                <w:sz w:val="22"/>
                                <w:szCs w:val="22"/>
                                <w:lang w:eastAsia="en-GB"/>
                              </w:rPr>
                            </w:pPr>
                            <w:r>
                              <w:rPr>
                                <w:rFonts w:cs="Arial"/>
                                <w:b/>
                                <w:bCs/>
                                <w:color w:val="000000"/>
                                <w:sz w:val="22"/>
                                <w:szCs w:val="22"/>
                                <w:lang w:eastAsia="en-GB"/>
                              </w:rPr>
                              <w:t>Employment Tribunal Savings</w:t>
                            </w:r>
                          </w:p>
                          <w:p w14:paraId="6CC188EB" w14:textId="77777777" w:rsidR="003D1B52" w:rsidRDefault="003D1B52" w:rsidP="003D1B52">
                            <w:pPr>
                              <w:rPr>
                                <w:rFonts w:cs="Arial"/>
                                <w:sz w:val="22"/>
                              </w:rPr>
                            </w:pPr>
                          </w:p>
                          <w:p w14:paraId="57AE977B" w14:textId="77777777" w:rsidR="003D1B52" w:rsidRPr="00D31D1A" w:rsidRDefault="003D1B52" w:rsidP="003D1B52">
                            <w:pPr>
                              <w:rPr>
                                <w:rFonts w:cs="Arial"/>
                                <w:b/>
                                <w:bCs/>
                                <w:sz w:val="22"/>
                              </w:rPr>
                            </w:pPr>
                            <w:r w:rsidRPr="00D31D1A">
                              <w:rPr>
                                <w:rFonts w:cs="Arial"/>
                                <w:b/>
                                <w:bCs/>
                                <w:sz w:val="22"/>
                              </w:rPr>
                              <w:t>Step 1 unit cost</w:t>
                            </w:r>
                          </w:p>
                          <w:p w14:paraId="5FF635A7" w14:textId="77777777" w:rsidR="003D1B52" w:rsidRDefault="003D1B52" w:rsidP="003D1B52">
                            <w:pPr>
                              <w:rPr>
                                <w:rFonts w:cs="Arial"/>
                                <w:sz w:val="22"/>
                              </w:rPr>
                            </w:pPr>
                            <w:r>
                              <w:rPr>
                                <w:rFonts w:cs="Arial"/>
                                <w:sz w:val="22"/>
                              </w:rPr>
                              <w:t>Claimants spend 7.5 days on a case x</w:t>
                            </w:r>
                          </w:p>
                          <w:p w14:paraId="03753E0F" w14:textId="77777777" w:rsidR="003D1B52" w:rsidRDefault="003D1B52" w:rsidP="003D1B52">
                            <w:pPr>
                              <w:rPr>
                                <w:rFonts w:cs="Arial"/>
                                <w:sz w:val="22"/>
                              </w:rPr>
                            </w:pPr>
                            <w:r>
                              <w:rPr>
                                <w:rFonts w:cs="Arial"/>
                                <w:sz w:val="22"/>
                              </w:rPr>
                              <w:t>8 working hours per day x £14.05 (Median hourly pay) = £840</w:t>
                            </w:r>
                          </w:p>
                          <w:p w14:paraId="43DA78A0" w14:textId="77777777" w:rsidR="003D1B52" w:rsidRDefault="003D1B52" w:rsidP="003D1B52">
                            <w:pPr>
                              <w:rPr>
                                <w:rFonts w:cs="Arial"/>
                                <w:sz w:val="22"/>
                              </w:rPr>
                            </w:pPr>
                            <w:r>
                              <w:rPr>
                                <w:rFonts w:cs="Arial"/>
                                <w:sz w:val="22"/>
                              </w:rPr>
                              <w:t>+</w:t>
                            </w:r>
                          </w:p>
                          <w:p w14:paraId="2F526E4A" w14:textId="77777777" w:rsidR="003D1B52" w:rsidRDefault="003D1B52" w:rsidP="003D1B52">
                            <w:pPr>
                              <w:rPr>
                                <w:rFonts w:cs="Arial"/>
                                <w:sz w:val="22"/>
                              </w:rPr>
                            </w:pPr>
                            <w:r>
                              <w:rPr>
                                <w:rFonts w:cs="Arial"/>
                                <w:sz w:val="22"/>
                              </w:rPr>
                              <w:t>£1,400 (Median cost of advice and representation)</w:t>
                            </w:r>
                          </w:p>
                          <w:p w14:paraId="085DD066" w14:textId="77777777" w:rsidR="003D1B52" w:rsidRDefault="003D1B52" w:rsidP="003D1B52">
                            <w:pPr>
                              <w:rPr>
                                <w:rFonts w:cs="Arial"/>
                                <w:sz w:val="22"/>
                              </w:rPr>
                            </w:pPr>
                            <w:r>
                              <w:rPr>
                                <w:rFonts w:cs="Arial"/>
                                <w:sz w:val="22"/>
                              </w:rPr>
                              <w:t>+ £28 (Communication and travel costs)</w:t>
                            </w:r>
                          </w:p>
                          <w:p w14:paraId="12107F6C" w14:textId="77777777" w:rsidR="003D1B52" w:rsidRDefault="003D1B52" w:rsidP="003D1B52">
                            <w:pPr>
                              <w:rPr>
                                <w:rFonts w:cs="Arial"/>
                                <w:sz w:val="22"/>
                              </w:rPr>
                            </w:pPr>
                            <w:r>
                              <w:rPr>
                                <w:rFonts w:cs="Arial"/>
                                <w:sz w:val="22"/>
                              </w:rPr>
                              <w:t>= £2,300</w:t>
                            </w:r>
                          </w:p>
                          <w:p w14:paraId="1DF505B6" w14:textId="77777777" w:rsidR="003D1B52" w:rsidRDefault="003D1B52" w:rsidP="003D1B52">
                            <w:pPr>
                              <w:rPr>
                                <w:rFonts w:cs="Arial"/>
                                <w:sz w:val="22"/>
                              </w:rPr>
                            </w:pPr>
                            <w:r>
                              <w:rPr>
                                <w:rFonts w:cs="Arial"/>
                                <w:sz w:val="22"/>
                              </w:rPr>
                              <w:t xml:space="preserve"> </w:t>
                            </w:r>
                          </w:p>
                          <w:p w14:paraId="5BE8E8CA" w14:textId="77777777" w:rsidR="003D1B52" w:rsidRPr="00D31D1A" w:rsidRDefault="003D1B52" w:rsidP="003D1B52">
                            <w:pPr>
                              <w:rPr>
                                <w:rFonts w:cs="Arial"/>
                                <w:b/>
                                <w:bCs/>
                                <w:sz w:val="22"/>
                              </w:rPr>
                            </w:pPr>
                            <w:r w:rsidRPr="00D31D1A">
                              <w:rPr>
                                <w:rFonts w:cs="Arial"/>
                                <w:b/>
                                <w:bCs/>
                                <w:sz w:val="22"/>
                              </w:rPr>
                              <w:t xml:space="preserve">Step 2 total cost </w:t>
                            </w:r>
                          </w:p>
                          <w:p w14:paraId="113766C7" w14:textId="1D13C32E" w:rsidR="003D1B52" w:rsidRPr="008D7FE5" w:rsidRDefault="003D1B52" w:rsidP="003D1B52">
                            <w:pPr>
                              <w:rPr>
                                <w:rFonts w:cs="Arial"/>
                                <w:sz w:val="22"/>
                              </w:rPr>
                            </w:pPr>
                            <w:r>
                              <w:rPr>
                                <w:rFonts w:cs="Arial"/>
                                <w:sz w:val="22"/>
                              </w:rPr>
                              <w:t xml:space="preserve">Number of ET claimants* among pregnant employees + those on return to work (including Maternity, Adoption and Shared </w:t>
                            </w:r>
                            <w:r w:rsidRPr="008D7FE5">
                              <w:rPr>
                                <w:rFonts w:cs="Arial"/>
                                <w:sz w:val="22"/>
                              </w:rPr>
                              <w:t xml:space="preserve">Parental Leave) </w:t>
                            </w:r>
                            <w:r w:rsidR="00093EAD" w:rsidRPr="008D7FE5">
                              <w:rPr>
                                <w:rFonts w:cs="Arial"/>
                                <w:sz w:val="22"/>
                              </w:rPr>
                              <w:t>=</w:t>
                            </w:r>
                            <w:r w:rsidRPr="008D7FE5">
                              <w:rPr>
                                <w:rFonts w:cs="Arial"/>
                                <w:sz w:val="22"/>
                              </w:rPr>
                              <w:t xml:space="preserve"> </w:t>
                            </w:r>
                            <w:r w:rsidR="00172628" w:rsidRPr="008D7FE5">
                              <w:rPr>
                                <w:rFonts w:cs="Arial"/>
                                <w:sz w:val="22"/>
                              </w:rPr>
                              <w:t>35</w:t>
                            </w:r>
                          </w:p>
                          <w:p w14:paraId="156E8828" w14:textId="77777777" w:rsidR="003D1B52" w:rsidRPr="008D7FE5" w:rsidRDefault="003D1B52" w:rsidP="003D1B52">
                            <w:pPr>
                              <w:rPr>
                                <w:rFonts w:cs="Arial"/>
                                <w:sz w:val="22"/>
                              </w:rPr>
                            </w:pPr>
                            <w:r w:rsidRPr="008D7FE5">
                              <w:rPr>
                                <w:rFonts w:cs="Arial"/>
                                <w:sz w:val="22"/>
                              </w:rPr>
                              <w:t>x</w:t>
                            </w:r>
                          </w:p>
                          <w:p w14:paraId="4C6A3249" w14:textId="0469AF12" w:rsidR="003D1B52" w:rsidRPr="008D7FE5" w:rsidRDefault="003D1B52" w:rsidP="003D1B52">
                            <w:pPr>
                              <w:rPr>
                                <w:rFonts w:cs="Arial"/>
                                <w:sz w:val="22"/>
                              </w:rPr>
                            </w:pPr>
                            <w:r w:rsidRPr="008D7FE5">
                              <w:rPr>
                                <w:rFonts w:cs="Arial"/>
                                <w:sz w:val="22"/>
                              </w:rPr>
                              <w:t xml:space="preserve">£2,300 </w:t>
                            </w:r>
                            <w:r w:rsidR="00DD78ED" w:rsidRPr="008D7FE5">
                              <w:rPr>
                                <w:rFonts w:cs="Arial"/>
                                <w:sz w:val="22"/>
                              </w:rPr>
                              <w:t>(</w:t>
                            </w:r>
                            <w:r w:rsidRPr="008D7FE5">
                              <w:rPr>
                                <w:rFonts w:cs="Arial"/>
                                <w:sz w:val="22"/>
                              </w:rPr>
                              <w:t>unit cost</w:t>
                            </w:r>
                            <w:r w:rsidR="00DD78ED" w:rsidRPr="008D7FE5">
                              <w:rPr>
                                <w:rFonts w:cs="Arial"/>
                                <w:sz w:val="22"/>
                              </w:rPr>
                              <w:t>)</w:t>
                            </w:r>
                          </w:p>
                          <w:p w14:paraId="2117E680" w14:textId="1A338691" w:rsidR="003D1B52" w:rsidRDefault="003D1B52" w:rsidP="003D1B52">
                            <w:pPr>
                              <w:rPr>
                                <w:rFonts w:cs="Arial"/>
                                <w:sz w:val="22"/>
                              </w:rPr>
                            </w:pPr>
                            <w:r w:rsidRPr="008D7FE5">
                              <w:rPr>
                                <w:rFonts w:cs="Arial"/>
                                <w:sz w:val="22"/>
                              </w:rPr>
                              <w:t>= £0.</w:t>
                            </w:r>
                            <w:r w:rsidR="00543B88" w:rsidRPr="008D7FE5">
                              <w:rPr>
                                <w:rFonts w:cs="Arial"/>
                                <w:sz w:val="22"/>
                              </w:rPr>
                              <w:t>08m</w:t>
                            </w:r>
                          </w:p>
                          <w:p w14:paraId="2CF27705" w14:textId="77777777" w:rsidR="003D1B52" w:rsidRDefault="003D1B52" w:rsidP="003D1B52">
                            <w:pPr>
                              <w:rPr>
                                <w:rFonts w:cs="Arial"/>
                                <w:sz w:val="22"/>
                              </w:rPr>
                            </w:pPr>
                          </w:p>
                          <w:p w14:paraId="6CCCCF55" w14:textId="444EABD2" w:rsidR="003D1B52" w:rsidRDefault="003D1B52" w:rsidP="003D1B52">
                            <w:pPr>
                              <w:rPr>
                                <w:rFonts w:cs="Arial"/>
                                <w:color w:val="000000"/>
                                <w:sz w:val="22"/>
                                <w:szCs w:val="22"/>
                                <w:lang w:eastAsia="en-GB"/>
                              </w:rPr>
                            </w:pPr>
                            <w:r>
                              <w:rPr>
                                <w:rFonts w:cs="Arial"/>
                                <w:sz w:val="22"/>
                              </w:rPr>
                              <w:t>*Based on the eligible population x 1% (proportion of mothers bringing a complaint to ET)</w:t>
                            </w:r>
                            <w:r w:rsidR="00172628">
                              <w:rPr>
                                <w:rFonts w:cs="Arial"/>
                                <w:sz w:val="22"/>
                              </w:rPr>
                              <w:t>, applying 50% adjustment for central scenario</w:t>
                            </w:r>
                            <w:r>
                              <w:rPr>
                                <w:rFonts w:cs="Arial"/>
                                <w:color w:val="000000"/>
                                <w:sz w:val="22"/>
                                <w:szCs w:val="22"/>
                                <w:lang w:eastAsia="en-GB"/>
                              </w:rPr>
                              <w:t xml:space="preserve"> </w:t>
                            </w:r>
                          </w:p>
                          <w:p w14:paraId="083AEBE4" w14:textId="77777777" w:rsidR="003D1B52" w:rsidRDefault="003D1B52" w:rsidP="003D1B52">
                            <w:pPr>
                              <w:rPr>
                                <w:rFonts w:cs="Arial"/>
                                <w:color w:val="000000"/>
                                <w:sz w:val="22"/>
                                <w:szCs w:val="22"/>
                                <w:lang w:eastAsia="en-GB"/>
                              </w:rPr>
                            </w:pPr>
                          </w:p>
                          <w:p w14:paraId="57782E9E" w14:textId="77777777" w:rsidR="003D1B52" w:rsidRPr="009E0CDB" w:rsidRDefault="003D1B52" w:rsidP="003D1B52">
                            <w:pPr>
                              <w:rPr>
                                <w:rFonts w:cs="Arial"/>
                                <w:sz w:val="22"/>
                              </w:rPr>
                            </w:pPr>
                          </w:p>
                          <w:p w14:paraId="38A1445B" w14:textId="77777777" w:rsidR="003D1B52" w:rsidRDefault="003D1B52" w:rsidP="003D1B52">
                            <w:pPr>
                              <w:rPr>
                                <w:rFonts w:cs="Arial"/>
                                <w:sz w:val="22"/>
                              </w:rPr>
                            </w:pPr>
                          </w:p>
                          <w:p w14:paraId="1DC8328C" w14:textId="77777777" w:rsidR="003D1B52" w:rsidRPr="009E0CDB" w:rsidRDefault="003D1B52" w:rsidP="003D1B52">
                            <w:pPr>
                              <w:rPr>
                                <w:b/>
                                <w:sz w:val="22"/>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04EF5A" id="_x0000_s1031" type="#_x0000_t202" style="position:absolute;margin-left:34.95pt;margin-top:1pt;width:208.5pt;height:347pt;z-index:2516582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110FgIAACcEAAAOAAAAZHJzL2Uyb0RvYy54bWysk99v2yAQx98n7X9AvC92oiRtrDpVly7T&#10;pO6H1O0POGMco2GOAYmd/fU7cJpG3fYyjQfEcfDl7nPHze3QaXaQzis0JZ9Ocs6kEVgrsyv5t6/b&#10;N9ec+QCmBo1GlvwoPb9dv35109tCzrBFXUvHSMT4orclb0OwRZZ50coO/AStNORs0HUQyHS7rHbQ&#10;k3qns1meL7MeXW0dCuk97d6PTr5O+k0jRfjcNF4GpktOsYU0uzRXcc7WN1DsHNhWiVMY8A9RdKAM&#10;PXqWuocAbO/Ub1KdEg49NmEisMuwaZSQKQfKZpq/yOaxBStTLgTH2zMm//9kxafDo/3iWBje4kAF&#10;TEl4+4Diu2cGNy2YnbxzDvtWQk0PTyOyrLe+OF2NqH3ho0jVf8Saigz7gEloaFwXqVCejNSpAMcz&#10;dDkEJmhztpxfrRbkEuSbz/PlKk9lyaB4um6dD+8ldiwuSu6oqkkeDg8+xHCgeDoSX/OoVb1VWifD&#10;7aqNduwA1AHbNFIGL45pw/qSrxazxUjgrxJ5Gn+S6FSgVtaqK/n1+RAUkds7U6dGC6D0uKaQtTmB&#10;jOxGimGoBqbqki/iA5FrhfWRyDocO5d+Gi1adD8566lrS+5/7MFJzvQHQ9VZTYkgtXky5ourGRnu&#10;0lNdesAIkip54GxcbkL6GpGbwTuqYqMS3+dITiFTNybsp58T2/3STqee//f6FwAAAP//AwBQSwME&#10;FAAGAAgAAAAhAF5mU4zdAAAACAEAAA8AAABkcnMvZG93bnJldi54bWxMj8FOwzAQRO9I/IO1SFwQ&#10;dSiVSUKcCiGB4AYFwdWNt0mEvQ6xm4a/Z3uC4+yMZt9U69k7MeEY+0AarhYZCKQm2J5aDe9vD5c5&#10;iJgMWeMCoYYfjLCuT08qU9pwoFecNqkVXEKxNBq6lIZSyth06E1chAGJvV0YvUksx1ba0Ry43Du5&#10;zDIlvemJP3RmwPsOm6/N3mvIV0/TZ3y+fvlo1M4V6eJmevwetT4/m+9uQSSc018YjviMDjUzbcOe&#10;bBROgyoKTmpY8iK2V7livT3eVQayruT/AfUvAAAA//8DAFBLAQItABQABgAIAAAAIQC2gziS/gAA&#10;AOEBAAATAAAAAAAAAAAAAAAAAAAAAABbQ29udGVudF9UeXBlc10ueG1sUEsBAi0AFAAGAAgAAAAh&#10;ADj9If/WAAAAlAEAAAsAAAAAAAAAAAAAAAAALwEAAF9yZWxzLy5yZWxzUEsBAi0AFAAGAAgAAAAh&#10;AOHXXXQWAgAAJwQAAA4AAAAAAAAAAAAAAAAALgIAAGRycy9lMm9Eb2MueG1sUEsBAi0AFAAGAAgA&#10;AAAhAF5mU4zdAAAACAEAAA8AAAAAAAAAAAAAAAAAcAQAAGRycy9kb3ducmV2LnhtbFBLBQYAAAAA&#10;BAAEAPMAAAB6BQAAAAA=&#10;">
                <v:textbox>
                  <w:txbxContent>
                    <w:p w14:paraId="00AFA109" w14:textId="77777777" w:rsidR="003D1B52" w:rsidRPr="005D010E" w:rsidRDefault="003D1B52" w:rsidP="003D1B52">
                      <w:pPr>
                        <w:rPr>
                          <w:rFonts w:cs="Arial"/>
                          <w:b/>
                          <w:bCs/>
                          <w:color w:val="000000"/>
                          <w:sz w:val="22"/>
                          <w:szCs w:val="22"/>
                          <w:lang w:eastAsia="en-GB"/>
                        </w:rPr>
                      </w:pPr>
                      <w:r>
                        <w:rPr>
                          <w:rFonts w:cs="Arial"/>
                          <w:b/>
                          <w:bCs/>
                          <w:color w:val="000000"/>
                          <w:sz w:val="22"/>
                          <w:szCs w:val="22"/>
                          <w:lang w:eastAsia="en-GB"/>
                        </w:rPr>
                        <w:t>Employment Tribunal Savings</w:t>
                      </w:r>
                    </w:p>
                    <w:p w14:paraId="6CC188EB" w14:textId="77777777" w:rsidR="003D1B52" w:rsidRDefault="003D1B52" w:rsidP="003D1B52">
                      <w:pPr>
                        <w:rPr>
                          <w:rFonts w:cs="Arial"/>
                          <w:sz w:val="22"/>
                        </w:rPr>
                      </w:pPr>
                    </w:p>
                    <w:p w14:paraId="57AE977B" w14:textId="77777777" w:rsidR="003D1B52" w:rsidRPr="00D31D1A" w:rsidRDefault="003D1B52" w:rsidP="003D1B52">
                      <w:pPr>
                        <w:rPr>
                          <w:rFonts w:cs="Arial"/>
                          <w:b/>
                          <w:bCs/>
                          <w:sz w:val="22"/>
                        </w:rPr>
                      </w:pPr>
                      <w:r w:rsidRPr="00D31D1A">
                        <w:rPr>
                          <w:rFonts w:cs="Arial"/>
                          <w:b/>
                          <w:bCs/>
                          <w:sz w:val="22"/>
                        </w:rPr>
                        <w:t>Step 1 unit cost</w:t>
                      </w:r>
                    </w:p>
                    <w:p w14:paraId="5FF635A7" w14:textId="77777777" w:rsidR="003D1B52" w:rsidRDefault="003D1B52" w:rsidP="003D1B52">
                      <w:pPr>
                        <w:rPr>
                          <w:rFonts w:cs="Arial"/>
                          <w:sz w:val="22"/>
                        </w:rPr>
                      </w:pPr>
                      <w:r>
                        <w:rPr>
                          <w:rFonts w:cs="Arial"/>
                          <w:sz w:val="22"/>
                        </w:rPr>
                        <w:t>Claimants spend 7.5 days on a case x</w:t>
                      </w:r>
                    </w:p>
                    <w:p w14:paraId="03753E0F" w14:textId="77777777" w:rsidR="003D1B52" w:rsidRDefault="003D1B52" w:rsidP="003D1B52">
                      <w:pPr>
                        <w:rPr>
                          <w:rFonts w:cs="Arial"/>
                          <w:sz w:val="22"/>
                        </w:rPr>
                      </w:pPr>
                      <w:r>
                        <w:rPr>
                          <w:rFonts w:cs="Arial"/>
                          <w:sz w:val="22"/>
                        </w:rPr>
                        <w:t>8 working hours per day x £14.05 (Median hourly pay) = £840</w:t>
                      </w:r>
                    </w:p>
                    <w:p w14:paraId="43DA78A0" w14:textId="77777777" w:rsidR="003D1B52" w:rsidRDefault="003D1B52" w:rsidP="003D1B52">
                      <w:pPr>
                        <w:rPr>
                          <w:rFonts w:cs="Arial"/>
                          <w:sz w:val="22"/>
                        </w:rPr>
                      </w:pPr>
                      <w:r>
                        <w:rPr>
                          <w:rFonts w:cs="Arial"/>
                          <w:sz w:val="22"/>
                        </w:rPr>
                        <w:t>+</w:t>
                      </w:r>
                    </w:p>
                    <w:p w14:paraId="2F526E4A" w14:textId="77777777" w:rsidR="003D1B52" w:rsidRDefault="003D1B52" w:rsidP="003D1B52">
                      <w:pPr>
                        <w:rPr>
                          <w:rFonts w:cs="Arial"/>
                          <w:sz w:val="22"/>
                        </w:rPr>
                      </w:pPr>
                      <w:r>
                        <w:rPr>
                          <w:rFonts w:cs="Arial"/>
                          <w:sz w:val="22"/>
                        </w:rPr>
                        <w:t>£1,400 (Median cost of advice and representation)</w:t>
                      </w:r>
                    </w:p>
                    <w:p w14:paraId="085DD066" w14:textId="77777777" w:rsidR="003D1B52" w:rsidRDefault="003D1B52" w:rsidP="003D1B52">
                      <w:pPr>
                        <w:rPr>
                          <w:rFonts w:cs="Arial"/>
                          <w:sz w:val="22"/>
                        </w:rPr>
                      </w:pPr>
                      <w:r>
                        <w:rPr>
                          <w:rFonts w:cs="Arial"/>
                          <w:sz w:val="22"/>
                        </w:rPr>
                        <w:t>+ £28 (Communication and travel costs)</w:t>
                      </w:r>
                    </w:p>
                    <w:p w14:paraId="12107F6C" w14:textId="77777777" w:rsidR="003D1B52" w:rsidRDefault="003D1B52" w:rsidP="003D1B52">
                      <w:pPr>
                        <w:rPr>
                          <w:rFonts w:cs="Arial"/>
                          <w:sz w:val="22"/>
                        </w:rPr>
                      </w:pPr>
                      <w:r>
                        <w:rPr>
                          <w:rFonts w:cs="Arial"/>
                          <w:sz w:val="22"/>
                        </w:rPr>
                        <w:t>= £2,300</w:t>
                      </w:r>
                    </w:p>
                    <w:p w14:paraId="1DF505B6" w14:textId="77777777" w:rsidR="003D1B52" w:rsidRDefault="003D1B52" w:rsidP="003D1B52">
                      <w:pPr>
                        <w:rPr>
                          <w:rFonts w:cs="Arial"/>
                          <w:sz w:val="22"/>
                        </w:rPr>
                      </w:pPr>
                      <w:r>
                        <w:rPr>
                          <w:rFonts w:cs="Arial"/>
                          <w:sz w:val="22"/>
                        </w:rPr>
                        <w:t xml:space="preserve"> </w:t>
                      </w:r>
                    </w:p>
                    <w:p w14:paraId="5BE8E8CA" w14:textId="77777777" w:rsidR="003D1B52" w:rsidRPr="00D31D1A" w:rsidRDefault="003D1B52" w:rsidP="003D1B52">
                      <w:pPr>
                        <w:rPr>
                          <w:rFonts w:cs="Arial"/>
                          <w:b/>
                          <w:bCs/>
                          <w:sz w:val="22"/>
                        </w:rPr>
                      </w:pPr>
                      <w:r w:rsidRPr="00D31D1A">
                        <w:rPr>
                          <w:rFonts w:cs="Arial"/>
                          <w:b/>
                          <w:bCs/>
                          <w:sz w:val="22"/>
                        </w:rPr>
                        <w:t xml:space="preserve">Step 2 total cost </w:t>
                      </w:r>
                    </w:p>
                    <w:p w14:paraId="113766C7" w14:textId="1D13C32E" w:rsidR="003D1B52" w:rsidRPr="008D7FE5" w:rsidRDefault="003D1B52" w:rsidP="003D1B52">
                      <w:pPr>
                        <w:rPr>
                          <w:rFonts w:cs="Arial"/>
                          <w:sz w:val="22"/>
                        </w:rPr>
                      </w:pPr>
                      <w:r>
                        <w:rPr>
                          <w:rFonts w:cs="Arial"/>
                          <w:sz w:val="22"/>
                        </w:rPr>
                        <w:t xml:space="preserve">Number of ET claimants* among pregnant employees + those on return to work (including Maternity, Adoption and Shared </w:t>
                      </w:r>
                      <w:r w:rsidRPr="008D7FE5">
                        <w:rPr>
                          <w:rFonts w:cs="Arial"/>
                          <w:sz w:val="22"/>
                        </w:rPr>
                        <w:t xml:space="preserve">Parental Leave) </w:t>
                      </w:r>
                      <w:r w:rsidR="00093EAD" w:rsidRPr="008D7FE5">
                        <w:rPr>
                          <w:rFonts w:cs="Arial"/>
                          <w:sz w:val="22"/>
                        </w:rPr>
                        <w:t>=</w:t>
                      </w:r>
                      <w:r w:rsidRPr="008D7FE5">
                        <w:rPr>
                          <w:rFonts w:cs="Arial"/>
                          <w:sz w:val="22"/>
                        </w:rPr>
                        <w:t xml:space="preserve"> </w:t>
                      </w:r>
                      <w:r w:rsidR="00172628" w:rsidRPr="008D7FE5">
                        <w:rPr>
                          <w:rFonts w:cs="Arial"/>
                          <w:sz w:val="22"/>
                        </w:rPr>
                        <w:t>35</w:t>
                      </w:r>
                    </w:p>
                    <w:p w14:paraId="156E8828" w14:textId="77777777" w:rsidR="003D1B52" w:rsidRPr="008D7FE5" w:rsidRDefault="003D1B52" w:rsidP="003D1B52">
                      <w:pPr>
                        <w:rPr>
                          <w:rFonts w:cs="Arial"/>
                          <w:sz w:val="22"/>
                        </w:rPr>
                      </w:pPr>
                      <w:r w:rsidRPr="008D7FE5">
                        <w:rPr>
                          <w:rFonts w:cs="Arial"/>
                          <w:sz w:val="22"/>
                        </w:rPr>
                        <w:t>x</w:t>
                      </w:r>
                    </w:p>
                    <w:p w14:paraId="4C6A3249" w14:textId="0469AF12" w:rsidR="003D1B52" w:rsidRPr="008D7FE5" w:rsidRDefault="003D1B52" w:rsidP="003D1B52">
                      <w:pPr>
                        <w:rPr>
                          <w:rFonts w:cs="Arial"/>
                          <w:sz w:val="22"/>
                        </w:rPr>
                      </w:pPr>
                      <w:r w:rsidRPr="008D7FE5">
                        <w:rPr>
                          <w:rFonts w:cs="Arial"/>
                          <w:sz w:val="22"/>
                        </w:rPr>
                        <w:t xml:space="preserve">£2,300 </w:t>
                      </w:r>
                      <w:r w:rsidR="00DD78ED" w:rsidRPr="008D7FE5">
                        <w:rPr>
                          <w:rFonts w:cs="Arial"/>
                          <w:sz w:val="22"/>
                        </w:rPr>
                        <w:t>(</w:t>
                      </w:r>
                      <w:r w:rsidRPr="008D7FE5">
                        <w:rPr>
                          <w:rFonts w:cs="Arial"/>
                          <w:sz w:val="22"/>
                        </w:rPr>
                        <w:t>unit cost</w:t>
                      </w:r>
                      <w:r w:rsidR="00DD78ED" w:rsidRPr="008D7FE5">
                        <w:rPr>
                          <w:rFonts w:cs="Arial"/>
                          <w:sz w:val="22"/>
                        </w:rPr>
                        <w:t>)</w:t>
                      </w:r>
                    </w:p>
                    <w:p w14:paraId="2117E680" w14:textId="1A338691" w:rsidR="003D1B52" w:rsidRDefault="003D1B52" w:rsidP="003D1B52">
                      <w:pPr>
                        <w:rPr>
                          <w:rFonts w:cs="Arial"/>
                          <w:sz w:val="22"/>
                        </w:rPr>
                      </w:pPr>
                      <w:r w:rsidRPr="008D7FE5">
                        <w:rPr>
                          <w:rFonts w:cs="Arial"/>
                          <w:sz w:val="22"/>
                        </w:rPr>
                        <w:t>= £0.</w:t>
                      </w:r>
                      <w:r w:rsidR="00543B88" w:rsidRPr="008D7FE5">
                        <w:rPr>
                          <w:rFonts w:cs="Arial"/>
                          <w:sz w:val="22"/>
                        </w:rPr>
                        <w:t>08m</w:t>
                      </w:r>
                    </w:p>
                    <w:p w14:paraId="2CF27705" w14:textId="77777777" w:rsidR="003D1B52" w:rsidRDefault="003D1B52" w:rsidP="003D1B52">
                      <w:pPr>
                        <w:rPr>
                          <w:rFonts w:cs="Arial"/>
                          <w:sz w:val="22"/>
                        </w:rPr>
                      </w:pPr>
                    </w:p>
                    <w:p w14:paraId="6CCCCF55" w14:textId="444EABD2" w:rsidR="003D1B52" w:rsidRDefault="003D1B52" w:rsidP="003D1B52">
                      <w:pPr>
                        <w:rPr>
                          <w:rFonts w:cs="Arial"/>
                          <w:color w:val="000000"/>
                          <w:sz w:val="22"/>
                          <w:szCs w:val="22"/>
                          <w:lang w:eastAsia="en-GB"/>
                        </w:rPr>
                      </w:pPr>
                      <w:r>
                        <w:rPr>
                          <w:rFonts w:cs="Arial"/>
                          <w:sz w:val="22"/>
                        </w:rPr>
                        <w:t>*Based on the eligible population x 1% (proportion of mothers bringing a complaint to ET)</w:t>
                      </w:r>
                      <w:r w:rsidR="00172628">
                        <w:rPr>
                          <w:rFonts w:cs="Arial"/>
                          <w:sz w:val="22"/>
                        </w:rPr>
                        <w:t>, applying 50% adjustment for central scenario</w:t>
                      </w:r>
                      <w:r>
                        <w:rPr>
                          <w:rFonts w:cs="Arial"/>
                          <w:color w:val="000000"/>
                          <w:sz w:val="22"/>
                          <w:szCs w:val="22"/>
                          <w:lang w:eastAsia="en-GB"/>
                        </w:rPr>
                        <w:t xml:space="preserve"> </w:t>
                      </w:r>
                    </w:p>
                    <w:p w14:paraId="083AEBE4" w14:textId="77777777" w:rsidR="003D1B52" w:rsidRDefault="003D1B52" w:rsidP="003D1B52">
                      <w:pPr>
                        <w:rPr>
                          <w:rFonts w:cs="Arial"/>
                          <w:color w:val="000000"/>
                          <w:sz w:val="22"/>
                          <w:szCs w:val="22"/>
                          <w:lang w:eastAsia="en-GB"/>
                        </w:rPr>
                      </w:pPr>
                    </w:p>
                    <w:p w14:paraId="57782E9E" w14:textId="77777777" w:rsidR="003D1B52" w:rsidRPr="009E0CDB" w:rsidRDefault="003D1B52" w:rsidP="003D1B52">
                      <w:pPr>
                        <w:rPr>
                          <w:rFonts w:cs="Arial"/>
                          <w:sz w:val="22"/>
                        </w:rPr>
                      </w:pPr>
                    </w:p>
                    <w:p w14:paraId="38A1445B" w14:textId="77777777" w:rsidR="003D1B52" w:rsidRDefault="003D1B52" w:rsidP="003D1B52">
                      <w:pPr>
                        <w:rPr>
                          <w:rFonts w:cs="Arial"/>
                          <w:sz w:val="22"/>
                        </w:rPr>
                      </w:pPr>
                    </w:p>
                    <w:p w14:paraId="1DC8328C" w14:textId="77777777" w:rsidR="003D1B52" w:rsidRPr="009E0CDB" w:rsidRDefault="003D1B52" w:rsidP="003D1B52">
                      <w:pPr>
                        <w:rPr>
                          <w:b/>
                          <w:sz w:val="22"/>
                          <w:u w:val="single"/>
                        </w:rPr>
                      </w:pPr>
                    </w:p>
                  </w:txbxContent>
                </v:textbox>
                <w10:wrap type="square" anchorx="margin"/>
              </v:shape>
            </w:pict>
          </mc:Fallback>
        </mc:AlternateContent>
      </w:r>
    </w:p>
    <w:p w14:paraId="5634C760" w14:textId="77777777" w:rsidR="003D1B52" w:rsidRPr="00E639A0" w:rsidRDefault="003D1B52" w:rsidP="003D1B52">
      <w:pPr>
        <w:pStyle w:val="EBBodyPara"/>
        <w:rPr>
          <w:i/>
          <w:sz w:val="24"/>
          <w:szCs w:val="24"/>
        </w:rPr>
      </w:pPr>
    </w:p>
    <w:p w14:paraId="41D19FBB" w14:textId="77777777" w:rsidR="003D1B52" w:rsidRPr="00E639A0" w:rsidRDefault="003D1B52" w:rsidP="003D1B52">
      <w:pPr>
        <w:pStyle w:val="EBBodyPara"/>
        <w:rPr>
          <w:i/>
          <w:sz w:val="24"/>
          <w:szCs w:val="24"/>
        </w:rPr>
      </w:pPr>
    </w:p>
    <w:p w14:paraId="21E98FAB" w14:textId="77777777" w:rsidR="003D1B52" w:rsidRPr="00E639A0" w:rsidRDefault="003D1B52" w:rsidP="003D1B52">
      <w:pPr>
        <w:pStyle w:val="EBBodyPara"/>
        <w:rPr>
          <w:i/>
          <w:sz w:val="24"/>
          <w:szCs w:val="24"/>
        </w:rPr>
      </w:pPr>
    </w:p>
    <w:p w14:paraId="18395895" w14:textId="77777777" w:rsidR="003D1B52" w:rsidRPr="00E639A0" w:rsidRDefault="003D1B52" w:rsidP="003D1B52">
      <w:pPr>
        <w:pStyle w:val="EBBodyPara"/>
        <w:rPr>
          <w:i/>
          <w:sz w:val="24"/>
          <w:szCs w:val="24"/>
        </w:rPr>
      </w:pPr>
    </w:p>
    <w:p w14:paraId="6B080E37" w14:textId="77777777" w:rsidR="003D1B52" w:rsidRPr="00E639A0" w:rsidRDefault="003D1B52" w:rsidP="003D1B52">
      <w:pPr>
        <w:pStyle w:val="EBBodyPara"/>
        <w:rPr>
          <w:i/>
          <w:sz w:val="24"/>
          <w:szCs w:val="24"/>
        </w:rPr>
      </w:pPr>
    </w:p>
    <w:p w14:paraId="2F1635C3" w14:textId="77777777" w:rsidR="003D1B52" w:rsidRPr="00E639A0" w:rsidRDefault="003D1B52" w:rsidP="003D1B52">
      <w:pPr>
        <w:pStyle w:val="EBBodyPara"/>
        <w:rPr>
          <w:i/>
          <w:sz w:val="24"/>
          <w:szCs w:val="24"/>
        </w:rPr>
      </w:pPr>
    </w:p>
    <w:p w14:paraId="02195555" w14:textId="77777777" w:rsidR="003D1B52" w:rsidRPr="00E639A0" w:rsidRDefault="003D1B52" w:rsidP="003D1B52">
      <w:pPr>
        <w:pStyle w:val="EBBodyPara"/>
        <w:rPr>
          <w:i/>
          <w:sz w:val="24"/>
          <w:szCs w:val="24"/>
        </w:rPr>
      </w:pPr>
    </w:p>
    <w:p w14:paraId="20EB490A" w14:textId="77777777" w:rsidR="003D1B52" w:rsidRPr="00E639A0" w:rsidRDefault="003D1B52" w:rsidP="003D1B52">
      <w:pPr>
        <w:pStyle w:val="EBBodyPara"/>
        <w:rPr>
          <w:i/>
          <w:sz w:val="24"/>
          <w:szCs w:val="24"/>
        </w:rPr>
      </w:pPr>
    </w:p>
    <w:p w14:paraId="7D5DD016" w14:textId="77777777" w:rsidR="003D1B52" w:rsidRPr="00E639A0" w:rsidRDefault="003D1B52" w:rsidP="003D1B52">
      <w:pPr>
        <w:pStyle w:val="EBBodyPara"/>
        <w:rPr>
          <w:i/>
          <w:sz w:val="24"/>
          <w:szCs w:val="24"/>
        </w:rPr>
      </w:pPr>
    </w:p>
    <w:p w14:paraId="1304C977" w14:textId="77777777" w:rsidR="003D1B52" w:rsidRPr="00E639A0" w:rsidRDefault="003D1B52" w:rsidP="003D1B52">
      <w:pPr>
        <w:pStyle w:val="EBBodyPara"/>
        <w:rPr>
          <w:i/>
          <w:sz w:val="24"/>
          <w:szCs w:val="24"/>
        </w:rPr>
      </w:pPr>
    </w:p>
    <w:p w14:paraId="39B19C3E" w14:textId="77777777" w:rsidR="003D1B52" w:rsidRPr="00E639A0" w:rsidRDefault="003D1B52" w:rsidP="003D1B52">
      <w:pPr>
        <w:rPr>
          <w:rFonts w:cs="Arial"/>
          <w:b/>
          <w:bCs/>
        </w:rPr>
      </w:pPr>
    </w:p>
    <w:p w14:paraId="6DC3D156" w14:textId="77777777" w:rsidR="003D1B52" w:rsidRPr="00E639A0" w:rsidRDefault="003D1B52" w:rsidP="003D1B52">
      <w:pPr>
        <w:rPr>
          <w:rFonts w:cs="Arial"/>
          <w:b/>
          <w:bCs/>
        </w:rPr>
      </w:pPr>
    </w:p>
    <w:p w14:paraId="0C42AFC7" w14:textId="77777777" w:rsidR="003D1B52" w:rsidRPr="00E639A0" w:rsidRDefault="003D1B52" w:rsidP="003D1B52">
      <w:pPr>
        <w:rPr>
          <w:rFonts w:cs="Arial"/>
          <w:b/>
          <w:bCs/>
        </w:rPr>
      </w:pPr>
    </w:p>
    <w:p w14:paraId="755E2F8B" w14:textId="77777777" w:rsidR="003D1B52" w:rsidRPr="00E639A0" w:rsidRDefault="003D1B52" w:rsidP="003D1B52">
      <w:pPr>
        <w:rPr>
          <w:rFonts w:cs="Arial"/>
          <w:b/>
          <w:bCs/>
        </w:rPr>
      </w:pPr>
    </w:p>
    <w:p w14:paraId="3952E7ED" w14:textId="77777777" w:rsidR="003D1B52" w:rsidRPr="00E639A0" w:rsidRDefault="003D1B52" w:rsidP="003D1B52">
      <w:pPr>
        <w:rPr>
          <w:rFonts w:cs="Arial"/>
          <w:b/>
          <w:bCs/>
        </w:rPr>
      </w:pPr>
    </w:p>
    <w:p w14:paraId="55B95E4C" w14:textId="323B6671" w:rsidR="00314552" w:rsidRPr="00E639A0" w:rsidRDefault="003D1B52" w:rsidP="00314552">
      <w:pPr>
        <w:rPr>
          <w:rFonts w:cs="Arial"/>
          <w:u w:val="single"/>
        </w:rPr>
      </w:pPr>
      <w:r w:rsidRPr="00E639A0">
        <w:rPr>
          <w:rFonts w:cs="Arial"/>
          <w:u w:val="single"/>
        </w:rPr>
        <w:t xml:space="preserve">Exchequer Savings </w:t>
      </w:r>
      <w:r w:rsidR="00314552" w:rsidRPr="00E639A0">
        <w:rPr>
          <w:rFonts w:cs="Arial"/>
          <w:u w:val="single"/>
        </w:rPr>
        <w:t xml:space="preserve">from reduced Employment Tribunals and Early Conciliation </w:t>
      </w:r>
    </w:p>
    <w:p w14:paraId="7F18D309" w14:textId="43636B77" w:rsidR="003D1B52" w:rsidRPr="00E639A0" w:rsidRDefault="003D1B52" w:rsidP="00332DC0">
      <w:pPr>
        <w:rPr>
          <w:rFonts w:cs="Arial"/>
          <w:u w:val="single"/>
        </w:rPr>
      </w:pPr>
    </w:p>
    <w:p w14:paraId="1AB64061" w14:textId="77777777" w:rsidR="003D1B52" w:rsidRPr="00E639A0" w:rsidRDefault="003D1B52" w:rsidP="00332DC0">
      <w:pPr>
        <w:pStyle w:val="ListParagraph"/>
        <w:numPr>
          <w:ilvl w:val="0"/>
          <w:numId w:val="7"/>
        </w:numPr>
        <w:rPr>
          <w:rFonts w:cs="Arial"/>
        </w:rPr>
      </w:pPr>
      <w:r w:rsidRPr="00E639A0">
        <w:rPr>
          <w:rFonts w:cs="Arial"/>
        </w:rPr>
        <w:t>Like businesses and individuals, the Exchequer now benefits from savings relating to ET and EC claims for both pregnant women and mothers returning to work. The methodology is the same as for businesses and individuals, but we apply the unit Exchequer costs to derive the aggregate savings to the Exchequer.</w:t>
      </w:r>
    </w:p>
    <w:p w14:paraId="5CD09789" w14:textId="77777777" w:rsidR="003D1B52" w:rsidRPr="00E639A0" w:rsidRDefault="003D1B52" w:rsidP="003D1B52">
      <w:pPr>
        <w:pStyle w:val="ListParagraph"/>
        <w:rPr>
          <w:rFonts w:cs="Arial"/>
        </w:rPr>
      </w:pPr>
    </w:p>
    <w:p w14:paraId="49525BDA" w14:textId="7B430B93" w:rsidR="003D1B52" w:rsidRPr="00E639A0" w:rsidRDefault="003D1B52" w:rsidP="00332DC0">
      <w:pPr>
        <w:pStyle w:val="ListParagraph"/>
        <w:numPr>
          <w:ilvl w:val="0"/>
          <w:numId w:val="7"/>
        </w:numPr>
        <w:rPr>
          <w:rFonts w:cs="Arial"/>
          <w:b/>
          <w:bCs/>
        </w:rPr>
      </w:pPr>
      <w:r w:rsidRPr="00E639A0">
        <w:rPr>
          <w:rFonts w:cs="Arial"/>
        </w:rPr>
        <w:t>The unit Exchequer cost of an employment tribunal hearing is £2,300 (MoJ estimate of the average cost of ET case to MoJ). The Exchequer cost of early conciliation is £170, taken from the Acas annual report 2020/21</w:t>
      </w:r>
      <w:r w:rsidRPr="00E639A0">
        <w:rPr>
          <w:rFonts w:cs="Arial"/>
          <w:vertAlign w:val="superscript"/>
        </w:rPr>
        <w:footnoteReference w:id="40"/>
      </w:r>
      <w:r w:rsidRPr="00E639A0">
        <w:rPr>
          <w:rFonts w:cs="Arial"/>
        </w:rPr>
        <w:t>. Applying these costs to the estimated number of eligible pregnant women and new parents who go through EC and ET</w:t>
      </w:r>
      <w:r w:rsidRPr="00E639A0">
        <w:rPr>
          <w:rFonts w:cs="Arial"/>
          <w:b/>
          <w:bCs/>
        </w:rPr>
        <w:t>, we estimate annual savings to the Exchequer</w:t>
      </w:r>
      <w:r w:rsidR="00261261" w:rsidRPr="00E639A0">
        <w:rPr>
          <w:rFonts w:cs="Arial"/>
          <w:b/>
          <w:bCs/>
        </w:rPr>
        <w:t xml:space="preserve"> between</w:t>
      </w:r>
      <w:r w:rsidR="002F4C56" w:rsidRPr="00E639A0">
        <w:rPr>
          <w:rFonts w:cs="Arial"/>
          <w:b/>
          <w:bCs/>
        </w:rPr>
        <w:t xml:space="preserve"> </w:t>
      </w:r>
      <w:r w:rsidR="002D46DF" w:rsidRPr="00E639A0">
        <w:rPr>
          <w:rFonts w:cs="Arial"/>
          <w:b/>
          <w:bCs/>
        </w:rPr>
        <w:t xml:space="preserve">£0m to £0.2m, </w:t>
      </w:r>
      <w:r w:rsidR="00B062CB" w:rsidRPr="00E639A0">
        <w:rPr>
          <w:rFonts w:cs="Arial"/>
          <w:b/>
          <w:bCs/>
        </w:rPr>
        <w:t>with a best estimate</w:t>
      </w:r>
      <w:r w:rsidRPr="00E639A0">
        <w:rPr>
          <w:rFonts w:cs="Arial"/>
          <w:b/>
          <w:bCs/>
        </w:rPr>
        <w:t xml:space="preserve"> of £0.</w:t>
      </w:r>
      <w:r w:rsidR="00B062CB" w:rsidRPr="00E639A0">
        <w:rPr>
          <w:rFonts w:cs="Arial"/>
          <w:b/>
          <w:bCs/>
        </w:rPr>
        <w:t>1</w:t>
      </w:r>
      <w:r w:rsidRPr="00E639A0">
        <w:rPr>
          <w:rFonts w:cs="Arial"/>
          <w:b/>
          <w:bCs/>
        </w:rPr>
        <w:t>m.</w:t>
      </w:r>
    </w:p>
    <w:p w14:paraId="7196D22C" w14:textId="11FABB10" w:rsidR="00643AB0" w:rsidRPr="00E639A0" w:rsidRDefault="00643AB0" w:rsidP="00643AB0">
      <w:pPr>
        <w:pStyle w:val="EBBodyPara"/>
        <w:rPr>
          <w:b/>
          <w:sz w:val="24"/>
          <w:szCs w:val="24"/>
        </w:rPr>
      </w:pPr>
    </w:p>
    <w:p w14:paraId="31D74246" w14:textId="42610A8B" w:rsidR="007412E5" w:rsidRPr="00E639A0" w:rsidRDefault="001861C0" w:rsidP="007412E5">
      <w:pPr>
        <w:rPr>
          <w:rFonts w:cs="Arial"/>
          <w:b/>
          <w:bCs/>
          <w:color w:val="000000"/>
          <w:lang w:eastAsia="en-GB"/>
        </w:rPr>
      </w:pPr>
      <w:r w:rsidRPr="00E639A0">
        <w:rPr>
          <w:rFonts w:cs="Arial"/>
          <w:b/>
          <w:bCs/>
          <w:u w:val="single"/>
        </w:rPr>
        <w:t xml:space="preserve">ii) </w:t>
      </w:r>
      <w:r w:rsidR="00A4349D" w:rsidRPr="00E639A0">
        <w:rPr>
          <w:rFonts w:cs="Arial"/>
          <w:b/>
          <w:bCs/>
          <w:u w:val="single"/>
        </w:rPr>
        <w:t>I</w:t>
      </w:r>
      <w:r w:rsidR="00211A73" w:rsidRPr="00E639A0">
        <w:rPr>
          <w:rFonts w:cs="Arial"/>
          <w:b/>
          <w:bCs/>
          <w:u w:val="single"/>
        </w:rPr>
        <w:t xml:space="preserve">ndividual </w:t>
      </w:r>
      <w:r w:rsidR="0028638F" w:rsidRPr="00E639A0">
        <w:rPr>
          <w:rFonts w:cs="Arial"/>
          <w:b/>
          <w:bCs/>
          <w:u w:val="single"/>
        </w:rPr>
        <w:t>B</w:t>
      </w:r>
      <w:r w:rsidR="00211A73" w:rsidRPr="00E639A0">
        <w:rPr>
          <w:rFonts w:cs="Arial"/>
          <w:b/>
          <w:bCs/>
          <w:u w:val="single"/>
        </w:rPr>
        <w:t>enefit</w:t>
      </w:r>
      <w:r w:rsidR="00A76559" w:rsidRPr="00E639A0">
        <w:rPr>
          <w:rFonts w:cs="Arial"/>
          <w:b/>
          <w:bCs/>
          <w:u w:val="single"/>
        </w:rPr>
        <w:t>: S</w:t>
      </w:r>
      <w:r w:rsidR="00A4349D" w:rsidRPr="00E639A0">
        <w:rPr>
          <w:rFonts w:cs="Arial"/>
          <w:b/>
          <w:bCs/>
          <w:u w:val="single"/>
        </w:rPr>
        <w:t xml:space="preserve">tatutory Maternity Pay </w:t>
      </w:r>
      <w:r w:rsidR="00CA16D6" w:rsidRPr="00E639A0">
        <w:rPr>
          <w:rFonts w:cs="Arial"/>
          <w:b/>
          <w:bCs/>
          <w:u w:val="single"/>
        </w:rPr>
        <w:t xml:space="preserve">paid to </w:t>
      </w:r>
      <w:r w:rsidR="00B559E4" w:rsidRPr="00E639A0">
        <w:rPr>
          <w:rFonts w:cs="Arial"/>
          <w:b/>
          <w:bCs/>
          <w:u w:val="single"/>
        </w:rPr>
        <w:t>i</w:t>
      </w:r>
      <w:r w:rsidR="00CA16D6" w:rsidRPr="00E639A0">
        <w:rPr>
          <w:rFonts w:cs="Arial"/>
          <w:b/>
          <w:bCs/>
          <w:u w:val="single"/>
        </w:rPr>
        <w:t>ndividual</w:t>
      </w:r>
      <w:r w:rsidR="004D7B7D" w:rsidRPr="00E639A0">
        <w:rPr>
          <w:rFonts w:cs="Arial"/>
          <w:b/>
          <w:bCs/>
          <w:u w:val="single"/>
        </w:rPr>
        <w:t xml:space="preserve"> following policy</w:t>
      </w:r>
      <w:r w:rsidR="00FA673D" w:rsidRPr="00E639A0">
        <w:rPr>
          <w:rFonts w:cs="Arial"/>
          <w:b/>
          <w:bCs/>
          <w:u w:val="single"/>
        </w:rPr>
        <w:t xml:space="preserve"> implementation</w:t>
      </w:r>
      <w:r w:rsidR="00CA16D6" w:rsidRPr="00E639A0">
        <w:rPr>
          <w:rFonts w:cs="Arial"/>
          <w:b/>
          <w:bCs/>
          <w:u w:val="single"/>
        </w:rPr>
        <w:t xml:space="preserve"> </w:t>
      </w:r>
      <w:r w:rsidR="00A4349D" w:rsidRPr="00E639A0">
        <w:rPr>
          <w:rFonts w:cs="Arial"/>
          <w:b/>
          <w:bCs/>
          <w:u w:val="single"/>
        </w:rPr>
        <w:t>(</w:t>
      </w:r>
      <w:r w:rsidR="00FA673D" w:rsidRPr="00E639A0">
        <w:rPr>
          <w:rFonts w:cs="Arial"/>
          <w:b/>
          <w:bCs/>
          <w:u w:val="single"/>
        </w:rPr>
        <w:t xml:space="preserve">including </w:t>
      </w:r>
      <w:r w:rsidR="00A4349D" w:rsidRPr="00E639A0">
        <w:rPr>
          <w:rFonts w:cs="Arial"/>
          <w:b/>
          <w:bCs/>
          <w:u w:val="single"/>
        </w:rPr>
        <w:t>SMP</w:t>
      </w:r>
      <w:r w:rsidR="004D7B7D" w:rsidRPr="00E639A0">
        <w:rPr>
          <w:rFonts w:cs="Arial"/>
          <w:b/>
          <w:bCs/>
          <w:u w:val="single"/>
        </w:rPr>
        <w:t xml:space="preserve"> and MA</w:t>
      </w:r>
      <w:r w:rsidR="00A4349D" w:rsidRPr="00E639A0">
        <w:rPr>
          <w:rFonts w:cs="Arial"/>
          <w:b/>
          <w:bCs/>
          <w:u w:val="single"/>
        </w:rPr>
        <w:t>) less Maternity Allowance (MA) payment</w:t>
      </w:r>
      <w:r w:rsidR="007412E5" w:rsidRPr="00E639A0">
        <w:rPr>
          <w:rFonts w:cs="Arial"/>
          <w:b/>
          <w:bCs/>
          <w:u w:val="single"/>
        </w:rPr>
        <w:t xml:space="preserve"> </w:t>
      </w:r>
      <w:r w:rsidR="007412E5" w:rsidRPr="00E639A0">
        <w:rPr>
          <w:rFonts w:cs="Arial"/>
          <w:b/>
          <w:bCs/>
          <w:color w:val="000000"/>
          <w:u w:val="single"/>
          <w:lang w:eastAsia="en-GB"/>
        </w:rPr>
        <w:t>before policy implemented</w:t>
      </w:r>
    </w:p>
    <w:p w14:paraId="4D6FDCE0" w14:textId="2A164BBA" w:rsidR="00A4349D" w:rsidRPr="00E639A0" w:rsidRDefault="00A4349D" w:rsidP="001861C0">
      <w:pPr>
        <w:rPr>
          <w:rFonts w:cs="Arial"/>
          <w:b/>
          <w:bCs/>
          <w:u w:val="single"/>
        </w:rPr>
      </w:pPr>
    </w:p>
    <w:p w14:paraId="0D3FBEE2" w14:textId="77777777" w:rsidR="005D3EC6" w:rsidRPr="00E639A0" w:rsidRDefault="005D3EC6" w:rsidP="005D3EC6">
      <w:pPr>
        <w:ind w:left="360"/>
        <w:rPr>
          <w:rFonts w:cs="Arial"/>
        </w:rPr>
      </w:pPr>
    </w:p>
    <w:p w14:paraId="494BEEFE" w14:textId="4BD94AA3" w:rsidR="00A4349D" w:rsidRPr="00E639A0" w:rsidRDefault="00A4349D" w:rsidP="00332DC0">
      <w:pPr>
        <w:pStyle w:val="ListParagraph"/>
        <w:numPr>
          <w:ilvl w:val="0"/>
          <w:numId w:val="7"/>
        </w:numPr>
        <w:rPr>
          <w:rFonts w:cs="Arial"/>
        </w:rPr>
      </w:pPr>
      <w:r w:rsidRPr="00E639A0">
        <w:rPr>
          <w:rFonts w:cs="Arial"/>
        </w:rPr>
        <w:t>Pregnant women who are no longer made redundant will now benefit from Statutory Maternity Pay (there may also be additional benefits from any occupational maternity pay the employers chooses to pay beyond the statutory rate) paid at 90% of average salary for the first 6 weeks and at the statutory rate for £156.66 per week for the remaining 33 weeks.</w:t>
      </w:r>
      <w:r w:rsidRPr="00E639A0">
        <w:rPr>
          <w:rFonts w:cs="Arial"/>
          <w:vertAlign w:val="superscript"/>
        </w:rPr>
        <w:footnoteReference w:id="41"/>
      </w:r>
      <w:r w:rsidRPr="00E639A0">
        <w:rPr>
          <w:rFonts w:cs="Arial"/>
        </w:rPr>
        <w:t xml:space="preserve"> However, we also assume that women who were made redundant prior to the implementation of the policy would claim MA, which is paid to those that do</w:t>
      </w:r>
      <w:r w:rsidR="00030595" w:rsidRPr="00E639A0">
        <w:rPr>
          <w:rFonts w:cs="Arial"/>
        </w:rPr>
        <w:t xml:space="preserve"> no</w:t>
      </w:r>
      <w:r w:rsidRPr="00E639A0">
        <w:rPr>
          <w:rFonts w:cs="Arial"/>
        </w:rPr>
        <w:t xml:space="preserve">t qualify for SMP (including self-employed and unemployed) at the statutory rate for the entire 39 weeks (i.e. they do not receive 6 weeks at 90% of average salary). We calculate the difference to derive the net benefit of Statutory Maternity Pay compared to Maternity Allowance to mothers.  </w:t>
      </w:r>
      <w:r w:rsidR="00C67913" w:rsidRPr="00E639A0">
        <w:rPr>
          <w:rFonts w:cs="Arial"/>
        </w:rPr>
        <w:t>We assume</w:t>
      </w:r>
      <w:r w:rsidRPr="00E639A0">
        <w:rPr>
          <w:rFonts w:cs="Arial"/>
        </w:rPr>
        <w:t xml:space="preserve"> that all pregnant women otherwise made redundant would have been able to claim MA given the low earning threshold for the qualifying criterion. </w:t>
      </w:r>
    </w:p>
    <w:p w14:paraId="5CD6C8CB" w14:textId="77777777" w:rsidR="00B00634" w:rsidRPr="00E639A0" w:rsidRDefault="00B00634" w:rsidP="00B00634">
      <w:pPr>
        <w:rPr>
          <w:rFonts w:cs="Arial"/>
        </w:rPr>
      </w:pPr>
    </w:p>
    <w:p w14:paraId="0F6515B2" w14:textId="77777777" w:rsidR="00C16429" w:rsidRPr="00E639A0" w:rsidRDefault="00C16429" w:rsidP="00C16429">
      <w:pPr>
        <w:pStyle w:val="ListParagraph"/>
        <w:rPr>
          <w:rFonts w:cs="Arial"/>
        </w:rPr>
      </w:pPr>
    </w:p>
    <w:p w14:paraId="0C9022D5" w14:textId="5D5AB1C8" w:rsidR="00164D57" w:rsidRPr="00E639A0" w:rsidRDefault="00164D57" w:rsidP="008C519C">
      <w:pPr>
        <w:pStyle w:val="ListParagraph"/>
        <w:rPr>
          <w:rFonts w:cs="Arial"/>
        </w:rPr>
      </w:pPr>
      <w:r w:rsidRPr="00E639A0">
        <w:rPr>
          <w:rFonts w:cs="Arial"/>
          <w:noProof/>
        </w:rPr>
        <mc:AlternateContent>
          <mc:Choice Requires="wps">
            <w:drawing>
              <wp:inline distT="45720" distB="45720" distL="114300" distR="114300" wp14:anchorId="7B633931" wp14:editId="2668041E">
                <wp:extent cx="5924550" cy="5651500"/>
                <wp:effectExtent l="0" t="0" r="19050" b="25400"/>
                <wp:docPr id="3636771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5651500"/>
                        </a:xfrm>
                        <a:prstGeom prst="rect">
                          <a:avLst/>
                        </a:prstGeom>
                        <a:solidFill>
                          <a:srgbClr val="FFFFFF"/>
                        </a:solidFill>
                        <a:ln w="9525">
                          <a:solidFill>
                            <a:srgbClr val="000000"/>
                          </a:solidFill>
                          <a:miter lim="800000"/>
                          <a:headEnd/>
                          <a:tailEnd/>
                        </a:ln>
                      </wps:spPr>
                      <wps:txbx>
                        <w:txbxContent>
                          <w:p w14:paraId="13BDDD80" w14:textId="5C7BAF72" w:rsidR="00164D57" w:rsidRPr="00030595" w:rsidRDefault="00164D57" w:rsidP="00164D57">
                            <w:pPr>
                              <w:rPr>
                                <w:rFonts w:cs="Arial"/>
                                <w:b/>
                                <w:color w:val="000000"/>
                                <w:sz w:val="22"/>
                                <w:szCs w:val="22"/>
                                <w:u w:val="single"/>
                                <w:lang w:eastAsia="en-GB"/>
                              </w:rPr>
                            </w:pPr>
                            <w:r w:rsidRPr="00030595">
                              <w:rPr>
                                <w:rFonts w:cs="Arial"/>
                                <w:b/>
                                <w:color w:val="000000"/>
                                <w:sz w:val="22"/>
                                <w:szCs w:val="22"/>
                                <w:u w:val="single"/>
                                <w:lang w:eastAsia="en-GB"/>
                              </w:rPr>
                              <w:t xml:space="preserve">Maternity Pay </w:t>
                            </w:r>
                            <w:r w:rsidR="00CA16D6" w:rsidRPr="00030595">
                              <w:rPr>
                                <w:rFonts w:cs="Arial"/>
                                <w:b/>
                                <w:color w:val="000000"/>
                                <w:sz w:val="22"/>
                                <w:szCs w:val="22"/>
                                <w:u w:val="single"/>
                                <w:lang w:eastAsia="en-GB"/>
                              </w:rPr>
                              <w:t>to indiv</w:t>
                            </w:r>
                            <w:r w:rsidR="00A067E8">
                              <w:rPr>
                                <w:rFonts w:cs="Arial"/>
                                <w:b/>
                                <w:color w:val="000000"/>
                                <w:sz w:val="22"/>
                                <w:szCs w:val="22"/>
                                <w:u w:val="single"/>
                                <w:lang w:eastAsia="en-GB"/>
                              </w:rPr>
                              <w:t>i</w:t>
                            </w:r>
                            <w:r w:rsidR="00CA16D6" w:rsidRPr="00030595">
                              <w:rPr>
                                <w:rFonts w:cs="Arial"/>
                                <w:b/>
                                <w:color w:val="000000"/>
                                <w:sz w:val="22"/>
                                <w:szCs w:val="22"/>
                                <w:u w:val="single"/>
                                <w:lang w:eastAsia="en-GB"/>
                              </w:rPr>
                              <w:t>duals following policy implement</w:t>
                            </w:r>
                            <w:r w:rsidR="00785C31">
                              <w:rPr>
                                <w:rFonts w:cs="Arial"/>
                                <w:b/>
                                <w:color w:val="000000"/>
                                <w:sz w:val="22"/>
                                <w:szCs w:val="22"/>
                                <w:u w:val="single"/>
                                <w:lang w:eastAsia="en-GB"/>
                              </w:rPr>
                              <w:t>ion</w:t>
                            </w:r>
                            <w:r w:rsidR="00D778A5" w:rsidRPr="00030595">
                              <w:rPr>
                                <w:rFonts w:cs="Arial"/>
                                <w:b/>
                                <w:color w:val="000000"/>
                                <w:sz w:val="22"/>
                                <w:szCs w:val="22"/>
                                <w:u w:val="single"/>
                                <w:lang w:eastAsia="en-GB"/>
                              </w:rPr>
                              <w:t xml:space="preserve"> </w:t>
                            </w:r>
                            <w:r w:rsidR="001F1CBF" w:rsidRPr="0029524B">
                              <w:rPr>
                                <w:b/>
                                <w:bCs/>
                                <w:sz w:val="22"/>
                                <w:szCs w:val="22"/>
                                <w:u w:val="single"/>
                              </w:rPr>
                              <w:t>(including SMP and MA)</w:t>
                            </w:r>
                          </w:p>
                          <w:p w14:paraId="66C50B40" w14:textId="77777777" w:rsidR="003E6F79" w:rsidRPr="0029524B" w:rsidRDefault="003E6F79" w:rsidP="00164D57">
                            <w:pPr>
                              <w:rPr>
                                <w:rFonts w:cs="Arial"/>
                                <w:b/>
                                <w:bCs/>
                                <w:color w:val="000000"/>
                                <w:sz w:val="22"/>
                                <w:szCs w:val="22"/>
                                <w:lang w:eastAsia="en-GB"/>
                              </w:rPr>
                            </w:pPr>
                          </w:p>
                          <w:p w14:paraId="75E7207C" w14:textId="77777777" w:rsidR="00164D57" w:rsidRPr="0029524B" w:rsidRDefault="00164D57" w:rsidP="00164D57">
                            <w:pPr>
                              <w:rPr>
                                <w:rFonts w:cs="Arial"/>
                                <w:i/>
                                <w:iCs/>
                                <w:sz w:val="22"/>
                                <w:u w:val="single"/>
                              </w:rPr>
                            </w:pPr>
                            <w:r w:rsidRPr="0029524B">
                              <w:rPr>
                                <w:rFonts w:cs="Arial"/>
                                <w:i/>
                                <w:iCs/>
                                <w:sz w:val="22"/>
                                <w:u w:val="single"/>
                              </w:rPr>
                              <w:t xml:space="preserve">Statutory Maternity Pay </w:t>
                            </w:r>
                          </w:p>
                          <w:p w14:paraId="3ED61C99" w14:textId="77777777" w:rsidR="00164D57" w:rsidRPr="0029524B" w:rsidRDefault="00164D57" w:rsidP="00164D57">
                            <w:pPr>
                              <w:rPr>
                                <w:rFonts w:cs="Arial"/>
                                <w:sz w:val="22"/>
                              </w:rPr>
                            </w:pPr>
                          </w:p>
                          <w:p w14:paraId="3713F49F" w14:textId="77777777" w:rsidR="00164D57" w:rsidRPr="0029524B" w:rsidRDefault="00164D57" w:rsidP="00164D57">
                            <w:pPr>
                              <w:rPr>
                                <w:rFonts w:cs="Arial"/>
                                <w:sz w:val="22"/>
                              </w:rPr>
                            </w:pPr>
                            <w:r w:rsidRPr="0029524B">
                              <w:rPr>
                                <w:rFonts w:cs="Arial"/>
                                <w:sz w:val="22"/>
                              </w:rPr>
                              <w:t>Eligible population for SMP = Population size x % employed for at least 6 months x percentage earning above Lower Earnings Limit</w:t>
                            </w:r>
                          </w:p>
                          <w:p w14:paraId="139C45D7" w14:textId="77777777" w:rsidR="00164D57" w:rsidRPr="0029524B" w:rsidRDefault="00164D57" w:rsidP="00164D57">
                            <w:pPr>
                              <w:rPr>
                                <w:rFonts w:cs="Arial"/>
                                <w:sz w:val="22"/>
                              </w:rPr>
                            </w:pPr>
                            <w:r w:rsidRPr="0029524B">
                              <w:rPr>
                                <w:rFonts w:cs="Arial"/>
                                <w:sz w:val="22"/>
                              </w:rPr>
                              <w:t>= 2,500 x 95.7% x 92.0% = 2,200</w:t>
                            </w:r>
                          </w:p>
                          <w:p w14:paraId="6D3006EB" w14:textId="77777777" w:rsidR="00164D57" w:rsidRPr="0029524B" w:rsidRDefault="00164D57" w:rsidP="00164D57">
                            <w:pPr>
                              <w:rPr>
                                <w:rFonts w:cs="Arial"/>
                                <w:sz w:val="22"/>
                              </w:rPr>
                            </w:pPr>
                          </w:p>
                          <w:p w14:paraId="66865FF4" w14:textId="77777777" w:rsidR="00164D57" w:rsidRPr="0029524B" w:rsidRDefault="00164D57" w:rsidP="00164D57">
                            <w:pPr>
                              <w:rPr>
                                <w:rFonts w:cs="Arial"/>
                                <w:sz w:val="22"/>
                              </w:rPr>
                            </w:pPr>
                            <w:r w:rsidRPr="0029524B">
                              <w:rPr>
                                <w:rFonts w:cs="Arial"/>
                                <w:sz w:val="22"/>
                              </w:rPr>
                              <w:t xml:space="preserve">Average Statutory Maternity Pay = 6 weeks x (90%) Average Weekly Earnings + 33 weeks x £156.66 (statutory flat rate) </w:t>
                            </w:r>
                          </w:p>
                          <w:p w14:paraId="4C1BF3C6" w14:textId="77777777" w:rsidR="00164D57" w:rsidRPr="0029524B" w:rsidRDefault="00164D57" w:rsidP="00164D57">
                            <w:pPr>
                              <w:rPr>
                                <w:rFonts w:cs="Arial"/>
                                <w:sz w:val="22"/>
                              </w:rPr>
                            </w:pPr>
                            <w:r w:rsidRPr="0029524B">
                              <w:rPr>
                                <w:rFonts w:cs="Arial"/>
                                <w:sz w:val="22"/>
                              </w:rPr>
                              <w:t>(£381.79 x 6) + (156.66 x 33) = £7,500</w:t>
                            </w:r>
                          </w:p>
                          <w:p w14:paraId="6763CE7D" w14:textId="77777777" w:rsidR="00164D57" w:rsidRPr="0029524B" w:rsidRDefault="00164D57" w:rsidP="00164D57">
                            <w:pPr>
                              <w:rPr>
                                <w:rFonts w:cs="Arial"/>
                                <w:sz w:val="22"/>
                              </w:rPr>
                            </w:pPr>
                          </w:p>
                          <w:p w14:paraId="7AF59043" w14:textId="77777777" w:rsidR="00164D57" w:rsidRPr="0029524B" w:rsidRDefault="00164D57" w:rsidP="00164D57">
                            <w:pPr>
                              <w:rPr>
                                <w:rFonts w:cs="Arial"/>
                                <w:sz w:val="22"/>
                              </w:rPr>
                            </w:pPr>
                            <w:r w:rsidRPr="0029524B">
                              <w:rPr>
                                <w:rFonts w:cs="Arial"/>
                                <w:sz w:val="22"/>
                              </w:rPr>
                              <w:t>Total Statutory Maternity Pay = Eligible Population for SMP x  Average Statutory Maternity Pay</w:t>
                            </w:r>
                          </w:p>
                          <w:p w14:paraId="39AC4809" w14:textId="29954D3C" w:rsidR="00164D57" w:rsidRPr="0029524B" w:rsidRDefault="00164D57" w:rsidP="00164D57">
                            <w:pPr>
                              <w:rPr>
                                <w:rFonts w:cs="Arial"/>
                                <w:sz w:val="22"/>
                              </w:rPr>
                            </w:pPr>
                            <w:r w:rsidRPr="00B24594">
                              <w:rPr>
                                <w:rFonts w:cs="Arial"/>
                                <w:sz w:val="22"/>
                              </w:rPr>
                              <w:t>2,200 x 7,500 = £16.3m</w:t>
                            </w:r>
                            <w:r w:rsidR="00636752" w:rsidRPr="00B24594">
                              <w:rPr>
                                <w:rFonts w:cs="Arial"/>
                                <w:sz w:val="22"/>
                              </w:rPr>
                              <w:t>*</w:t>
                            </w:r>
                          </w:p>
                          <w:p w14:paraId="437980B3" w14:textId="77777777" w:rsidR="00636752" w:rsidRPr="0029524B" w:rsidRDefault="00636752" w:rsidP="00164D57">
                            <w:pPr>
                              <w:rPr>
                                <w:rFonts w:cs="Arial"/>
                                <w:sz w:val="22"/>
                              </w:rPr>
                            </w:pPr>
                          </w:p>
                          <w:p w14:paraId="51C71368" w14:textId="07D9C8D7" w:rsidR="00636752" w:rsidRPr="0029524B" w:rsidRDefault="0005439A" w:rsidP="00164D57">
                            <w:pPr>
                              <w:rPr>
                                <w:rFonts w:cs="Arial"/>
                                <w:sz w:val="16"/>
                                <w:szCs w:val="16"/>
                              </w:rPr>
                            </w:pPr>
                            <w:r w:rsidRPr="0029524B">
                              <w:rPr>
                                <w:rFonts w:cs="Arial"/>
                                <w:sz w:val="16"/>
                                <w:szCs w:val="16"/>
                              </w:rPr>
                              <w:t>*</w:t>
                            </w:r>
                            <w:r w:rsidR="00687BC2">
                              <w:rPr>
                                <w:rFonts w:cs="Arial"/>
                                <w:sz w:val="16"/>
                                <w:szCs w:val="16"/>
                              </w:rPr>
                              <w:t xml:space="preserve">The </w:t>
                            </w:r>
                            <w:r w:rsidR="00CA646C">
                              <w:rPr>
                                <w:rFonts w:cs="Arial"/>
                                <w:sz w:val="16"/>
                                <w:szCs w:val="16"/>
                              </w:rPr>
                              <w:t>figures</w:t>
                            </w:r>
                            <w:r w:rsidR="00687BC2">
                              <w:rPr>
                                <w:rFonts w:cs="Arial"/>
                                <w:sz w:val="16"/>
                                <w:szCs w:val="16"/>
                              </w:rPr>
                              <w:t xml:space="preserve"> </w:t>
                            </w:r>
                            <w:r w:rsidR="00CA646C">
                              <w:rPr>
                                <w:rFonts w:cs="Arial"/>
                                <w:sz w:val="16"/>
                                <w:szCs w:val="16"/>
                              </w:rPr>
                              <w:t xml:space="preserve">may </w:t>
                            </w:r>
                            <w:r w:rsidR="00687BC2">
                              <w:rPr>
                                <w:rFonts w:cs="Arial"/>
                                <w:sz w:val="16"/>
                                <w:szCs w:val="16"/>
                              </w:rPr>
                              <w:t>not sum</w:t>
                            </w:r>
                            <w:r w:rsidR="00BE677A">
                              <w:rPr>
                                <w:rFonts w:cs="Arial"/>
                                <w:sz w:val="16"/>
                                <w:szCs w:val="16"/>
                              </w:rPr>
                              <w:t xml:space="preserve"> to total</w:t>
                            </w:r>
                            <w:r w:rsidR="00687BC2">
                              <w:rPr>
                                <w:rFonts w:cs="Arial"/>
                                <w:sz w:val="16"/>
                                <w:szCs w:val="16"/>
                              </w:rPr>
                              <w:t xml:space="preserve"> due to </w:t>
                            </w:r>
                            <w:r w:rsidR="00BE677A">
                              <w:rPr>
                                <w:rFonts w:cs="Arial"/>
                                <w:sz w:val="16"/>
                                <w:szCs w:val="16"/>
                              </w:rPr>
                              <w:t xml:space="preserve">component </w:t>
                            </w:r>
                            <w:r w:rsidR="005520B6">
                              <w:rPr>
                                <w:rFonts w:cs="Arial"/>
                                <w:sz w:val="16"/>
                                <w:szCs w:val="16"/>
                              </w:rPr>
                              <w:t>fig</w:t>
                            </w:r>
                            <w:r w:rsidR="00687BC2">
                              <w:rPr>
                                <w:rFonts w:cs="Arial"/>
                                <w:sz w:val="16"/>
                                <w:szCs w:val="16"/>
                              </w:rPr>
                              <w:t xml:space="preserve">ures </w:t>
                            </w:r>
                            <w:r w:rsidR="00BE677A">
                              <w:rPr>
                                <w:rFonts w:cs="Arial"/>
                                <w:sz w:val="16"/>
                                <w:szCs w:val="16"/>
                              </w:rPr>
                              <w:t>rounded to the nearest 100.</w:t>
                            </w:r>
                          </w:p>
                          <w:p w14:paraId="2154581D" w14:textId="77777777" w:rsidR="00164D57" w:rsidRPr="0029524B" w:rsidRDefault="00164D57" w:rsidP="00164D57">
                            <w:pPr>
                              <w:rPr>
                                <w:rFonts w:cs="Arial"/>
                                <w:sz w:val="22"/>
                              </w:rPr>
                            </w:pPr>
                          </w:p>
                          <w:p w14:paraId="3BC51804" w14:textId="77777777" w:rsidR="00164D57" w:rsidRPr="0029524B" w:rsidRDefault="00164D57" w:rsidP="00164D57">
                            <w:pPr>
                              <w:rPr>
                                <w:rFonts w:cs="Arial"/>
                                <w:i/>
                                <w:iCs/>
                                <w:sz w:val="22"/>
                                <w:u w:val="single"/>
                              </w:rPr>
                            </w:pPr>
                            <w:r w:rsidRPr="0029524B">
                              <w:rPr>
                                <w:rFonts w:cs="Arial"/>
                                <w:i/>
                                <w:iCs/>
                                <w:sz w:val="22"/>
                                <w:u w:val="single"/>
                              </w:rPr>
                              <w:t>Maternity Allowance</w:t>
                            </w:r>
                          </w:p>
                          <w:p w14:paraId="1337363C" w14:textId="77777777" w:rsidR="00164D57" w:rsidRPr="0029524B" w:rsidRDefault="00164D57" w:rsidP="00164D57">
                            <w:pPr>
                              <w:rPr>
                                <w:rFonts w:cs="Arial"/>
                                <w:sz w:val="22"/>
                              </w:rPr>
                            </w:pPr>
                          </w:p>
                          <w:p w14:paraId="48285B09" w14:textId="77777777" w:rsidR="00164D57" w:rsidRPr="0029524B" w:rsidRDefault="00164D57" w:rsidP="00164D57">
                            <w:pPr>
                              <w:rPr>
                                <w:rFonts w:cs="Arial"/>
                                <w:sz w:val="22"/>
                              </w:rPr>
                            </w:pPr>
                            <w:r w:rsidRPr="0029524B">
                              <w:rPr>
                                <w:rFonts w:cs="Arial"/>
                                <w:sz w:val="22"/>
                              </w:rPr>
                              <w:t xml:space="preserve">Eligible population for MA = Population size – Eligible population for SMP </w:t>
                            </w:r>
                          </w:p>
                          <w:p w14:paraId="4F394DCC" w14:textId="77777777" w:rsidR="00164D57" w:rsidRPr="0029524B" w:rsidRDefault="00164D57" w:rsidP="00164D57">
                            <w:pPr>
                              <w:rPr>
                                <w:rFonts w:cs="Arial"/>
                                <w:sz w:val="22"/>
                              </w:rPr>
                            </w:pPr>
                            <w:r w:rsidRPr="0029524B">
                              <w:rPr>
                                <w:rFonts w:cs="Arial"/>
                                <w:sz w:val="22"/>
                              </w:rPr>
                              <w:t>2,500 – 2,200  = 300</w:t>
                            </w:r>
                          </w:p>
                          <w:p w14:paraId="646A69AB" w14:textId="77777777" w:rsidR="00164D57" w:rsidRPr="0029524B" w:rsidRDefault="00164D57" w:rsidP="00164D57">
                            <w:pPr>
                              <w:rPr>
                                <w:rFonts w:cs="Arial"/>
                                <w:sz w:val="22"/>
                              </w:rPr>
                            </w:pPr>
                          </w:p>
                          <w:p w14:paraId="6164A7CD" w14:textId="297AF249" w:rsidR="00164D57" w:rsidRPr="0029524B" w:rsidRDefault="00164D57" w:rsidP="00164D57">
                            <w:pPr>
                              <w:rPr>
                                <w:rFonts w:cs="Arial"/>
                                <w:sz w:val="22"/>
                              </w:rPr>
                            </w:pPr>
                            <w:r w:rsidRPr="0029524B">
                              <w:rPr>
                                <w:rFonts w:cs="Arial"/>
                                <w:sz w:val="22"/>
                              </w:rPr>
                              <w:t>Value of Maternity Allowance = 39 weeks x £</w:t>
                            </w:r>
                            <w:r w:rsidR="00DF58AF" w:rsidRPr="0029524B">
                              <w:rPr>
                                <w:rFonts w:cs="Arial"/>
                                <w:sz w:val="22"/>
                              </w:rPr>
                              <w:t xml:space="preserve">156.66 </w:t>
                            </w:r>
                            <w:r w:rsidRPr="0029524B">
                              <w:rPr>
                                <w:rFonts w:cs="Arial"/>
                                <w:sz w:val="22"/>
                              </w:rPr>
                              <w:t>151.97 (statutory flat rate)</w:t>
                            </w:r>
                          </w:p>
                          <w:p w14:paraId="6D8645C7" w14:textId="77777777" w:rsidR="00164D57" w:rsidRPr="0029524B" w:rsidRDefault="00164D57" w:rsidP="00164D57">
                            <w:pPr>
                              <w:rPr>
                                <w:rFonts w:cs="Arial"/>
                                <w:sz w:val="22"/>
                              </w:rPr>
                            </w:pPr>
                            <w:r w:rsidRPr="0029524B">
                              <w:rPr>
                                <w:rFonts w:cs="Arial"/>
                                <w:sz w:val="22"/>
                              </w:rPr>
                              <w:t>39 x £156.66 = £6,100</w:t>
                            </w:r>
                          </w:p>
                          <w:p w14:paraId="532FC91F" w14:textId="77777777" w:rsidR="00164D57" w:rsidRPr="0029524B" w:rsidRDefault="00164D57" w:rsidP="00164D57">
                            <w:pPr>
                              <w:rPr>
                                <w:rFonts w:cs="Arial"/>
                                <w:sz w:val="22"/>
                              </w:rPr>
                            </w:pPr>
                          </w:p>
                          <w:p w14:paraId="6EF55563" w14:textId="1D778AFB" w:rsidR="001F1CBF" w:rsidRPr="0029524B" w:rsidRDefault="00164D57" w:rsidP="00164D57">
                            <w:pPr>
                              <w:rPr>
                                <w:rFonts w:cs="Arial"/>
                                <w:sz w:val="22"/>
                              </w:rPr>
                            </w:pPr>
                            <w:r w:rsidRPr="0029524B">
                              <w:rPr>
                                <w:rFonts w:cs="Arial"/>
                                <w:sz w:val="22"/>
                              </w:rPr>
                              <w:t>Total Maternity Allowance = Eligible Population for MA x Value of Maternity Allowance</w:t>
                            </w:r>
                          </w:p>
                          <w:p w14:paraId="175534F3" w14:textId="3100416B" w:rsidR="00164D57" w:rsidRPr="0029524B" w:rsidRDefault="00164D57" w:rsidP="00164D57">
                            <w:pPr>
                              <w:rPr>
                                <w:rFonts w:cs="Arial"/>
                                <w:sz w:val="22"/>
                              </w:rPr>
                            </w:pPr>
                            <w:r w:rsidRPr="0029524B">
                              <w:rPr>
                                <w:rFonts w:cs="Arial"/>
                                <w:sz w:val="22"/>
                              </w:rPr>
                              <w:t>300 x £</w:t>
                            </w:r>
                            <w:r w:rsidR="00DF58AF" w:rsidRPr="0029524B">
                              <w:rPr>
                                <w:rFonts w:cs="Arial"/>
                                <w:sz w:val="22"/>
                              </w:rPr>
                              <w:t>6,100</w:t>
                            </w:r>
                            <w:r w:rsidRPr="0029524B">
                              <w:rPr>
                                <w:rFonts w:cs="Arial"/>
                                <w:sz w:val="22"/>
                              </w:rPr>
                              <w:t xml:space="preserve"> = £1.8m</w:t>
                            </w:r>
                          </w:p>
                          <w:p w14:paraId="3ADD07BF" w14:textId="77777777" w:rsidR="00164D57" w:rsidRPr="0029524B" w:rsidRDefault="00164D57" w:rsidP="00164D57">
                            <w:pPr>
                              <w:rPr>
                                <w:rFonts w:cs="Arial"/>
                                <w:sz w:val="22"/>
                              </w:rPr>
                            </w:pPr>
                          </w:p>
                          <w:p w14:paraId="4C7F1070" w14:textId="7917FC7B" w:rsidR="00164D57" w:rsidRPr="00291AFF" w:rsidRDefault="00164D57" w:rsidP="00164D57">
                            <w:pPr>
                              <w:rPr>
                                <w:rFonts w:cs="Arial"/>
                                <w:b/>
                                <w:color w:val="000000"/>
                                <w:sz w:val="22"/>
                                <w:szCs w:val="22"/>
                                <w:u w:val="single"/>
                                <w:lang w:eastAsia="en-GB"/>
                              </w:rPr>
                            </w:pPr>
                            <w:r w:rsidRPr="00030595">
                              <w:rPr>
                                <w:b/>
                                <w:sz w:val="22"/>
                                <w:szCs w:val="22"/>
                                <w:u w:val="single"/>
                              </w:rPr>
                              <w:t xml:space="preserve">Net benefit of Statutory Maternity Pay </w:t>
                            </w:r>
                            <w:r w:rsidR="002D745F">
                              <w:rPr>
                                <w:b/>
                                <w:sz w:val="22"/>
                                <w:szCs w:val="22"/>
                                <w:u w:val="single"/>
                              </w:rPr>
                              <w:t>and</w:t>
                            </w:r>
                            <w:r w:rsidRPr="00030595">
                              <w:rPr>
                                <w:b/>
                                <w:sz w:val="22"/>
                                <w:szCs w:val="22"/>
                                <w:u w:val="single"/>
                              </w:rPr>
                              <w:t xml:space="preserve"> Maternity Allowance to mothers </w:t>
                            </w:r>
                            <w:r w:rsidR="002D745F">
                              <w:rPr>
                                <w:b/>
                                <w:sz w:val="22"/>
                                <w:szCs w:val="22"/>
                                <w:u w:val="single"/>
                              </w:rPr>
                              <w:t xml:space="preserve">following policy implementation </w:t>
                            </w:r>
                            <w:r w:rsidRPr="00030595">
                              <w:rPr>
                                <w:b/>
                                <w:sz w:val="22"/>
                                <w:szCs w:val="22"/>
                                <w:u w:val="single"/>
                              </w:rPr>
                              <w:t xml:space="preserve">= £16.3m </w:t>
                            </w:r>
                            <w:r w:rsidR="009354C6">
                              <w:rPr>
                                <w:b/>
                                <w:sz w:val="22"/>
                                <w:szCs w:val="22"/>
                                <w:u w:val="single"/>
                              </w:rPr>
                              <w:t>+</w:t>
                            </w:r>
                            <w:r w:rsidR="009354C6" w:rsidRPr="00030595">
                              <w:rPr>
                                <w:b/>
                                <w:sz w:val="22"/>
                                <w:szCs w:val="22"/>
                                <w:u w:val="single"/>
                              </w:rPr>
                              <w:t xml:space="preserve"> </w:t>
                            </w:r>
                            <w:r w:rsidRPr="00030595">
                              <w:rPr>
                                <w:b/>
                                <w:sz w:val="22"/>
                                <w:szCs w:val="22"/>
                                <w:u w:val="single"/>
                              </w:rPr>
                              <w:t>£1.</w:t>
                            </w:r>
                            <w:r w:rsidRPr="002D112B">
                              <w:rPr>
                                <w:b/>
                                <w:sz w:val="22"/>
                                <w:szCs w:val="22"/>
                                <w:u w:val="single"/>
                              </w:rPr>
                              <w:t xml:space="preserve">8m </w:t>
                            </w:r>
                            <w:r w:rsidR="002D745F" w:rsidRPr="002D112B">
                              <w:rPr>
                                <w:b/>
                                <w:sz w:val="22"/>
                                <w:szCs w:val="22"/>
                                <w:u w:val="single"/>
                              </w:rPr>
                              <w:t xml:space="preserve">= </w:t>
                            </w:r>
                            <w:r w:rsidR="002D112B" w:rsidRPr="002D112B">
                              <w:rPr>
                                <w:b/>
                                <w:sz w:val="22"/>
                                <w:szCs w:val="22"/>
                                <w:u w:val="single"/>
                              </w:rPr>
                              <w:t>£</w:t>
                            </w:r>
                            <w:r w:rsidR="002D745F" w:rsidRPr="002D112B">
                              <w:rPr>
                                <w:b/>
                                <w:sz w:val="22"/>
                                <w:szCs w:val="22"/>
                                <w:u w:val="single"/>
                              </w:rPr>
                              <w:t>18.</w:t>
                            </w:r>
                            <w:r w:rsidR="00880A80">
                              <w:rPr>
                                <w:b/>
                                <w:sz w:val="22"/>
                                <w:szCs w:val="22"/>
                                <w:u w:val="single"/>
                              </w:rPr>
                              <w:t>1</w:t>
                            </w:r>
                            <w:r w:rsidR="002D112B" w:rsidRPr="002D112B">
                              <w:rPr>
                                <w:b/>
                                <w:sz w:val="22"/>
                                <w:szCs w:val="22"/>
                                <w:u w:val="single"/>
                              </w:rPr>
                              <w:t>m</w:t>
                            </w:r>
                          </w:p>
                        </w:txbxContent>
                      </wps:txbx>
                      <wps:bodyPr rot="0" vert="horz" wrap="square" lIns="91440" tIns="45720" rIns="91440" bIns="45720" anchor="t" anchorCtr="0">
                        <a:noAutofit/>
                      </wps:bodyPr>
                    </wps:wsp>
                  </a:graphicData>
                </a:graphic>
              </wp:inline>
            </w:drawing>
          </mc:Choice>
          <mc:Fallback>
            <w:pict>
              <v:shape w14:anchorId="7B633931" id="_x0000_s1032" type="#_x0000_t202" style="width:466.5pt;height: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9pBFAIAACcEAAAOAAAAZHJzL2Uyb0RvYy54bWysU1GP0zAMfkfiP0R5Z+2mddyqdadjxxDS&#10;cSAd/AA3TdeINA5Jtvb49TjZbjcd8ILIQ2THzmf7s726HnvNDtJ5habi00nOmTQCG2V2Ff/2dfvm&#10;ijMfwDSg0ciKP0rPr9evX60GW8oZdqgb6RiBGF8OtuJdCLbMMi862YOfoJWGjC26HgKpbpc1DgZC&#10;73U2y/NFNqBrrEMhvafX26ORrxN+20oRPretl4HpilNuId0u3XW8s/UKyp0D2ylxSgP+IYselKGg&#10;Z6hbCMD2Tv0G1Svh0GMbJgL7DNtWCZlqoGqm+YtqHjqwMtVC5Hh7psn/P1hxf3iwXxwL4zscqYGp&#10;CG/vUHz3zOCmA7OTN87h0EloKPA0UpYN1penr5FqX/oIUg+fsKEmwz5gAhpb10dWqE5G6NSAxzPp&#10;cgxM0GOxnM2LgkyCbMWimBZ5aksG5dN363z4ILFnUai4o64meDjc+RDTgfLJJUbzqFWzVVonxe3q&#10;jXbsADQB23RSBS/ctGFDxZfFrDgy8FeIPJ0/QfQq0Chr1Vf86uwEZeTtvWnSoAVQ+ihTytqciIzc&#10;HVkMYz0y1VR8EQNEXmtsHolZh8fJpU0joUP3k7OBprbi/scenORMfzTUneV0Po9jnpR58XZGiru0&#10;1JcWMIKgKh44O4qbkFYj8mbwhrrYqsTvcyanlGkaE+2nzYnjfqknr+f9Xv8CAAD//wMAUEsDBBQA&#10;BgAIAAAAIQDFmWWq2wAAAAUBAAAPAAAAZHJzL2Rvd25yZXYueG1sTI/BTsMwDIbvSLxDZCQuaEuh&#10;aFtL0wkhgeA2BoJr1nhtReKUJOvK22O4wMXSr9/6/LlaT86KEUPsPSm4nGcgkBpvemoVvL7cz1Yg&#10;YtJktPWECr4wwro+Pal0afyRnnHcplYwhGKpFXQpDaWUsenQ6Tj3AxJ3ex+cThxDK03QR4Y7K6+y&#10;bCGd7okvdHrAuw6bj+3BKVhdP47v8SnfvDWLvS3SxXJ8+AxKnZ9NtzcgEk7pbxl+9Fkdanba+QOZ&#10;KKwCfiT9Tu6KPOe4Y3CRZSDrSv63r78BAAD//wMAUEsBAi0AFAAGAAgAAAAhALaDOJL+AAAA4QEA&#10;ABMAAAAAAAAAAAAAAAAAAAAAAFtDb250ZW50X1R5cGVzXS54bWxQSwECLQAUAAYACAAAACEAOP0h&#10;/9YAAACUAQAACwAAAAAAAAAAAAAAAAAvAQAAX3JlbHMvLnJlbHNQSwECLQAUAAYACAAAACEAGLPa&#10;QRQCAAAnBAAADgAAAAAAAAAAAAAAAAAuAgAAZHJzL2Uyb0RvYy54bWxQSwECLQAUAAYACAAAACEA&#10;xZllqtsAAAAFAQAADwAAAAAAAAAAAAAAAABuBAAAZHJzL2Rvd25yZXYueG1sUEsFBgAAAAAEAAQA&#10;8wAAAHYFAAAAAA==&#10;">
                <v:textbox>
                  <w:txbxContent>
                    <w:p w14:paraId="13BDDD80" w14:textId="5C7BAF72" w:rsidR="00164D57" w:rsidRPr="00030595" w:rsidRDefault="00164D57" w:rsidP="00164D57">
                      <w:pPr>
                        <w:rPr>
                          <w:rFonts w:cs="Arial"/>
                          <w:b/>
                          <w:color w:val="000000"/>
                          <w:sz w:val="22"/>
                          <w:szCs w:val="22"/>
                          <w:u w:val="single"/>
                          <w:lang w:eastAsia="en-GB"/>
                        </w:rPr>
                      </w:pPr>
                      <w:r w:rsidRPr="00030595">
                        <w:rPr>
                          <w:rFonts w:cs="Arial"/>
                          <w:b/>
                          <w:color w:val="000000"/>
                          <w:sz w:val="22"/>
                          <w:szCs w:val="22"/>
                          <w:u w:val="single"/>
                          <w:lang w:eastAsia="en-GB"/>
                        </w:rPr>
                        <w:t xml:space="preserve">Maternity Pay </w:t>
                      </w:r>
                      <w:r w:rsidR="00CA16D6" w:rsidRPr="00030595">
                        <w:rPr>
                          <w:rFonts w:cs="Arial"/>
                          <w:b/>
                          <w:color w:val="000000"/>
                          <w:sz w:val="22"/>
                          <w:szCs w:val="22"/>
                          <w:u w:val="single"/>
                          <w:lang w:eastAsia="en-GB"/>
                        </w:rPr>
                        <w:t>to indiv</w:t>
                      </w:r>
                      <w:r w:rsidR="00A067E8">
                        <w:rPr>
                          <w:rFonts w:cs="Arial"/>
                          <w:b/>
                          <w:color w:val="000000"/>
                          <w:sz w:val="22"/>
                          <w:szCs w:val="22"/>
                          <w:u w:val="single"/>
                          <w:lang w:eastAsia="en-GB"/>
                        </w:rPr>
                        <w:t>i</w:t>
                      </w:r>
                      <w:r w:rsidR="00CA16D6" w:rsidRPr="00030595">
                        <w:rPr>
                          <w:rFonts w:cs="Arial"/>
                          <w:b/>
                          <w:color w:val="000000"/>
                          <w:sz w:val="22"/>
                          <w:szCs w:val="22"/>
                          <w:u w:val="single"/>
                          <w:lang w:eastAsia="en-GB"/>
                        </w:rPr>
                        <w:t>duals following policy implement</w:t>
                      </w:r>
                      <w:r w:rsidR="00785C31">
                        <w:rPr>
                          <w:rFonts w:cs="Arial"/>
                          <w:b/>
                          <w:color w:val="000000"/>
                          <w:sz w:val="22"/>
                          <w:szCs w:val="22"/>
                          <w:u w:val="single"/>
                          <w:lang w:eastAsia="en-GB"/>
                        </w:rPr>
                        <w:t>ion</w:t>
                      </w:r>
                      <w:r w:rsidR="00D778A5" w:rsidRPr="00030595">
                        <w:rPr>
                          <w:rFonts w:cs="Arial"/>
                          <w:b/>
                          <w:color w:val="000000"/>
                          <w:sz w:val="22"/>
                          <w:szCs w:val="22"/>
                          <w:u w:val="single"/>
                          <w:lang w:eastAsia="en-GB"/>
                        </w:rPr>
                        <w:t xml:space="preserve"> </w:t>
                      </w:r>
                      <w:r w:rsidR="001F1CBF" w:rsidRPr="0029524B">
                        <w:rPr>
                          <w:b/>
                          <w:bCs/>
                          <w:sz w:val="22"/>
                          <w:szCs w:val="22"/>
                          <w:u w:val="single"/>
                        </w:rPr>
                        <w:t>(including SMP and MA)</w:t>
                      </w:r>
                    </w:p>
                    <w:p w14:paraId="66C50B40" w14:textId="77777777" w:rsidR="003E6F79" w:rsidRPr="0029524B" w:rsidRDefault="003E6F79" w:rsidP="00164D57">
                      <w:pPr>
                        <w:rPr>
                          <w:rFonts w:cs="Arial"/>
                          <w:b/>
                          <w:bCs/>
                          <w:color w:val="000000"/>
                          <w:sz w:val="22"/>
                          <w:szCs w:val="22"/>
                          <w:lang w:eastAsia="en-GB"/>
                        </w:rPr>
                      </w:pPr>
                    </w:p>
                    <w:p w14:paraId="75E7207C" w14:textId="77777777" w:rsidR="00164D57" w:rsidRPr="0029524B" w:rsidRDefault="00164D57" w:rsidP="00164D57">
                      <w:pPr>
                        <w:rPr>
                          <w:rFonts w:cs="Arial"/>
                          <w:i/>
                          <w:iCs/>
                          <w:sz w:val="22"/>
                          <w:u w:val="single"/>
                        </w:rPr>
                      </w:pPr>
                      <w:r w:rsidRPr="0029524B">
                        <w:rPr>
                          <w:rFonts w:cs="Arial"/>
                          <w:i/>
                          <w:iCs/>
                          <w:sz w:val="22"/>
                          <w:u w:val="single"/>
                        </w:rPr>
                        <w:t xml:space="preserve">Statutory Maternity Pay </w:t>
                      </w:r>
                    </w:p>
                    <w:p w14:paraId="3ED61C99" w14:textId="77777777" w:rsidR="00164D57" w:rsidRPr="0029524B" w:rsidRDefault="00164D57" w:rsidP="00164D57">
                      <w:pPr>
                        <w:rPr>
                          <w:rFonts w:cs="Arial"/>
                          <w:sz w:val="22"/>
                        </w:rPr>
                      </w:pPr>
                    </w:p>
                    <w:p w14:paraId="3713F49F" w14:textId="77777777" w:rsidR="00164D57" w:rsidRPr="0029524B" w:rsidRDefault="00164D57" w:rsidP="00164D57">
                      <w:pPr>
                        <w:rPr>
                          <w:rFonts w:cs="Arial"/>
                          <w:sz w:val="22"/>
                        </w:rPr>
                      </w:pPr>
                      <w:r w:rsidRPr="0029524B">
                        <w:rPr>
                          <w:rFonts w:cs="Arial"/>
                          <w:sz w:val="22"/>
                        </w:rPr>
                        <w:t>Eligible population for SMP = Population size x % employed for at least 6 months x percentage earning above Lower Earnings Limit</w:t>
                      </w:r>
                    </w:p>
                    <w:p w14:paraId="139C45D7" w14:textId="77777777" w:rsidR="00164D57" w:rsidRPr="0029524B" w:rsidRDefault="00164D57" w:rsidP="00164D57">
                      <w:pPr>
                        <w:rPr>
                          <w:rFonts w:cs="Arial"/>
                          <w:sz w:val="22"/>
                        </w:rPr>
                      </w:pPr>
                      <w:r w:rsidRPr="0029524B">
                        <w:rPr>
                          <w:rFonts w:cs="Arial"/>
                          <w:sz w:val="22"/>
                        </w:rPr>
                        <w:t>= 2,500 x 95.7% x 92.0% = 2,200</w:t>
                      </w:r>
                    </w:p>
                    <w:p w14:paraId="6D3006EB" w14:textId="77777777" w:rsidR="00164D57" w:rsidRPr="0029524B" w:rsidRDefault="00164D57" w:rsidP="00164D57">
                      <w:pPr>
                        <w:rPr>
                          <w:rFonts w:cs="Arial"/>
                          <w:sz w:val="22"/>
                        </w:rPr>
                      </w:pPr>
                    </w:p>
                    <w:p w14:paraId="66865FF4" w14:textId="77777777" w:rsidR="00164D57" w:rsidRPr="0029524B" w:rsidRDefault="00164D57" w:rsidP="00164D57">
                      <w:pPr>
                        <w:rPr>
                          <w:rFonts w:cs="Arial"/>
                          <w:sz w:val="22"/>
                        </w:rPr>
                      </w:pPr>
                      <w:r w:rsidRPr="0029524B">
                        <w:rPr>
                          <w:rFonts w:cs="Arial"/>
                          <w:sz w:val="22"/>
                        </w:rPr>
                        <w:t xml:space="preserve">Average Statutory Maternity Pay = 6 weeks x (90%) Average Weekly Earnings + 33 weeks x £156.66 (statutory flat rate) </w:t>
                      </w:r>
                    </w:p>
                    <w:p w14:paraId="4C1BF3C6" w14:textId="77777777" w:rsidR="00164D57" w:rsidRPr="0029524B" w:rsidRDefault="00164D57" w:rsidP="00164D57">
                      <w:pPr>
                        <w:rPr>
                          <w:rFonts w:cs="Arial"/>
                          <w:sz w:val="22"/>
                        </w:rPr>
                      </w:pPr>
                      <w:r w:rsidRPr="0029524B">
                        <w:rPr>
                          <w:rFonts w:cs="Arial"/>
                          <w:sz w:val="22"/>
                        </w:rPr>
                        <w:t>(£381.79 x 6) + (156.66 x 33) = £7,500</w:t>
                      </w:r>
                    </w:p>
                    <w:p w14:paraId="6763CE7D" w14:textId="77777777" w:rsidR="00164D57" w:rsidRPr="0029524B" w:rsidRDefault="00164D57" w:rsidP="00164D57">
                      <w:pPr>
                        <w:rPr>
                          <w:rFonts w:cs="Arial"/>
                          <w:sz w:val="22"/>
                        </w:rPr>
                      </w:pPr>
                    </w:p>
                    <w:p w14:paraId="7AF59043" w14:textId="77777777" w:rsidR="00164D57" w:rsidRPr="0029524B" w:rsidRDefault="00164D57" w:rsidP="00164D57">
                      <w:pPr>
                        <w:rPr>
                          <w:rFonts w:cs="Arial"/>
                          <w:sz w:val="22"/>
                        </w:rPr>
                      </w:pPr>
                      <w:r w:rsidRPr="0029524B">
                        <w:rPr>
                          <w:rFonts w:cs="Arial"/>
                          <w:sz w:val="22"/>
                        </w:rPr>
                        <w:t>Total Statutory Maternity Pay = Eligible Population for SMP x  Average Statutory Maternity Pay</w:t>
                      </w:r>
                    </w:p>
                    <w:p w14:paraId="39AC4809" w14:textId="29954D3C" w:rsidR="00164D57" w:rsidRPr="0029524B" w:rsidRDefault="00164D57" w:rsidP="00164D57">
                      <w:pPr>
                        <w:rPr>
                          <w:rFonts w:cs="Arial"/>
                          <w:sz w:val="22"/>
                        </w:rPr>
                      </w:pPr>
                      <w:r w:rsidRPr="00B24594">
                        <w:rPr>
                          <w:rFonts w:cs="Arial"/>
                          <w:sz w:val="22"/>
                        </w:rPr>
                        <w:t>2,200 x 7,500 = £16.3m</w:t>
                      </w:r>
                      <w:r w:rsidR="00636752" w:rsidRPr="00B24594">
                        <w:rPr>
                          <w:rFonts w:cs="Arial"/>
                          <w:sz w:val="22"/>
                        </w:rPr>
                        <w:t>*</w:t>
                      </w:r>
                    </w:p>
                    <w:p w14:paraId="437980B3" w14:textId="77777777" w:rsidR="00636752" w:rsidRPr="0029524B" w:rsidRDefault="00636752" w:rsidP="00164D57">
                      <w:pPr>
                        <w:rPr>
                          <w:rFonts w:cs="Arial"/>
                          <w:sz w:val="22"/>
                        </w:rPr>
                      </w:pPr>
                    </w:p>
                    <w:p w14:paraId="51C71368" w14:textId="07D9C8D7" w:rsidR="00636752" w:rsidRPr="0029524B" w:rsidRDefault="0005439A" w:rsidP="00164D57">
                      <w:pPr>
                        <w:rPr>
                          <w:rFonts w:cs="Arial"/>
                          <w:sz w:val="16"/>
                          <w:szCs w:val="16"/>
                        </w:rPr>
                      </w:pPr>
                      <w:r w:rsidRPr="0029524B">
                        <w:rPr>
                          <w:rFonts w:cs="Arial"/>
                          <w:sz w:val="16"/>
                          <w:szCs w:val="16"/>
                        </w:rPr>
                        <w:t>*</w:t>
                      </w:r>
                      <w:r w:rsidR="00687BC2">
                        <w:rPr>
                          <w:rFonts w:cs="Arial"/>
                          <w:sz w:val="16"/>
                          <w:szCs w:val="16"/>
                        </w:rPr>
                        <w:t xml:space="preserve">The </w:t>
                      </w:r>
                      <w:r w:rsidR="00CA646C">
                        <w:rPr>
                          <w:rFonts w:cs="Arial"/>
                          <w:sz w:val="16"/>
                          <w:szCs w:val="16"/>
                        </w:rPr>
                        <w:t>figures</w:t>
                      </w:r>
                      <w:r w:rsidR="00687BC2">
                        <w:rPr>
                          <w:rFonts w:cs="Arial"/>
                          <w:sz w:val="16"/>
                          <w:szCs w:val="16"/>
                        </w:rPr>
                        <w:t xml:space="preserve"> </w:t>
                      </w:r>
                      <w:r w:rsidR="00CA646C">
                        <w:rPr>
                          <w:rFonts w:cs="Arial"/>
                          <w:sz w:val="16"/>
                          <w:szCs w:val="16"/>
                        </w:rPr>
                        <w:t xml:space="preserve">may </w:t>
                      </w:r>
                      <w:r w:rsidR="00687BC2">
                        <w:rPr>
                          <w:rFonts w:cs="Arial"/>
                          <w:sz w:val="16"/>
                          <w:szCs w:val="16"/>
                        </w:rPr>
                        <w:t>not sum</w:t>
                      </w:r>
                      <w:r w:rsidR="00BE677A">
                        <w:rPr>
                          <w:rFonts w:cs="Arial"/>
                          <w:sz w:val="16"/>
                          <w:szCs w:val="16"/>
                        </w:rPr>
                        <w:t xml:space="preserve"> to total</w:t>
                      </w:r>
                      <w:r w:rsidR="00687BC2">
                        <w:rPr>
                          <w:rFonts w:cs="Arial"/>
                          <w:sz w:val="16"/>
                          <w:szCs w:val="16"/>
                        </w:rPr>
                        <w:t xml:space="preserve"> due to </w:t>
                      </w:r>
                      <w:r w:rsidR="00BE677A">
                        <w:rPr>
                          <w:rFonts w:cs="Arial"/>
                          <w:sz w:val="16"/>
                          <w:szCs w:val="16"/>
                        </w:rPr>
                        <w:t xml:space="preserve">component </w:t>
                      </w:r>
                      <w:r w:rsidR="005520B6">
                        <w:rPr>
                          <w:rFonts w:cs="Arial"/>
                          <w:sz w:val="16"/>
                          <w:szCs w:val="16"/>
                        </w:rPr>
                        <w:t>fig</w:t>
                      </w:r>
                      <w:r w:rsidR="00687BC2">
                        <w:rPr>
                          <w:rFonts w:cs="Arial"/>
                          <w:sz w:val="16"/>
                          <w:szCs w:val="16"/>
                        </w:rPr>
                        <w:t xml:space="preserve">ures </w:t>
                      </w:r>
                      <w:r w:rsidR="00BE677A">
                        <w:rPr>
                          <w:rFonts w:cs="Arial"/>
                          <w:sz w:val="16"/>
                          <w:szCs w:val="16"/>
                        </w:rPr>
                        <w:t>rounded to the nearest 100.</w:t>
                      </w:r>
                    </w:p>
                    <w:p w14:paraId="2154581D" w14:textId="77777777" w:rsidR="00164D57" w:rsidRPr="0029524B" w:rsidRDefault="00164D57" w:rsidP="00164D57">
                      <w:pPr>
                        <w:rPr>
                          <w:rFonts w:cs="Arial"/>
                          <w:sz w:val="22"/>
                        </w:rPr>
                      </w:pPr>
                    </w:p>
                    <w:p w14:paraId="3BC51804" w14:textId="77777777" w:rsidR="00164D57" w:rsidRPr="0029524B" w:rsidRDefault="00164D57" w:rsidP="00164D57">
                      <w:pPr>
                        <w:rPr>
                          <w:rFonts w:cs="Arial"/>
                          <w:i/>
                          <w:iCs/>
                          <w:sz w:val="22"/>
                          <w:u w:val="single"/>
                        </w:rPr>
                      </w:pPr>
                      <w:r w:rsidRPr="0029524B">
                        <w:rPr>
                          <w:rFonts w:cs="Arial"/>
                          <w:i/>
                          <w:iCs/>
                          <w:sz w:val="22"/>
                          <w:u w:val="single"/>
                        </w:rPr>
                        <w:t>Maternity Allowance</w:t>
                      </w:r>
                    </w:p>
                    <w:p w14:paraId="1337363C" w14:textId="77777777" w:rsidR="00164D57" w:rsidRPr="0029524B" w:rsidRDefault="00164D57" w:rsidP="00164D57">
                      <w:pPr>
                        <w:rPr>
                          <w:rFonts w:cs="Arial"/>
                          <w:sz w:val="22"/>
                        </w:rPr>
                      </w:pPr>
                    </w:p>
                    <w:p w14:paraId="48285B09" w14:textId="77777777" w:rsidR="00164D57" w:rsidRPr="0029524B" w:rsidRDefault="00164D57" w:rsidP="00164D57">
                      <w:pPr>
                        <w:rPr>
                          <w:rFonts w:cs="Arial"/>
                          <w:sz w:val="22"/>
                        </w:rPr>
                      </w:pPr>
                      <w:r w:rsidRPr="0029524B">
                        <w:rPr>
                          <w:rFonts w:cs="Arial"/>
                          <w:sz w:val="22"/>
                        </w:rPr>
                        <w:t xml:space="preserve">Eligible population for MA = Population size – Eligible population for SMP </w:t>
                      </w:r>
                    </w:p>
                    <w:p w14:paraId="4F394DCC" w14:textId="77777777" w:rsidR="00164D57" w:rsidRPr="0029524B" w:rsidRDefault="00164D57" w:rsidP="00164D57">
                      <w:pPr>
                        <w:rPr>
                          <w:rFonts w:cs="Arial"/>
                          <w:sz w:val="22"/>
                        </w:rPr>
                      </w:pPr>
                      <w:r w:rsidRPr="0029524B">
                        <w:rPr>
                          <w:rFonts w:cs="Arial"/>
                          <w:sz w:val="22"/>
                        </w:rPr>
                        <w:t>2,500 – 2,200  = 300</w:t>
                      </w:r>
                    </w:p>
                    <w:p w14:paraId="646A69AB" w14:textId="77777777" w:rsidR="00164D57" w:rsidRPr="0029524B" w:rsidRDefault="00164D57" w:rsidP="00164D57">
                      <w:pPr>
                        <w:rPr>
                          <w:rFonts w:cs="Arial"/>
                          <w:sz w:val="22"/>
                        </w:rPr>
                      </w:pPr>
                    </w:p>
                    <w:p w14:paraId="6164A7CD" w14:textId="297AF249" w:rsidR="00164D57" w:rsidRPr="0029524B" w:rsidRDefault="00164D57" w:rsidP="00164D57">
                      <w:pPr>
                        <w:rPr>
                          <w:rFonts w:cs="Arial"/>
                          <w:sz w:val="22"/>
                        </w:rPr>
                      </w:pPr>
                      <w:r w:rsidRPr="0029524B">
                        <w:rPr>
                          <w:rFonts w:cs="Arial"/>
                          <w:sz w:val="22"/>
                        </w:rPr>
                        <w:t>Value of Maternity Allowance = 39 weeks x £</w:t>
                      </w:r>
                      <w:r w:rsidR="00DF58AF" w:rsidRPr="0029524B">
                        <w:rPr>
                          <w:rFonts w:cs="Arial"/>
                          <w:sz w:val="22"/>
                        </w:rPr>
                        <w:t xml:space="preserve">156.66 </w:t>
                      </w:r>
                      <w:r w:rsidRPr="0029524B">
                        <w:rPr>
                          <w:rFonts w:cs="Arial"/>
                          <w:sz w:val="22"/>
                        </w:rPr>
                        <w:t>151.97 (statutory flat rate)</w:t>
                      </w:r>
                    </w:p>
                    <w:p w14:paraId="6D8645C7" w14:textId="77777777" w:rsidR="00164D57" w:rsidRPr="0029524B" w:rsidRDefault="00164D57" w:rsidP="00164D57">
                      <w:pPr>
                        <w:rPr>
                          <w:rFonts w:cs="Arial"/>
                          <w:sz w:val="22"/>
                        </w:rPr>
                      </w:pPr>
                      <w:r w:rsidRPr="0029524B">
                        <w:rPr>
                          <w:rFonts w:cs="Arial"/>
                          <w:sz w:val="22"/>
                        </w:rPr>
                        <w:t>39 x £156.66 = £6,100</w:t>
                      </w:r>
                    </w:p>
                    <w:p w14:paraId="532FC91F" w14:textId="77777777" w:rsidR="00164D57" w:rsidRPr="0029524B" w:rsidRDefault="00164D57" w:rsidP="00164D57">
                      <w:pPr>
                        <w:rPr>
                          <w:rFonts w:cs="Arial"/>
                          <w:sz w:val="22"/>
                        </w:rPr>
                      </w:pPr>
                    </w:p>
                    <w:p w14:paraId="6EF55563" w14:textId="1D778AFB" w:rsidR="001F1CBF" w:rsidRPr="0029524B" w:rsidRDefault="00164D57" w:rsidP="00164D57">
                      <w:pPr>
                        <w:rPr>
                          <w:rFonts w:cs="Arial"/>
                          <w:sz w:val="22"/>
                        </w:rPr>
                      </w:pPr>
                      <w:r w:rsidRPr="0029524B">
                        <w:rPr>
                          <w:rFonts w:cs="Arial"/>
                          <w:sz w:val="22"/>
                        </w:rPr>
                        <w:t>Total Maternity Allowance = Eligible Population for MA x Value of Maternity Allowance</w:t>
                      </w:r>
                    </w:p>
                    <w:p w14:paraId="175534F3" w14:textId="3100416B" w:rsidR="00164D57" w:rsidRPr="0029524B" w:rsidRDefault="00164D57" w:rsidP="00164D57">
                      <w:pPr>
                        <w:rPr>
                          <w:rFonts w:cs="Arial"/>
                          <w:sz w:val="22"/>
                        </w:rPr>
                      </w:pPr>
                      <w:r w:rsidRPr="0029524B">
                        <w:rPr>
                          <w:rFonts w:cs="Arial"/>
                          <w:sz w:val="22"/>
                        </w:rPr>
                        <w:t>300 x £</w:t>
                      </w:r>
                      <w:r w:rsidR="00DF58AF" w:rsidRPr="0029524B">
                        <w:rPr>
                          <w:rFonts w:cs="Arial"/>
                          <w:sz w:val="22"/>
                        </w:rPr>
                        <w:t>6,100</w:t>
                      </w:r>
                      <w:r w:rsidRPr="0029524B">
                        <w:rPr>
                          <w:rFonts w:cs="Arial"/>
                          <w:sz w:val="22"/>
                        </w:rPr>
                        <w:t xml:space="preserve"> = £1.8m</w:t>
                      </w:r>
                    </w:p>
                    <w:p w14:paraId="3ADD07BF" w14:textId="77777777" w:rsidR="00164D57" w:rsidRPr="0029524B" w:rsidRDefault="00164D57" w:rsidP="00164D57">
                      <w:pPr>
                        <w:rPr>
                          <w:rFonts w:cs="Arial"/>
                          <w:sz w:val="22"/>
                        </w:rPr>
                      </w:pPr>
                    </w:p>
                    <w:p w14:paraId="4C7F1070" w14:textId="7917FC7B" w:rsidR="00164D57" w:rsidRPr="00291AFF" w:rsidRDefault="00164D57" w:rsidP="00164D57">
                      <w:pPr>
                        <w:rPr>
                          <w:rFonts w:cs="Arial"/>
                          <w:b/>
                          <w:color w:val="000000"/>
                          <w:sz w:val="22"/>
                          <w:szCs w:val="22"/>
                          <w:u w:val="single"/>
                          <w:lang w:eastAsia="en-GB"/>
                        </w:rPr>
                      </w:pPr>
                      <w:r w:rsidRPr="00030595">
                        <w:rPr>
                          <w:b/>
                          <w:sz w:val="22"/>
                          <w:szCs w:val="22"/>
                          <w:u w:val="single"/>
                        </w:rPr>
                        <w:t xml:space="preserve">Net benefit of Statutory Maternity Pay </w:t>
                      </w:r>
                      <w:r w:rsidR="002D745F">
                        <w:rPr>
                          <w:b/>
                          <w:sz w:val="22"/>
                          <w:szCs w:val="22"/>
                          <w:u w:val="single"/>
                        </w:rPr>
                        <w:t>and</w:t>
                      </w:r>
                      <w:r w:rsidRPr="00030595">
                        <w:rPr>
                          <w:b/>
                          <w:sz w:val="22"/>
                          <w:szCs w:val="22"/>
                          <w:u w:val="single"/>
                        </w:rPr>
                        <w:t xml:space="preserve"> Maternity Allowance to mothers </w:t>
                      </w:r>
                      <w:r w:rsidR="002D745F">
                        <w:rPr>
                          <w:b/>
                          <w:sz w:val="22"/>
                          <w:szCs w:val="22"/>
                          <w:u w:val="single"/>
                        </w:rPr>
                        <w:t xml:space="preserve">following policy implementation </w:t>
                      </w:r>
                      <w:r w:rsidRPr="00030595">
                        <w:rPr>
                          <w:b/>
                          <w:sz w:val="22"/>
                          <w:szCs w:val="22"/>
                          <w:u w:val="single"/>
                        </w:rPr>
                        <w:t xml:space="preserve">= £16.3m </w:t>
                      </w:r>
                      <w:r w:rsidR="009354C6">
                        <w:rPr>
                          <w:b/>
                          <w:sz w:val="22"/>
                          <w:szCs w:val="22"/>
                          <w:u w:val="single"/>
                        </w:rPr>
                        <w:t>+</w:t>
                      </w:r>
                      <w:r w:rsidR="009354C6" w:rsidRPr="00030595">
                        <w:rPr>
                          <w:b/>
                          <w:sz w:val="22"/>
                          <w:szCs w:val="22"/>
                          <w:u w:val="single"/>
                        </w:rPr>
                        <w:t xml:space="preserve"> </w:t>
                      </w:r>
                      <w:r w:rsidRPr="00030595">
                        <w:rPr>
                          <w:b/>
                          <w:sz w:val="22"/>
                          <w:szCs w:val="22"/>
                          <w:u w:val="single"/>
                        </w:rPr>
                        <w:t>£1.</w:t>
                      </w:r>
                      <w:r w:rsidRPr="002D112B">
                        <w:rPr>
                          <w:b/>
                          <w:sz w:val="22"/>
                          <w:szCs w:val="22"/>
                          <w:u w:val="single"/>
                        </w:rPr>
                        <w:t xml:space="preserve">8m </w:t>
                      </w:r>
                      <w:r w:rsidR="002D745F" w:rsidRPr="002D112B">
                        <w:rPr>
                          <w:b/>
                          <w:sz w:val="22"/>
                          <w:szCs w:val="22"/>
                          <w:u w:val="single"/>
                        </w:rPr>
                        <w:t xml:space="preserve">= </w:t>
                      </w:r>
                      <w:r w:rsidR="002D112B" w:rsidRPr="002D112B">
                        <w:rPr>
                          <w:b/>
                          <w:sz w:val="22"/>
                          <w:szCs w:val="22"/>
                          <w:u w:val="single"/>
                        </w:rPr>
                        <w:t>£</w:t>
                      </w:r>
                      <w:r w:rsidR="002D745F" w:rsidRPr="002D112B">
                        <w:rPr>
                          <w:b/>
                          <w:sz w:val="22"/>
                          <w:szCs w:val="22"/>
                          <w:u w:val="single"/>
                        </w:rPr>
                        <w:t>18.</w:t>
                      </w:r>
                      <w:r w:rsidR="00880A80">
                        <w:rPr>
                          <w:b/>
                          <w:sz w:val="22"/>
                          <w:szCs w:val="22"/>
                          <w:u w:val="single"/>
                        </w:rPr>
                        <w:t>1</w:t>
                      </w:r>
                      <w:r w:rsidR="002D112B" w:rsidRPr="002D112B">
                        <w:rPr>
                          <w:b/>
                          <w:sz w:val="22"/>
                          <w:szCs w:val="22"/>
                          <w:u w:val="single"/>
                        </w:rPr>
                        <w:t>m</w:t>
                      </w:r>
                    </w:p>
                  </w:txbxContent>
                </v:textbox>
                <w10:anchorlock/>
              </v:shape>
            </w:pict>
          </mc:Fallback>
        </mc:AlternateContent>
      </w:r>
    </w:p>
    <w:p w14:paraId="011C630A" w14:textId="77777777" w:rsidR="00A4349D" w:rsidRPr="00E639A0" w:rsidRDefault="00A4349D" w:rsidP="00A4349D">
      <w:pPr>
        <w:pStyle w:val="ListParagraph"/>
        <w:rPr>
          <w:rFonts w:cs="Arial"/>
        </w:rPr>
      </w:pPr>
    </w:p>
    <w:p w14:paraId="4C1F2D2D" w14:textId="03B9C375" w:rsidR="00B414DC" w:rsidRPr="00E639A0" w:rsidRDefault="00B414DC" w:rsidP="00516D5E">
      <w:pPr>
        <w:pStyle w:val="ListParagraph"/>
        <w:numPr>
          <w:ilvl w:val="0"/>
          <w:numId w:val="7"/>
        </w:numPr>
        <w:rPr>
          <w:rFonts w:cs="Arial"/>
        </w:rPr>
      </w:pPr>
      <w:r w:rsidRPr="00E639A0">
        <w:rPr>
          <w:rFonts w:cs="Arial"/>
        </w:rPr>
        <w:t>For pregnant women no longer made redundant, we assume that this entire group would have claimed Maternity Allowance (MA)</w:t>
      </w:r>
      <w:r w:rsidR="001C3A26" w:rsidRPr="00E639A0">
        <w:rPr>
          <w:rFonts w:cs="Arial"/>
        </w:rPr>
        <w:t xml:space="preserve"> previously. </w:t>
      </w:r>
      <w:r w:rsidR="00AE118D" w:rsidRPr="00E639A0">
        <w:rPr>
          <w:rFonts w:cs="Arial"/>
        </w:rPr>
        <w:t xml:space="preserve">These </w:t>
      </w:r>
      <w:r w:rsidR="00364011" w:rsidRPr="00E639A0">
        <w:rPr>
          <w:rFonts w:cs="Arial"/>
        </w:rPr>
        <w:t>payments</w:t>
      </w:r>
      <w:r w:rsidR="00AE118D" w:rsidRPr="00E639A0">
        <w:rPr>
          <w:rFonts w:cs="Arial"/>
        </w:rPr>
        <w:t xml:space="preserve"> are calculated by taking the statutory pay rate for maternity allowance and assum</w:t>
      </w:r>
      <w:r w:rsidR="00030595" w:rsidRPr="00E639A0">
        <w:rPr>
          <w:rFonts w:cs="Arial"/>
        </w:rPr>
        <w:t>ing</w:t>
      </w:r>
      <w:r w:rsidR="00AE118D" w:rsidRPr="00E639A0">
        <w:rPr>
          <w:rFonts w:cs="Arial"/>
        </w:rPr>
        <w:t xml:space="preserve"> all pregnant women previously made redundant would have claimed this for the entire 39 weeks (this implicitly assumes that the employee will not secure alternative employment following their redundancy in the first 9 months after having a baby).</w:t>
      </w:r>
      <w:r w:rsidR="00840D9E" w:rsidRPr="00E639A0">
        <w:rPr>
          <w:rFonts w:cs="Arial"/>
        </w:rPr>
        <w:t xml:space="preserve"> </w:t>
      </w:r>
    </w:p>
    <w:p w14:paraId="018FECE4" w14:textId="77777777" w:rsidR="002267B1" w:rsidRPr="00E639A0" w:rsidRDefault="002267B1" w:rsidP="002267B1">
      <w:pPr>
        <w:rPr>
          <w:rFonts w:cs="Arial"/>
        </w:rPr>
      </w:pPr>
    </w:p>
    <w:p w14:paraId="0A7D2CC8" w14:textId="6E33182C" w:rsidR="002267B1" w:rsidRPr="00E639A0" w:rsidRDefault="002267B1" w:rsidP="002267B1">
      <w:pPr>
        <w:pStyle w:val="Heading4"/>
        <w:rPr>
          <w:b w:val="0"/>
          <w:sz w:val="24"/>
          <w:szCs w:val="24"/>
        </w:rPr>
      </w:pPr>
      <w:r w:rsidRPr="00E639A0">
        <w:rPr>
          <w:sz w:val="24"/>
          <w:szCs w:val="24"/>
        </w:rPr>
        <w:t xml:space="preserve">Table </w:t>
      </w:r>
      <w:r w:rsidR="007A306B" w:rsidRPr="00E639A0">
        <w:rPr>
          <w:sz w:val="24"/>
          <w:szCs w:val="24"/>
        </w:rPr>
        <w:t>4</w:t>
      </w:r>
      <w:r w:rsidRPr="00E639A0">
        <w:rPr>
          <w:sz w:val="24"/>
          <w:szCs w:val="24"/>
        </w:rPr>
        <w:t>: Maternity Allowance payments no longer paid</w:t>
      </w:r>
    </w:p>
    <w:p w14:paraId="7F2B98FE" w14:textId="77777777" w:rsidR="002267B1" w:rsidRPr="00E639A0" w:rsidRDefault="002267B1" w:rsidP="002267B1">
      <w:pPr>
        <w:pStyle w:val="ListParagraph"/>
        <w:rPr>
          <w:rFonts w:cs="Arial"/>
          <w:b/>
          <w:bCs/>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1188"/>
      </w:tblGrid>
      <w:tr w:rsidR="002267B1" w:rsidRPr="00E639A0" w14:paraId="7F30CB4D" w14:textId="77777777">
        <w:tc>
          <w:tcPr>
            <w:tcW w:w="4750" w:type="dxa"/>
          </w:tcPr>
          <w:p w14:paraId="46994C26" w14:textId="77777777" w:rsidR="002267B1" w:rsidRPr="00E639A0" w:rsidRDefault="002267B1">
            <w:pPr>
              <w:pStyle w:val="ListParagraph"/>
              <w:ind w:left="0"/>
              <w:rPr>
                <w:rFonts w:cs="Arial"/>
              </w:rPr>
            </w:pPr>
            <w:r w:rsidRPr="00E639A0">
              <w:rPr>
                <w:rFonts w:cs="Arial"/>
              </w:rPr>
              <w:t>Eligible population</w:t>
            </w:r>
          </w:p>
        </w:tc>
        <w:tc>
          <w:tcPr>
            <w:tcW w:w="1188" w:type="dxa"/>
          </w:tcPr>
          <w:p w14:paraId="020B1BA9" w14:textId="77777777" w:rsidR="002267B1" w:rsidRPr="00E639A0" w:rsidRDefault="002267B1">
            <w:pPr>
              <w:pStyle w:val="ListParagraph"/>
              <w:ind w:left="0"/>
              <w:jc w:val="right"/>
              <w:rPr>
                <w:rFonts w:cs="Arial"/>
              </w:rPr>
            </w:pPr>
            <w:r w:rsidRPr="00E639A0">
              <w:rPr>
                <w:rFonts w:cs="Arial"/>
              </w:rPr>
              <w:t>2,500</w:t>
            </w:r>
          </w:p>
        </w:tc>
      </w:tr>
      <w:tr w:rsidR="002267B1" w:rsidRPr="00E639A0" w14:paraId="666EECA9" w14:textId="77777777">
        <w:tc>
          <w:tcPr>
            <w:tcW w:w="4750" w:type="dxa"/>
          </w:tcPr>
          <w:p w14:paraId="0DF44FED" w14:textId="77777777" w:rsidR="002267B1" w:rsidRPr="00E639A0" w:rsidRDefault="002267B1">
            <w:pPr>
              <w:pStyle w:val="ListParagraph"/>
              <w:ind w:left="0"/>
              <w:rPr>
                <w:rFonts w:cs="Arial"/>
              </w:rPr>
            </w:pPr>
            <w:r w:rsidRPr="00E639A0">
              <w:rPr>
                <w:rFonts w:cs="Arial"/>
              </w:rPr>
              <w:t>Unit Cost of MA (£156.66 per week for 39 weeks)</w:t>
            </w:r>
          </w:p>
        </w:tc>
        <w:tc>
          <w:tcPr>
            <w:tcW w:w="1188" w:type="dxa"/>
          </w:tcPr>
          <w:p w14:paraId="70AAE061" w14:textId="1F05C786" w:rsidR="002267B1" w:rsidRPr="00E639A0" w:rsidRDefault="002267B1">
            <w:pPr>
              <w:pStyle w:val="ListParagraph"/>
              <w:ind w:left="0"/>
              <w:jc w:val="right"/>
              <w:rPr>
                <w:rFonts w:cs="Arial"/>
              </w:rPr>
            </w:pPr>
            <w:r w:rsidRPr="00E639A0">
              <w:rPr>
                <w:rFonts w:cs="Arial"/>
              </w:rPr>
              <w:t>£6,1</w:t>
            </w:r>
            <w:r w:rsidR="0033614C" w:rsidRPr="00E639A0">
              <w:rPr>
                <w:rFonts w:cs="Arial"/>
              </w:rPr>
              <w:t>0</w:t>
            </w:r>
            <w:r w:rsidRPr="00E639A0">
              <w:rPr>
                <w:rFonts w:cs="Arial"/>
              </w:rPr>
              <w:t>0</w:t>
            </w:r>
          </w:p>
        </w:tc>
      </w:tr>
      <w:tr w:rsidR="002267B1" w:rsidRPr="00E639A0" w14:paraId="1B395F4F" w14:textId="77777777">
        <w:tc>
          <w:tcPr>
            <w:tcW w:w="4750" w:type="dxa"/>
          </w:tcPr>
          <w:p w14:paraId="487A0050" w14:textId="77777777" w:rsidR="002267B1" w:rsidRPr="00E639A0" w:rsidRDefault="002267B1">
            <w:pPr>
              <w:pStyle w:val="ListParagraph"/>
              <w:ind w:left="0"/>
              <w:rPr>
                <w:rFonts w:cs="Arial"/>
              </w:rPr>
            </w:pPr>
            <w:r w:rsidRPr="00E639A0">
              <w:rPr>
                <w:rFonts w:cs="Arial"/>
              </w:rPr>
              <w:t>Total Savings of not having to pay MA</w:t>
            </w:r>
          </w:p>
        </w:tc>
        <w:tc>
          <w:tcPr>
            <w:tcW w:w="1188" w:type="dxa"/>
          </w:tcPr>
          <w:p w14:paraId="0B6ACCA4" w14:textId="7A1DCA33" w:rsidR="002267B1" w:rsidRPr="00E639A0" w:rsidRDefault="002267B1">
            <w:pPr>
              <w:pStyle w:val="ListParagraph"/>
              <w:ind w:left="0"/>
              <w:jc w:val="right"/>
              <w:rPr>
                <w:rFonts w:cs="Arial"/>
              </w:rPr>
            </w:pPr>
            <w:r w:rsidRPr="00E639A0">
              <w:rPr>
                <w:rFonts w:cs="Arial"/>
              </w:rPr>
              <w:t>£15.</w:t>
            </w:r>
            <w:r w:rsidR="00584B91" w:rsidRPr="00E639A0">
              <w:rPr>
                <w:rFonts w:cs="Arial"/>
              </w:rPr>
              <w:t>1</w:t>
            </w:r>
            <w:r w:rsidRPr="00E639A0">
              <w:rPr>
                <w:rFonts w:cs="Arial"/>
              </w:rPr>
              <w:t>m</w:t>
            </w:r>
          </w:p>
        </w:tc>
      </w:tr>
    </w:tbl>
    <w:p w14:paraId="75F7818A" w14:textId="77777777" w:rsidR="002267B1" w:rsidRPr="00E639A0" w:rsidRDefault="002267B1" w:rsidP="0029524B">
      <w:pPr>
        <w:rPr>
          <w:rFonts w:cs="Arial"/>
        </w:rPr>
      </w:pPr>
    </w:p>
    <w:p w14:paraId="6989A1BC" w14:textId="77777777" w:rsidR="000F3361" w:rsidRPr="00E639A0" w:rsidRDefault="000F3361" w:rsidP="0029524B">
      <w:pPr>
        <w:pStyle w:val="ListParagraph"/>
        <w:rPr>
          <w:rFonts w:cs="Arial"/>
        </w:rPr>
      </w:pPr>
    </w:p>
    <w:p w14:paraId="3910252A" w14:textId="4D1C97C6" w:rsidR="00A4349D" w:rsidRPr="00E639A0" w:rsidRDefault="00A4349D" w:rsidP="00332DC0">
      <w:pPr>
        <w:pStyle w:val="ListParagraph"/>
        <w:numPr>
          <w:ilvl w:val="0"/>
          <w:numId w:val="7"/>
        </w:numPr>
        <w:rPr>
          <w:rFonts w:cs="Arial"/>
        </w:rPr>
      </w:pPr>
      <w:r w:rsidRPr="00E639A0">
        <w:rPr>
          <w:rFonts w:cs="Arial"/>
        </w:rPr>
        <w:t xml:space="preserve">The </w:t>
      </w:r>
      <w:r w:rsidR="00FB2F8B" w:rsidRPr="00E639A0">
        <w:rPr>
          <w:rFonts w:cs="Arial"/>
        </w:rPr>
        <w:t xml:space="preserve">net </w:t>
      </w:r>
      <w:r w:rsidRPr="00E639A0">
        <w:rPr>
          <w:rFonts w:cs="Arial"/>
        </w:rPr>
        <w:t xml:space="preserve">benefits </w:t>
      </w:r>
      <w:r w:rsidR="00FB2F8B" w:rsidRPr="00E639A0">
        <w:rPr>
          <w:rFonts w:cs="Arial"/>
        </w:rPr>
        <w:t xml:space="preserve">to individuals </w:t>
      </w:r>
      <w:r w:rsidRPr="00E639A0">
        <w:rPr>
          <w:rFonts w:cs="Arial"/>
        </w:rPr>
        <w:t xml:space="preserve">are estimated by calculating the </w:t>
      </w:r>
      <w:r w:rsidR="009B2F18" w:rsidRPr="00E639A0">
        <w:rPr>
          <w:rFonts w:cs="Arial"/>
        </w:rPr>
        <w:t>total</w:t>
      </w:r>
      <w:r w:rsidRPr="00E639A0">
        <w:rPr>
          <w:rFonts w:cs="Arial"/>
        </w:rPr>
        <w:t xml:space="preserve"> payments from maternity pay</w:t>
      </w:r>
      <w:r w:rsidR="009B2F18" w:rsidRPr="00E639A0">
        <w:rPr>
          <w:rFonts w:cs="Arial"/>
        </w:rPr>
        <w:t xml:space="preserve"> (</w:t>
      </w:r>
      <w:r w:rsidR="00660009" w:rsidRPr="00E639A0">
        <w:rPr>
          <w:rFonts w:cs="Arial"/>
        </w:rPr>
        <w:t>SMP and MA)</w:t>
      </w:r>
      <w:r w:rsidRPr="00E639A0">
        <w:rPr>
          <w:rFonts w:cs="Arial"/>
        </w:rPr>
        <w:t xml:space="preserve"> less maternity allowance</w:t>
      </w:r>
      <w:r w:rsidR="00660009" w:rsidRPr="00E639A0">
        <w:rPr>
          <w:rFonts w:cs="Arial"/>
        </w:rPr>
        <w:t xml:space="preserve"> prior to policy implementation</w:t>
      </w:r>
      <w:r w:rsidRPr="00E639A0">
        <w:rPr>
          <w:rFonts w:cs="Arial"/>
        </w:rPr>
        <w:t xml:space="preserve">, aggregated across all the women </w:t>
      </w:r>
      <w:r w:rsidR="002C7578" w:rsidRPr="00E639A0">
        <w:rPr>
          <w:rFonts w:cs="Arial"/>
        </w:rPr>
        <w:t xml:space="preserve">who </w:t>
      </w:r>
      <w:r w:rsidRPr="00E639A0">
        <w:rPr>
          <w:rFonts w:cs="Arial"/>
        </w:rPr>
        <w:t xml:space="preserve">would be protected from redundancy while pregnant. We </w:t>
      </w:r>
      <w:r w:rsidRPr="00E639A0">
        <w:rPr>
          <w:rFonts w:cs="Arial"/>
          <w:b/>
          <w:bCs/>
          <w:i/>
          <w:iCs/>
        </w:rPr>
        <w:t>estimate an annual benefit of £</w:t>
      </w:r>
      <w:r w:rsidR="00C62E0C" w:rsidRPr="00E639A0">
        <w:rPr>
          <w:rFonts w:cs="Arial"/>
          <w:b/>
          <w:bCs/>
          <w:i/>
          <w:iCs/>
        </w:rPr>
        <w:t>2.9m</w:t>
      </w:r>
      <w:r w:rsidRPr="00E639A0">
        <w:rPr>
          <w:rFonts w:cs="Arial"/>
          <w:b/>
          <w:bCs/>
          <w:i/>
          <w:iCs/>
        </w:rPr>
        <w:t xml:space="preserve"> per year to individuals from maternity payments less maternity allowance</w:t>
      </w:r>
      <w:r w:rsidRPr="00E639A0">
        <w:rPr>
          <w:rFonts w:cs="Arial"/>
        </w:rPr>
        <w:t>.</w:t>
      </w:r>
    </w:p>
    <w:p w14:paraId="3B6E8E62" w14:textId="77777777" w:rsidR="00A4349D" w:rsidRPr="00E639A0" w:rsidRDefault="00A4349D" w:rsidP="00A4349D">
      <w:pPr>
        <w:pStyle w:val="ListParagraph"/>
        <w:rPr>
          <w:rFonts w:cs="Arial"/>
        </w:rPr>
      </w:pPr>
    </w:p>
    <w:p w14:paraId="1B59078B" w14:textId="13A0538D" w:rsidR="00A4349D" w:rsidRPr="00E639A0" w:rsidRDefault="00A4349D" w:rsidP="00E46ED3">
      <w:pPr>
        <w:pStyle w:val="Heading4"/>
        <w:rPr>
          <w:sz w:val="24"/>
          <w:szCs w:val="24"/>
        </w:rPr>
      </w:pPr>
      <w:r w:rsidRPr="00E639A0">
        <w:rPr>
          <w:sz w:val="24"/>
          <w:szCs w:val="24"/>
        </w:rPr>
        <w:t xml:space="preserve">Table </w:t>
      </w:r>
      <w:r w:rsidR="007A306B" w:rsidRPr="00E639A0">
        <w:rPr>
          <w:sz w:val="24"/>
          <w:szCs w:val="24"/>
        </w:rPr>
        <w:t>5</w:t>
      </w:r>
      <w:r w:rsidRPr="00E639A0">
        <w:rPr>
          <w:sz w:val="24"/>
          <w:szCs w:val="24"/>
        </w:rPr>
        <w:t>: Individual benefits (Statutory Maternity Pay and Maternity Allowance)</w:t>
      </w:r>
    </w:p>
    <w:p w14:paraId="41830CFA" w14:textId="77777777" w:rsidR="00A4349D" w:rsidRPr="00E639A0" w:rsidRDefault="00A4349D" w:rsidP="00A4349D">
      <w:pPr>
        <w:pStyle w:val="ListParagraph"/>
        <w:rPr>
          <w:rFonts w:cs="Arial"/>
        </w:rPr>
      </w:pPr>
    </w:p>
    <w:tbl>
      <w:tblPr>
        <w:tblW w:w="5245" w:type="dxa"/>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77"/>
        <w:gridCol w:w="2268"/>
      </w:tblGrid>
      <w:tr w:rsidR="00A4349D" w:rsidRPr="00E639A0" w14:paraId="19863021" w14:textId="77777777" w:rsidTr="005142FC">
        <w:trPr>
          <w:trHeight w:val="288"/>
        </w:trPr>
        <w:tc>
          <w:tcPr>
            <w:tcW w:w="5245" w:type="dxa"/>
            <w:gridSpan w:val="2"/>
            <w:shd w:val="clear" w:color="000000" w:fill="BFBFBF"/>
            <w:noWrap/>
            <w:vAlign w:val="bottom"/>
            <w:hideMark/>
          </w:tcPr>
          <w:p w14:paraId="5B95B679" w14:textId="77777777" w:rsidR="00A4349D" w:rsidRPr="00E639A0" w:rsidRDefault="00A4349D">
            <w:pPr>
              <w:jc w:val="center"/>
              <w:rPr>
                <w:rFonts w:cs="Arial"/>
                <w:b/>
                <w:bCs/>
                <w:color w:val="000000"/>
                <w:lang w:eastAsia="en-GB"/>
              </w:rPr>
            </w:pPr>
            <w:r w:rsidRPr="00E639A0">
              <w:rPr>
                <w:rFonts w:cs="Arial"/>
                <w:b/>
                <w:bCs/>
                <w:color w:val="000000"/>
                <w:lang w:eastAsia="en-GB"/>
              </w:rPr>
              <w:t>Before Policy Implemented (Counterfactual)</w:t>
            </w:r>
          </w:p>
        </w:tc>
      </w:tr>
      <w:tr w:rsidR="00A4349D" w:rsidRPr="00E639A0" w14:paraId="43EC7902" w14:textId="77777777" w:rsidTr="005142FC">
        <w:trPr>
          <w:trHeight w:val="288"/>
        </w:trPr>
        <w:tc>
          <w:tcPr>
            <w:tcW w:w="2977" w:type="dxa"/>
            <w:shd w:val="clear" w:color="auto" w:fill="auto"/>
            <w:noWrap/>
            <w:vAlign w:val="bottom"/>
            <w:hideMark/>
          </w:tcPr>
          <w:p w14:paraId="4BF1123E" w14:textId="77777777" w:rsidR="00A4349D" w:rsidRPr="00E639A0" w:rsidRDefault="00A4349D">
            <w:pPr>
              <w:rPr>
                <w:rFonts w:cs="Arial"/>
                <w:color w:val="000000"/>
                <w:lang w:eastAsia="en-GB"/>
              </w:rPr>
            </w:pPr>
            <w:r w:rsidRPr="00E639A0">
              <w:rPr>
                <w:rFonts w:cs="Arial"/>
                <w:color w:val="000000"/>
                <w:lang w:eastAsia="en-GB"/>
              </w:rPr>
              <w:t>Maternity Allowance</w:t>
            </w:r>
          </w:p>
        </w:tc>
        <w:tc>
          <w:tcPr>
            <w:tcW w:w="2268" w:type="dxa"/>
            <w:shd w:val="clear" w:color="auto" w:fill="auto"/>
            <w:noWrap/>
            <w:vAlign w:val="bottom"/>
            <w:hideMark/>
          </w:tcPr>
          <w:p w14:paraId="7A55AD76" w14:textId="349A88C6" w:rsidR="00A4349D" w:rsidRPr="00E639A0" w:rsidRDefault="00A4349D">
            <w:pPr>
              <w:jc w:val="center"/>
              <w:rPr>
                <w:rFonts w:cs="Arial"/>
                <w:color w:val="000000"/>
                <w:lang w:eastAsia="en-GB"/>
              </w:rPr>
            </w:pPr>
            <w:r w:rsidRPr="00E639A0">
              <w:rPr>
                <w:rFonts w:cs="Arial"/>
                <w:color w:val="000000"/>
                <w:lang w:eastAsia="en-GB"/>
              </w:rPr>
              <w:t>£1</w:t>
            </w:r>
            <w:r w:rsidR="00762B90" w:rsidRPr="00E639A0">
              <w:rPr>
                <w:rFonts w:cs="Arial"/>
                <w:color w:val="000000"/>
                <w:lang w:eastAsia="en-GB"/>
              </w:rPr>
              <w:t>5.</w:t>
            </w:r>
            <w:r w:rsidR="00D70F01" w:rsidRPr="00E639A0">
              <w:rPr>
                <w:rFonts w:cs="Arial"/>
                <w:color w:val="000000"/>
                <w:lang w:eastAsia="en-GB"/>
              </w:rPr>
              <w:t>1</w:t>
            </w:r>
            <w:r w:rsidR="00B1247F" w:rsidRPr="00E639A0">
              <w:rPr>
                <w:rFonts w:cs="Arial"/>
                <w:color w:val="000000"/>
                <w:lang w:eastAsia="en-GB"/>
              </w:rPr>
              <w:t>m</w:t>
            </w:r>
          </w:p>
        </w:tc>
      </w:tr>
      <w:tr w:rsidR="00A4349D" w:rsidRPr="00E639A0" w14:paraId="36764C37" w14:textId="77777777" w:rsidTr="005142FC">
        <w:trPr>
          <w:trHeight w:val="288"/>
        </w:trPr>
        <w:tc>
          <w:tcPr>
            <w:tcW w:w="5245" w:type="dxa"/>
            <w:gridSpan w:val="2"/>
            <w:shd w:val="clear" w:color="000000" w:fill="BFBFBF"/>
            <w:noWrap/>
            <w:vAlign w:val="bottom"/>
            <w:hideMark/>
          </w:tcPr>
          <w:p w14:paraId="4CBE2AA1" w14:textId="77777777" w:rsidR="00A4349D" w:rsidRPr="00E639A0" w:rsidRDefault="00A4349D">
            <w:pPr>
              <w:jc w:val="center"/>
              <w:rPr>
                <w:rFonts w:cs="Arial"/>
                <w:b/>
                <w:bCs/>
                <w:color w:val="000000"/>
                <w:lang w:eastAsia="en-GB"/>
              </w:rPr>
            </w:pPr>
            <w:r w:rsidRPr="00E639A0">
              <w:rPr>
                <w:rFonts w:cs="Arial"/>
                <w:b/>
                <w:bCs/>
                <w:color w:val="000000"/>
                <w:lang w:eastAsia="en-GB"/>
              </w:rPr>
              <w:t>After Policy implemented</w:t>
            </w:r>
          </w:p>
        </w:tc>
      </w:tr>
      <w:tr w:rsidR="00A4349D" w:rsidRPr="00E639A0" w14:paraId="2A0C744E" w14:textId="77777777" w:rsidTr="005142FC">
        <w:trPr>
          <w:trHeight w:val="288"/>
        </w:trPr>
        <w:tc>
          <w:tcPr>
            <w:tcW w:w="2977" w:type="dxa"/>
            <w:shd w:val="clear" w:color="auto" w:fill="auto"/>
            <w:noWrap/>
            <w:vAlign w:val="bottom"/>
            <w:hideMark/>
          </w:tcPr>
          <w:p w14:paraId="735698C4" w14:textId="77777777" w:rsidR="00A4349D" w:rsidRPr="00E639A0" w:rsidRDefault="00A4349D">
            <w:pPr>
              <w:rPr>
                <w:rFonts w:cs="Arial"/>
                <w:color w:val="000000"/>
                <w:lang w:eastAsia="en-GB"/>
              </w:rPr>
            </w:pPr>
            <w:r w:rsidRPr="00E639A0">
              <w:rPr>
                <w:rFonts w:cs="Arial"/>
                <w:color w:val="000000"/>
                <w:lang w:eastAsia="en-GB"/>
              </w:rPr>
              <w:t>Statutory Maternity Pay</w:t>
            </w:r>
          </w:p>
        </w:tc>
        <w:tc>
          <w:tcPr>
            <w:tcW w:w="2268" w:type="dxa"/>
            <w:shd w:val="clear" w:color="auto" w:fill="auto"/>
            <w:noWrap/>
            <w:vAlign w:val="bottom"/>
            <w:hideMark/>
          </w:tcPr>
          <w:p w14:paraId="5C2F9FA5" w14:textId="1531DA90" w:rsidR="00A4349D" w:rsidRPr="00E639A0" w:rsidRDefault="00A4349D">
            <w:pPr>
              <w:jc w:val="center"/>
              <w:rPr>
                <w:rFonts w:cs="Arial"/>
                <w:color w:val="000000"/>
                <w:lang w:eastAsia="en-GB"/>
              </w:rPr>
            </w:pPr>
            <w:r w:rsidRPr="00E639A0">
              <w:rPr>
                <w:rFonts w:cs="Arial"/>
                <w:color w:val="000000"/>
                <w:lang w:eastAsia="en-GB"/>
              </w:rPr>
              <w:t>£1</w:t>
            </w:r>
            <w:r w:rsidR="009D72D4" w:rsidRPr="00E639A0">
              <w:rPr>
                <w:rFonts w:cs="Arial"/>
                <w:color w:val="000000"/>
                <w:lang w:eastAsia="en-GB"/>
              </w:rPr>
              <w:t>6.</w:t>
            </w:r>
            <w:r w:rsidR="002F7BF2" w:rsidRPr="00E639A0">
              <w:rPr>
                <w:rFonts w:cs="Arial"/>
                <w:color w:val="000000"/>
                <w:lang w:eastAsia="en-GB"/>
              </w:rPr>
              <w:t>3</w:t>
            </w:r>
            <w:r w:rsidR="00B1247F" w:rsidRPr="00E639A0">
              <w:rPr>
                <w:rFonts w:cs="Arial"/>
                <w:color w:val="000000"/>
                <w:lang w:eastAsia="en-GB"/>
              </w:rPr>
              <w:t>m</w:t>
            </w:r>
          </w:p>
        </w:tc>
      </w:tr>
      <w:tr w:rsidR="00A4349D" w:rsidRPr="00E639A0" w14:paraId="46829D65" w14:textId="77777777" w:rsidTr="005142FC">
        <w:trPr>
          <w:trHeight w:val="288"/>
        </w:trPr>
        <w:tc>
          <w:tcPr>
            <w:tcW w:w="2977" w:type="dxa"/>
            <w:shd w:val="clear" w:color="auto" w:fill="auto"/>
            <w:noWrap/>
            <w:vAlign w:val="bottom"/>
            <w:hideMark/>
          </w:tcPr>
          <w:p w14:paraId="3AD69560" w14:textId="77777777" w:rsidR="00A4349D" w:rsidRPr="00E639A0" w:rsidRDefault="00A4349D">
            <w:pPr>
              <w:rPr>
                <w:rFonts w:cs="Arial"/>
                <w:color w:val="000000"/>
                <w:lang w:eastAsia="en-GB"/>
              </w:rPr>
            </w:pPr>
            <w:r w:rsidRPr="00E639A0">
              <w:rPr>
                <w:rFonts w:cs="Arial"/>
                <w:color w:val="000000"/>
                <w:lang w:eastAsia="en-GB"/>
              </w:rPr>
              <w:t>Maternity Allowance</w:t>
            </w:r>
            <w:r w:rsidRPr="00E639A0">
              <w:rPr>
                <w:rStyle w:val="FootnoteReference"/>
                <w:rFonts w:cs="Arial"/>
                <w:color w:val="000000"/>
                <w:sz w:val="24"/>
                <w:lang w:eastAsia="en-GB"/>
              </w:rPr>
              <w:footnoteReference w:id="42"/>
            </w:r>
          </w:p>
        </w:tc>
        <w:tc>
          <w:tcPr>
            <w:tcW w:w="2268" w:type="dxa"/>
            <w:shd w:val="clear" w:color="auto" w:fill="auto"/>
            <w:noWrap/>
            <w:vAlign w:val="bottom"/>
            <w:hideMark/>
          </w:tcPr>
          <w:p w14:paraId="552D50D3" w14:textId="77777777" w:rsidR="00A4349D" w:rsidRPr="00E639A0" w:rsidRDefault="00A4349D">
            <w:pPr>
              <w:jc w:val="center"/>
              <w:rPr>
                <w:rFonts w:cs="Arial"/>
                <w:color w:val="000000"/>
                <w:lang w:eastAsia="en-GB"/>
              </w:rPr>
            </w:pPr>
            <w:r w:rsidRPr="00E639A0">
              <w:rPr>
                <w:rFonts w:cs="Arial"/>
                <w:color w:val="000000"/>
                <w:lang w:eastAsia="en-GB"/>
              </w:rPr>
              <w:t>£1.8m</w:t>
            </w:r>
          </w:p>
        </w:tc>
      </w:tr>
      <w:tr w:rsidR="006B0D06" w:rsidRPr="00E639A0" w14:paraId="173FE907" w14:textId="77777777" w:rsidTr="005142FC">
        <w:trPr>
          <w:trHeight w:val="288"/>
        </w:trPr>
        <w:tc>
          <w:tcPr>
            <w:tcW w:w="2977" w:type="dxa"/>
            <w:shd w:val="clear" w:color="auto" w:fill="auto"/>
            <w:noWrap/>
            <w:vAlign w:val="bottom"/>
          </w:tcPr>
          <w:p w14:paraId="306F81FC" w14:textId="3D08097F" w:rsidR="006B0D06" w:rsidRPr="00E639A0" w:rsidRDefault="006B0D06">
            <w:pPr>
              <w:rPr>
                <w:rFonts w:cs="Arial"/>
                <w:b/>
                <w:bCs/>
                <w:color w:val="000000"/>
                <w:lang w:eastAsia="en-GB"/>
              </w:rPr>
            </w:pPr>
            <w:r w:rsidRPr="00E639A0">
              <w:rPr>
                <w:rFonts w:cs="Arial"/>
                <w:b/>
                <w:bCs/>
                <w:color w:val="000000"/>
                <w:lang w:eastAsia="en-GB"/>
              </w:rPr>
              <w:t>Total (SMP + MA)</w:t>
            </w:r>
          </w:p>
        </w:tc>
        <w:tc>
          <w:tcPr>
            <w:tcW w:w="2268" w:type="dxa"/>
            <w:shd w:val="clear" w:color="auto" w:fill="auto"/>
            <w:noWrap/>
            <w:vAlign w:val="bottom"/>
          </w:tcPr>
          <w:p w14:paraId="40DA7178" w14:textId="1260588D" w:rsidR="006B0D06" w:rsidRPr="00E639A0" w:rsidRDefault="00AE70BB">
            <w:pPr>
              <w:jc w:val="center"/>
              <w:rPr>
                <w:rFonts w:cs="Arial"/>
                <w:b/>
                <w:bCs/>
                <w:color w:val="000000"/>
                <w:lang w:eastAsia="en-GB"/>
              </w:rPr>
            </w:pPr>
            <w:r w:rsidRPr="00E639A0">
              <w:rPr>
                <w:rFonts w:cs="Arial"/>
                <w:b/>
                <w:bCs/>
                <w:color w:val="000000"/>
                <w:lang w:eastAsia="en-GB"/>
              </w:rPr>
              <w:t>£18</w:t>
            </w:r>
            <w:r w:rsidR="00B1247F" w:rsidRPr="00E639A0">
              <w:rPr>
                <w:rFonts w:cs="Arial"/>
                <w:b/>
                <w:bCs/>
                <w:color w:val="000000"/>
                <w:lang w:eastAsia="en-GB"/>
              </w:rPr>
              <w:t>.1m</w:t>
            </w:r>
          </w:p>
        </w:tc>
      </w:tr>
      <w:tr w:rsidR="005142FC" w:rsidRPr="00E639A0" w14:paraId="4F0F83F8" w14:textId="77777777" w:rsidTr="005142FC">
        <w:trPr>
          <w:trHeight w:val="288"/>
        </w:trPr>
        <w:tc>
          <w:tcPr>
            <w:tcW w:w="5245" w:type="dxa"/>
            <w:gridSpan w:val="2"/>
            <w:shd w:val="clear" w:color="auto" w:fill="A6A6A6" w:themeFill="background1" w:themeFillShade="A6"/>
            <w:noWrap/>
            <w:vAlign w:val="bottom"/>
          </w:tcPr>
          <w:p w14:paraId="3DF73094" w14:textId="7890D0B9" w:rsidR="005142FC" w:rsidRPr="00E639A0" w:rsidRDefault="005142FC" w:rsidP="00EA6924">
            <w:pPr>
              <w:jc w:val="center"/>
              <w:rPr>
                <w:rFonts w:cs="Arial"/>
                <w:color w:val="000000"/>
                <w:lang w:eastAsia="en-GB"/>
              </w:rPr>
            </w:pPr>
            <w:r w:rsidRPr="00E639A0">
              <w:rPr>
                <w:rFonts w:cs="Arial"/>
                <w:b/>
                <w:bCs/>
                <w:color w:val="000000"/>
                <w:lang w:eastAsia="en-GB"/>
              </w:rPr>
              <w:t>Net benefit</w:t>
            </w:r>
          </w:p>
        </w:tc>
      </w:tr>
      <w:tr w:rsidR="00EA6924" w:rsidRPr="00E639A0" w14:paraId="70D18392" w14:textId="77777777" w:rsidTr="005142FC">
        <w:trPr>
          <w:trHeight w:val="288"/>
        </w:trPr>
        <w:tc>
          <w:tcPr>
            <w:tcW w:w="2977" w:type="dxa"/>
            <w:shd w:val="clear" w:color="auto" w:fill="auto"/>
            <w:noWrap/>
            <w:vAlign w:val="bottom"/>
          </w:tcPr>
          <w:p w14:paraId="2FB94B97" w14:textId="49D64EF2" w:rsidR="00EA6924" w:rsidRPr="00E639A0" w:rsidRDefault="00EA6924" w:rsidP="00EA6924">
            <w:pPr>
              <w:rPr>
                <w:rFonts w:cs="Arial"/>
                <w:b/>
                <w:bCs/>
                <w:color w:val="000000"/>
                <w:lang w:eastAsia="en-GB"/>
              </w:rPr>
            </w:pPr>
          </w:p>
        </w:tc>
        <w:tc>
          <w:tcPr>
            <w:tcW w:w="2268" w:type="dxa"/>
            <w:shd w:val="clear" w:color="auto" w:fill="auto"/>
            <w:noWrap/>
            <w:vAlign w:val="bottom"/>
          </w:tcPr>
          <w:p w14:paraId="72959DBE" w14:textId="4EBF185B" w:rsidR="00EA6924" w:rsidRPr="00E639A0" w:rsidRDefault="005142FC" w:rsidP="00EA6924">
            <w:pPr>
              <w:jc w:val="center"/>
              <w:rPr>
                <w:rFonts w:cs="Arial"/>
                <w:color w:val="000000"/>
                <w:lang w:eastAsia="en-GB"/>
              </w:rPr>
            </w:pPr>
            <w:r w:rsidRPr="00E639A0">
              <w:rPr>
                <w:rFonts w:cs="Arial"/>
                <w:color w:val="000000"/>
                <w:lang w:eastAsia="en-GB"/>
              </w:rPr>
              <w:t>£2.9m*</w:t>
            </w:r>
          </w:p>
        </w:tc>
      </w:tr>
    </w:tbl>
    <w:p w14:paraId="070D09C6" w14:textId="22F55C1A" w:rsidR="00BE677A" w:rsidRPr="00E639A0" w:rsidRDefault="004445F9" w:rsidP="00BE677A">
      <w:pPr>
        <w:rPr>
          <w:rFonts w:cs="Arial"/>
        </w:rPr>
      </w:pPr>
      <w:r w:rsidRPr="00E639A0">
        <w:rPr>
          <w:rFonts w:cs="Arial"/>
        </w:rPr>
        <w:t>*</w:t>
      </w:r>
      <w:r w:rsidR="00BE677A" w:rsidRPr="00E639A0">
        <w:rPr>
          <w:rFonts w:cs="Arial"/>
        </w:rPr>
        <w:t>*The figures may not sum due to round</w:t>
      </w:r>
      <w:r w:rsidR="00035536" w:rsidRPr="00E639A0">
        <w:rPr>
          <w:rFonts w:cs="Arial"/>
        </w:rPr>
        <w:t>ing</w:t>
      </w:r>
      <w:r w:rsidR="00BE677A" w:rsidRPr="00E639A0">
        <w:rPr>
          <w:rFonts w:cs="Arial"/>
        </w:rPr>
        <w:t>.</w:t>
      </w:r>
    </w:p>
    <w:p w14:paraId="57DD8A74" w14:textId="77777777" w:rsidR="005D05A2" w:rsidRPr="00E639A0" w:rsidRDefault="005D05A2" w:rsidP="00643AB0">
      <w:pPr>
        <w:pStyle w:val="EBBodyPara"/>
        <w:rPr>
          <w:b/>
          <w:sz w:val="24"/>
          <w:szCs w:val="24"/>
        </w:rPr>
      </w:pPr>
    </w:p>
    <w:p w14:paraId="4D2F9A51" w14:textId="3F602FC8" w:rsidR="00653C20" w:rsidRPr="00E639A0" w:rsidRDefault="0028638F" w:rsidP="00653C20">
      <w:pPr>
        <w:pStyle w:val="EBBodyPara"/>
        <w:rPr>
          <w:b/>
          <w:bCs w:val="0"/>
          <w:iCs/>
          <w:sz w:val="24"/>
          <w:szCs w:val="24"/>
          <w:u w:val="single"/>
        </w:rPr>
      </w:pPr>
      <w:r w:rsidRPr="00E639A0">
        <w:rPr>
          <w:b/>
          <w:bCs w:val="0"/>
          <w:iCs/>
          <w:sz w:val="24"/>
          <w:szCs w:val="24"/>
          <w:u w:val="single"/>
        </w:rPr>
        <w:t xml:space="preserve">iii) Exchequer benefit: </w:t>
      </w:r>
      <w:r w:rsidR="00653C20" w:rsidRPr="00E639A0">
        <w:rPr>
          <w:b/>
          <w:bCs w:val="0"/>
          <w:iCs/>
          <w:sz w:val="24"/>
          <w:szCs w:val="24"/>
          <w:u w:val="single"/>
        </w:rPr>
        <w:t>Savings from no longer paying Maternity Allowance</w:t>
      </w:r>
    </w:p>
    <w:p w14:paraId="36400299" w14:textId="22CB9E3C" w:rsidR="00653C20" w:rsidRPr="00E639A0" w:rsidRDefault="003C048E" w:rsidP="00332DC0">
      <w:pPr>
        <w:pStyle w:val="ListParagraph"/>
        <w:numPr>
          <w:ilvl w:val="0"/>
          <w:numId w:val="7"/>
        </w:numPr>
        <w:rPr>
          <w:rFonts w:cs="Arial"/>
        </w:rPr>
      </w:pPr>
      <w:r w:rsidRPr="00E639A0">
        <w:rPr>
          <w:rFonts w:cs="Arial"/>
        </w:rPr>
        <w:t>As outlined above, f</w:t>
      </w:r>
      <w:r w:rsidR="00653C20" w:rsidRPr="00E639A0">
        <w:rPr>
          <w:rFonts w:cs="Arial"/>
        </w:rPr>
        <w:t xml:space="preserve">or pregnant women no longer made redundant, we assumed that this entire group would have MA, which is less generous than </w:t>
      </w:r>
      <w:r w:rsidR="00030595" w:rsidRPr="00E639A0">
        <w:rPr>
          <w:rFonts w:cs="Arial"/>
        </w:rPr>
        <w:t>SMP</w:t>
      </w:r>
      <w:r w:rsidR="00CA5764" w:rsidRPr="00E639A0">
        <w:rPr>
          <w:rFonts w:cs="Arial"/>
        </w:rPr>
        <w:t xml:space="preserve">. These are </w:t>
      </w:r>
      <w:r w:rsidR="00653C20" w:rsidRPr="00E639A0">
        <w:rPr>
          <w:rFonts w:cs="Arial"/>
        </w:rPr>
        <w:t xml:space="preserve">both Exchequer costs (for SMP employers can reclaim the costs from Government). Under the proposed option, these women who are protected under the enhanced redundancy protection will no longer claim MA and instead be entitled to SMP. Therefore, we </w:t>
      </w:r>
      <w:r w:rsidR="00473C3D" w:rsidRPr="00E639A0">
        <w:rPr>
          <w:rFonts w:cs="Arial"/>
        </w:rPr>
        <w:t>include</w:t>
      </w:r>
      <w:r w:rsidR="00653C20" w:rsidRPr="00E639A0">
        <w:rPr>
          <w:rFonts w:cs="Arial"/>
        </w:rPr>
        <w:t xml:space="preserve"> the savings to the Exchequer from no longer incurring the costs associated with MA (the costs incurred from Statutory Maternity Pay are calculated separately).</w:t>
      </w:r>
    </w:p>
    <w:p w14:paraId="50B07402" w14:textId="77777777" w:rsidR="00653C20" w:rsidRPr="00E639A0" w:rsidRDefault="00653C20" w:rsidP="00653C20">
      <w:pPr>
        <w:pStyle w:val="ListParagraph"/>
        <w:rPr>
          <w:rFonts w:cs="Arial"/>
        </w:rPr>
      </w:pPr>
    </w:p>
    <w:p w14:paraId="1C5F550F" w14:textId="5EB0306F" w:rsidR="00653C20" w:rsidRPr="00E639A0" w:rsidRDefault="008B0B43" w:rsidP="00332DC0">
      <w:pPr>
        <w:pStyle w:val="ListParagraph"/>
        <w:numPr>
          <w:ilvl w:val="0"/>
          <w:numId w:val="7"/>
        </w:numPr>
        <w:rPr>
          <w:rFonts w:cs="Arial"/>
        </w:rPr>
      </w:pPr>
      <w:r w:rsidRPr="00E639A0">
        <w:rPr>
          <w:rFonts w:cs="Arial"/>
        </w:rPr>
        <w:t xml:space="preserve">Using the calculations </w:t>
      </w:r>
      <w:r w:rsidR="000A0AB2" w:rsidRPr="00E639A0">
        <w:rPr>
          <w:rFonts w:cs="Arial"/>
        </w:rPr>
        <w:t>in Table 4</w:t>
      </w:r>
      <w:r w:rsidRPr="00E639A0">
        <w:rPr>
          <w:rFonts w:cs="Arial"/>
        </w:rPr>
        <w:t>, w</w:t>
      </w:r>
      <w:r w:rsidR="00653C20" w:rsidRPr="00E639A0">
        <w:rPr>
          <w:rFonts w:cs="Arial"/>
          <w:b/>
          <w:bCs/>
          <w:i/>
          <w:iCs/>
        </w:rPr>
        <w:t>e estimate annual savings to the Exchequer of £15.</w:t>
      </w:r>
      <w:r w:rsidR="00163154" w:rsidRPr="00E639A0">
        <w:rPr>
          <w:rFonts w:cs="Arial"/>
          <w:b/>
          <w:bCs/>
          <w:i/>
          <w:iCs/>
        </w:rPr>
        <w:t>1</w:t>
      </w:r>
      <w:r w:rsidR="009C564E" w:rsidRPr="00E639A0">
        <w:rPr>
          <w:rFonts w:cs="Arial"/>
          <w:b/>
          <w:bCs/>
          <w:i/>
          <w:iCs/>
        </w:rPr>
        <w:t xml:space="preserve">m </w:t>
      </w:r>
      <w:r w:rsidR="00653C20" w:rsidRPr="00E639A0">
        <w:rPr>
          <w:rFonts w:cs="Arial"/>
          <w:b/>
          <w:bCs/>
          <w:i/>
          <w:iCs/>
        </w:rPr>
        <w:t>per year.</w:t>
      </w:r>
      <w:r w:rsidR="00653C20" w:rsidRPr="00E639A0">
        <w:rPr>
          <w:rFonts w:cs="Arial"/>
        </w:rPr>
        <w:t xml:space="preserve"> </w:t>
      </w:r>
    </w:p>
    <w:p w14:paraId="0B6D43BB" w14:textId="77777777" w:rsidR="000D7DEF" w:rsidRPr="00E639A0" w:rsidRDefault="000D7DEF" w:rsidP="000D7DEF">
      <w:pPr>
        <w:pStyle w:val="EBBodyPara"/>
        <w:rPr>
          <w:sz w:val="24"/>
          <w:szCs w:val="24"/>
        </w:rPr>
      </w:pPr>
    </w:p>
    <w:p w14:paraId="5905D707" w14:textId="4CF99722" w:rsidR="00E474C3" w:rsidRPr="00E639A0" w:rsidRDefault="00643AB0" w:rsidP="00E474C3">
      <w:pPr>
        <w:pStyle w:val="EBBodyPara"/>
        <w:rPr>
          <w:b/>
          <w:sz w:val="24"/>
          <w:szCs w:val="24"/>
        </w:rPr>
      </w:pPr>
      <w:r w:rsidRPr="00E639A0">
        <w:rPr>
          <w:b/>
          <w:sz w:val="24"/>
          <w:szCs w:val="24"/>
        </w:rPr>
        <w:t>Summary of monetised costs and benefits</w:t>
      </w:r>
    </w:p>
    <w:p w14:paraId="50171324" w14:textId="77777777" w:rsidR="00E474C3" w:rsidRPr="00E639A0" w:rsidRDefault="00E474C3" w:rsidP="00E474C3">
      <w:pPr>
        <w:ind w:left="720"/>
        <w:textAlignment w:val="baseline"/>
        <w:rPr>
          <w:rFonts w:cs="Arial"/>
          <w:lang w:eastAsia="en-GB"/>
        </w:rPr>
      </w:pPr>
      <w:r w:rsidRPr="00E639A0">
        <w:rPr>
          <w:rFonts w:cs="Arial"/>
          <w:lang w:eastAsia="en-GB"/>
        </w:rPr>
        <w:t> </w:t>
      </w:r>
    </w:p>
    <w:p w14:paraId="20461FA0" w14:textId="0A4B8BA0" w:rsidR="00E474C3" w:rsidRPr="00E639A0" w:rsidRDefault="00E474C3" w:rsidP="00332DC0">
      <w:pPr>
        <w:pStyle w:val="ListParagraph"/>
        <w:numPr>
          <w:ilvl w:val="0"/>
          <w:numId w:val="7"/>
        </w:numPr>
        <w:textAlignment w:val="baseline"/>
        <w:rPr>
          <w:rFonts w:cs="Arial"/>
          <w:lang w:eastAsia="en-GB"/>
        </w:rPr>
      </w:pPr>
      <w:r w:rsidRPr="00E639A0">
        <w:rPr>
          <w:rFonts w:cs="Arial"/>
          <w:lang w:eastAsia="en-GB"/>
        </w:rPr>
        <w:t xml:space="preserve">Table </w:t>
      </w:r>
      <w:r w:rsidR="005530E0" w:rsidRPr="00E639A0">
        <w:rPr>
          <w:rFonts w:cs="Arial"/>
          <w:lang w:eastAsia="en-GB"/>
        </w:rPr>
        <w:t xml:space="preserve">6 </w:t>
      </w:r>
      <w:r w:rsidRPr="00E639A0">
        <w:rPr>
          <w:rFonts w:cs="Arial"/>
          <w:lang w:eastAsia="en-GB"/>
        </w:rPr>
        <w:t>shows all the monetised costs and benefits estimated for the IA. The largest cost component are the labour costs to businesses, which represent a direct transfer from businesses to pregnant and returning parents. </w:t>
      </w:r>
      <w:r w:rsidR="00CD717A" w:rsidRPr="00E639A0">
        <w:rPr>
          <w:rFonts w:cs="Arial"/>
          <w:lang w:eastAsia="en-GB"/>
        </w:rPr>
        <w:t>Low, central and high estimates are included for savings associated with reduced ET/EC costs</w:t>
      </w:r>
      <w:r w:rsidR="0013108D" w:rsidRPr="00E639A0">
        <w:rPr>
          <w:rFonts w:cs="Arial"/>
          <w:lang w:eastAsia="en-GB"/>
        </w:rPr>
        <w:t>.</w:t>
      </w:r>
    </w:p>
    <w:p w14:paraId="0383F37A" w14:textId="658A4A1B" w:rsidR="005530E0" w:rsidRPr="00E639A0" w:rsidRDefault="005530E0" w:rsidP="005530E0">
      <w:pPr>
        <w:pStyle w:val="Heading4"/>
        <w:rPr>
          <w:sz w:val="24"/>
          <w:szCs w:val="24"/>
        </w:rPr>
      </w:pPr>
      <w:r w:rsidRPr="00E639A0">
        <w:rPr>
          <w:sz w:val="24"/>
          <w:szCs w:val="24"/>
        </w:rPr>
        <w:t>Table 6 – NPV of monetised costs and benefits from consolidating redundancy protections (for pregnant women and new parents returning from maternity/adoption/shared parental leave)</w:t>
      </w:r>
      <w:r w:rsidR="00477200" w:rsidRPr="00E639A0">
        <w:rPr>
          <w:sz w:val="24"/>
          <w:szCs w:val="24"/>
        </w:rPr>
        <w:t xml:space="preserve"> for 10 year appraisal period</w:t>
      </w:r>
      <w:r w:rsidRPr="00E639A0">
        <w:rPr>
          <w:sz w:val="24"/>
          <w:szCs w:val="24"/>
        </w:rPr>
        <w:t>, 2019 prices</w:t>
      </w:r>
    </w:p>
    <w:p w14:paraId="3D3804E8" w14:textId="77777777" w:rsidR="00E474C3" w:rsidRPr="00E639A0" w:rsidRDefault="00E474C3" w:rsidP="00E474C3">
      <w:pPr>
        <w:ind w:left="1080"/>
        <w:textAlignment w:val="baseline"/>
        <w:rPr>
          <w:rFonts w:cs="Arial"/>
          <w:lang w:eastAsia="en-GB"/>
        </w:rPr>
      </w:pPr>
      <w:r w:rsidRPr="00E639A0">
        <w:rPr>
          <w:rFonts w:cs="Arial"/>
          <w:lang w:eastAsia="en-GB"/>
        </w:rPr>
        <w:t> </w:t>
      </w:r>
    </w:p>
    <w:tbl>
      <w:tblPr>
        <w:tblW w:w="1018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4"/>
        <w:gridCol w:w="2916"/>
        <w:gridCol w:w="2428"/>
        <w:gridCol w:w="2471"/>
      </w:tblGrid>
      <w:tr w:rsidR="00E474C3" w:rsidRPr="00E639A0" w14:paraId="12B08E26" w14:textId="77777777" w:rsidTr="005530E0">
        <w:tc>
          <w:tcPr>
            <w:tcW w:w="2374" w:type="dxa"/>
            <w:tcBorders>
              <w:top w:val="single" w:sz="6" w:space="0" w:color="auto"/>
              <w:left w:val="single" w:sz="6" w:space="0" w:color="auto"/>
              <w:bottom w:val="single" w:sz="6" w:space="0" w:color="auto"/>
              <w:right w:val="single" w:sz="6" w:space="0" w:color="auto"/>
            </w:tcBorders>
            <w:shd w:val="clear" w:color="auto" w:fill="auto"/>
            <w:hideMark/>
          </w:tcPr>
          <w:p w14:paraId="40F4258F" w14:textId="77777777" w:rsidR="00E474C3" w:rsidRPr="00E639A0" w:rsidRDefault="00E474C3" w:rsidP="00B70A8D">
            <w:pPr>
              <w:textAlignment w:val="baseline"/>
              <w:rPr>
                <w:rFonts w:cs="Arial"/>
                <w:color w:val="000000"/>
                <w:lang w:eastAsia="en-GB"/>
              </w:rPr>
            </w:pPr>
            <w:r w:rsidRPr="00E639A0">
              <w:rPr>
                <w:rFonts w:cs="Arial"/>
                <w:color w:val="000000"/>
                <w:lang w:eastAsia="en-GB"/>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7151AF7F" w14:textId="77777777" w:rsidR="00E474C3" w:rsidRPr="00E639A0" w:rsidRDefault="00E474C3" w:rsidP="00B70A8D">
            <w:pPr>
              <w:jc w:val="center"/>
              <w:textAlignment w:val="baseline"/>
              <w:rPr>
                <w:rFonts w:cs="Arial"/>
                <w:color w:val="000000"/>
                <w:lang w:eastAsia="en-GB"/>
              </w:rPr>
            </w:pPr>
            <w:r w:rsidRPr="00E639A0">
              <w:rPr>
                <w:rFonts w:cs="Arial"/>
                <w:b/>
                <w:bCs/>
                <w:color w:val="000000"/>
                <w:lang w:eastAsia="en-GB"/>
              </w:rPr>
              <w:t>Low estimate</w:t>
            </w:r>
            <w:r w:rsidRPr="00E639A0">
              <w:rPr>
                <w:rFonts w:cs="Arial"/>
                <w:color w:val="000000"/>
                <w:lang w:eastAsia="en-GB"/>
              </w:rPr>
              <w:t> </w:t>
            </w:r>
          </w:p>
        </w:tc>
        <w:tc>
          <w:tcPr>
            <w:tcW w:w="2428" w:type="dxa"/>
            <w:tcBorders>
              <w:top w:val="single" w:sz="6" w:space="0" w:color="auto"/>
              <w:left w:val="single" w:sz="6" w:space="0" w:color="auto"/>
              <w:bottom w:val="single" w:sz="6" w:space="0" w:color="auto"/>
              <w:right w:val="single" w:sz="6" w:space="0" w:color="auto"/>
            </w:tcBorders>
            <w:shd w:val="clear" w:color="auto" w:fill="auto"/>
            <w:hideMark/>
          </w:tcPr>
          <w:p w14:paraId="65C67F17" w14:textId="77777777" w:rsidR="00E474C3" w:rsidRPr="00E639A0" w:rsidRDefault="00E474C3" w:rsidP="00B70A8D">
            <w:pPr>
              <w:jc w:val="center"/>
              <w:textAlignment w:val="baseline"/>
              <w:rPr>
                <w:rFonts w:cs="Arial"/>
                <w:color w:val="000000"/>
                <w:lang w:eastAsia="en-GB"/>
              </w:rPr>
            </w:pPr>
            <w:r w:rsidRPr="00E639A0">
              <w:rPr>
                <w:rFonts w:cs="Arial"/>
                <w:b/>
                <w:bCs/>
                <w:color w:val="000000"/>
                <w:lang w:eastAsia="en-GB"/>
              </w:rPr>
              <w:t>Central estimate</w:t>
            </w:r>
            <w:r w:rsidRPr="00E639A0">
              <w:rPr>
                <w:rFonts w:cs="Arial"/>
                <w:color w:val="000000"/>
                <w:lang w:eastAsia="en-GB"/>
              </w:rPr>
              <w:t> </w:t>
            </w:r>
          </w:p>
        </w:tc>
        <w:tc>
          <w:tcPr>
            <w:tcW w:w="2471" w:type="dxa"/>
            <w:tcBorders>
              <w:top w:val="single" w:sz="6" w:space="0" w:color="auto"/>
              <w:left w:val="single" w:sz="6" w:space="0" w:color="auto"/>
              <w:bottom w:val="single" w:sz="6" w:space="0" w:color="auto"/>
              <w:right w:val="single" w:sz="6" w:space="0" w:color="auto"/>
            </w:tcBorders>
            <w:shd w:val="clear" w:color="auto" w:fill="auto"/>
            <w:hideMark/>
          </w:tcPr>
          <w:p w14:paraId="0B067B30" w14:textId="77777777" w:rsidR="00E474C3" w:rsidRPr="00E639A0" w:rsidRDefault="00E474C3" w:rsidP="00B70A8D">
            <w:pPr>
              <w:jc w:val="center"/>
              <w:textAlignment w:val="baseline"/>
              <w:rPr>
                <w:rFonts w:cs="Arial"/>
                <w:color w:val="000000"/>
                <w:lang w:eastAsia="en-GB"/>
              </w:rPr>
            </w:pPr>
            <w:r w:rsidRPr="00E639A0">
              <w:rPr>
                <w:rFonts w:cs="Arial"/>
                <w:b/>
                <w:bCs/>
                <w:color w:val="000000"/>
                <w:lang w:eastAsia="en-GB"/>
              </w:rPr>
              <w:t>High Estimate</w:t>
            </w:r>
            <w:r w:rsidRPr="00E639A0">
              <w:rPr>
                <w:rFonts w:cs="Arial"/>
                <w:color w:val="000000"/>
                <w:lang w:eastAsia="en-GB"/>
              </w:rPr>
              <w:t> </w:t>
            </w:r>
          </w:p>
        </w:tc>
      </w:tr>
      <w:tr w:rsidR="00E474C3" w:rsidRPr="00E639A0" w14:paraId="22149805" w14:textId="77777777" w:rsidTr="00332DC0">
        <w:tc>
          <w:tcPr>
            <w:tcW w:w="10189"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1A49F3A4" w14:textId="77777777" w:rsidR="00E474C3" w:rsidRPr="00E639A0" w:rsidRDefault="00E474C3" w:rsidP="00B70A8D">
            <w:pPr>
              <w:textAlignment w:val="baseline"/>
              <w:rPr>
                <w:rFonts w:cs="Arial"/>
                <w:color w:val="000000"/>
                <w:lang w:eastAsia="en-GB"/>
              </w:rPr>
            </w:pPr>
            <w:r w:rsidRPr="00E639A0">
              <w:rPr>
                <w:rFonts w:cs="Arial"/>
                <w:color w:val="000000"/>
                <w:lang w:eastAsia="en-GB"/>
              </w:rPr>
              <w:t> </w:t>
            </w:r>
          </w:p>
        </w:tc>
      </w:tr>
      <w:tr w:rsidR="00E474C3" w:rsidRPr="00E639A0" w14:paraId="51DF6F53" w14:textId="77777777" w:rsidTr="00332DC0">
        <w:tc>
          <w:tcPr>
            <w:tcW w:w="10189" w:type="dxa"/>
            <w:gridSpan w:val="4"/>
            <w:tcBorders>
              <w:top w:val="single" w:sz="6" w:space="0" w:color="auto"/>
              <w:left w:val="single" w:sz="6" w:space="0" w:color="auto"/>
              <w:bottom w:val="single" w:sz="6" w:space="0" w:color="auto"/>
              <w:right w:val="single" w:sz="6" w:space="0" w:color="auto"/>
            </w:tcBorders>
            <w:shd w:val="clear" w:color="auto" w:fill="auto"/>
            <w:hideMark/>
          </w:tcPr>
          <w:p w14:paraId="0B18CF90" w14:textId="54EBB357" w:rsidR="00E474C3" w:rsidRPr="00E639A0" w:rsidRDefault="00E474C3" w:rsidP="00B70A8D">
            <w:pPr>
              <w:jc w:val="center"/>
              <w:textAlignment w:val="baseline"/>
              <w:rPr>
                <w:rFonts w:cs="Arial"/>
                <w:color w:val="000000"/>
                <w:lang w:eastAsia="en-GB"/>
              </w:rPr>
            </w:pPr>
            <w:r w:rsidRPr="00E639A0">
              <w:rPr>
                <w:rFonts w:cs="Arial"/>
                <w:b/>
                <w:bCs/>
                <w:color w:val="000000"/>
                <w:lang w:eastAsia="en-GB"/>
              </w:rPr>
              <w:t>Business Costs</w:t>
            </w:r>
            <w:r w:rsidRPr="00E639A0">
              <w:rPr>
                <w:rFonts w:cs="Arial"/>
                <w:color w:val="000000"/>
                <w:lang w:eastAsia="en-GB"/>
              </w:rPr>
              <w:t> </w:t>
            </w:r>
            <w:r w:rsidR="00BF56A2" w:rsidRPr="00E639A0">
              <w:rPr>
                <w:rFonts w:cs="Arial"/>
                <w:color w:val="000000"/>
                <w:lang w:eastAsia="en-GB"/>
              </w:rPr>
              <w:t>(NPV</w:t>
            </w:r>
            <w:r w:rsidR="00F04973" w:rsidRPr="00E639A0">
              <w:rPr>
                <w:rFonts w:cs="Arial"/>
                <w:color w:val="000000"/>
                <w:lang w:eastAsia="en-GB"/>
              </w:rPr>
              <w:t xml:space="preserve"> across</w:t>
            </w:r>
            <w:r w:rsidR="00467AE4" w:rsidRPr="00E639A0">
              <w:rPr>
                <w:rFonts w:cs="Arial"/>
                <w:color w:val="000000"/>
                <w:lang w:eastAsia="en-GB"/>
              </w:rPr>
              <w:t xml:space="preserve"> 10 year</w:t>
            </w:r>
            <w:r w:rsidR="00F04973" w:rsidRPr="00E639A0">
              <w:rPr>
                <w:rFonts w:cs="Arial"/>
                <w:color w:val="000000"/>
                <w:lang w:eastAsia="en-GB"/>
              </w:rPr>
              <w:t xml:space="preserve"> appraisal period</w:t>
            </w:r>
            <w:r w:rsidR="00481013" w:rsidRPr="00E639A0">
              <w:rPr>
                <w:rFonts w:cs="Arial"/>
                <w:color w:val="000000"/>
                <w:lang w:eastAsia="en-GB"/>
              </w:rPr>
              <w:t>, 2019 prices</w:t>
            </w:r>
            <w:r w:rsidR="00BF56A2" w:rsidRPr="00E639A0">
              <w:rPr>
                <w:rFonts w:cs="Arial"/>
                <w:color w:val="000000"/>
                <w:lang w:eastAsia="en-GB"/>
              </w:rPr>
              <w:t>)</w:t>
            </w:r>
          </w:p>
        </w:tc>
      </w:tr>
      <w:tr w:rsidR="00E474C3" w:rsidRPr="00E639A0" w14:paraId="419AFD54" w14:textId="77777777" w:rsidTr="005530E0">
        <w:tc>
          <w:tcPr>
            <w:tcW w:w="2374" w:type="dxa"/>
            <w:tcBorders>
              <w:top w:val="single" w:sz="6" w:space="0" w:color="auto"/>
              <w:left w:val="single" w:sz="6" w:space="0" w:color="auto"/>
              <w:bottom w:val="single" w:sz="6" w:space="0" w:color="auto"/>
              <w:right w:val="single" w:sz="6" w:space="0" w:color="auto"/>
            </w:tcBorders>
            <w:shd w:val="clear" w:color="auto" w:fill="auto"/>
            <w:hideMark/>
          </w:tcPr>
          <w:p w14:paraId="03BE9CD8" w14:textId="77777777" w:rsidR="00E474C3" w:rsidRPr="00E639A0" w:rsidRDefault="00E474C3" w:rsidP="00B70A8D">
            <w:pPr>
              <w:textAlignment w:val="baseline"/>
              <w:rPr>
                <w:rFonts w:cs="Arial"/>
                <w:color w:val="000000"/>
                <w:lang w:eastAsia="en-GB"/>
              </w:rPr>
            </w:pPr>
            <w:r w:rsidRPr="00E639A0">
              <w:rPr>
                <w:rFonts w:cs="Arial"/>
                <w:color w:val="000000"/>
                <w:lang w:eastAsia="en-GB"/>
              </w:rPr>
              <w:t>One-off (familiarisation costs)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4293CE34" w14:textId="753ABF26" w:rsidR="00E474C3" w:rsidRPr="00E639A0" w:rsidRDefault="00E474C3" w:rsidP="00B70A8D">
            <w:pPr>
              <w:jc w:val="center"/>
              <w:textAlignment w:val="baseline"/>
              <w:rPr>
                <w:rFonts w:cs="Arial"/>
                <w:color w:val="000000"/>
                <w:lang w:eastAsia="en-GB"/>
              </w:rPr>
            </w:pPr>
            <w:r w:rsidRPr="00E639A0">
              <w:rPr>
                <w:rFonts w:cs="Arial"/>
                <w:color w:val="000000"/>
                <w:lang w:eastAsia="en-GB"/>
              </w:rPr>
              <w:t>£30.4m </w:t>
            </w:r>
          </w:p>
        </w:tc>
        <w:tc>
          <w:tcPr>
            <w:tcW w:w="2428" w:type="dxa"/>
            <w:tcBorders>
              <w:top w:val="single" w:sz="6" w:space="0" w:color="auto"/>
              <w:left w:val="single" w:sz="6" w:space="0" w:color="auto"/>
              <w:bottom w:val="single" w:sz="6" w:space="0" w:color="auto"/>
              <w:right w:val="single" w:sz="6" w:space="0" w:color="auto"/>
            </w:tcBorders>
            <w:shd w:val="clear" w:color="auto" w:fill="auto"/>
            <w:hideMark/>
          </w:tcPr>
          <w:p w14:paraId="3B5A8286" w14:textId="77777777" w:rsidR="00E474C3" w:rsidRPr="00E639A0" w:rsidRDefault="00E474C3" w:rsidP="00B70A8D">
            <w:pPr>
              <w:jc w:val="center"/>
              <w:textAlignment w:val="baseline"/>
              <w:rPr>
                <w:rFonts w:cs="Arial"/>
                <w:color w:val="000000"/>
                <w:lang w:eastAsia="en-GB"/>
              </w:rPr>
            </w:pPr>
            <w:r w:rsidRPr="00E639A0">
              <w:rPr>
                <w:rFonts w:cs="Arial"/>
                <w:color w:val="000000"/>
                <w:lang w:eastAsia="en-GB"/>
              </w:rPr>
              <w:t>£30.4m </w:t>
            </w:r>
          </w:p>
        </w:tc>
        <w:tc>
          <w:tcPr>
            <w:tcW w:w="2471" w:type="dxa"/>
            <w:tcBorders>
              <w:top w:val="single" w:sz="6" w:space="0" w:color="auto"/>
              <w:left w:val="single" w:sz="6" w:space="0" w:color="auto"/>
              <w:bottom w:val="single" w:sz="6" w:space="0" w:color="auto"/>
              <w:right w:val="single" w:sz="6" w:space="0" w:color="auto"/>
            </w:tcBorders>
            <w:shd w:val="clear" w:color="auto" w:fill="auto"/>
            <w:hideMark/>
          </w:tcPr>
          <w:p w14:paraId="1A4E1C28" w14:textId="77777777" w:rsidR="00E474C3" w:rsidRPr="00E639A0" w:rsidRDefault="00E474C3" w:rsidP="00B70A8D">
            <w:pPr>
              <w:jc w:val="center"/>
              <w:textAlignment w:val="baseline"/>
              <w:rPr>
                <w:rFonts w:cs="Arial"/>
                <w:color w:val="000000"/>
                <w:lang w:eastAsia="en-GB"/>
              </w:rPr>
            </w:pPr>
            <w:r w:rsidRPr="00E639A0">
              <w:rPr>
                <w:rFonts w:cs="Arial"/>
                <w:color w:val="000000"/>
                <w:lang w:eastAsia="en-GB"/>
              </w:rPr>
              <w:t>£30.4m </w:t>
            </w:r>
          </w:p>
        </w:tc>
      </w:tr>
      <w:tr w:rsidR="00E474C3" w:rsidRPr="00E639A0" w14:paraId="72AC82FF" w14:textId="77777777" w:rsidTr="005530E0">
        <w:tc>
          <w:tcPr>
            <w:tcW w:w="2374" w:type="dxa"/>
            <w:tcBorders>
              <w:top w:val="single" w:sz="6" w:space="0" w:color="auto"/>
              <w:left w:val="single" w:sz="6" w:space="0" w:color="auto"/>
              <w:bottom w:val="single" w:sz="6" w:space="0" w:color="auto"/>
              <w:right w:val="single" w:sz="6" w:space="0" w:color="auto"/>
            </w:tcBorders>
            <w:shd w:val="clear" w:color="auto" w:fill="auto"/>
            <w:hideMark/>
          </w:tcPr>
          <w:p w14:paraId="11E61679" w14:textId="7E9AEB3D" w:rsidR="00E474C3" w:rsidRPr="00E639A0" w:rsidRDefault="00E474C3" w:rsidP="00B70A8D">
            <w:pPr>
              <w:textAlignment w:val="baseline"/>
              <w:rPr>
                <w:rFonts w:cs="Arial"/>
                <w:color w:val="000000"/>
                <w:lang w:eastAsia="en-GB"/>
              </w:rPr>
            </w:pPr>
            <w:r w:rsidRPr="00E639A0">
              <w:rPr>
                <w:rFonts w:cs="Arial"/>
                <w:i/>
                <w:iCs/>
                <w:color w:val="000000"/>
                <w:lang w:eastAsia="en-GB"/>
              </w:rPr>
              <w:t>Large employer contribution to maternity payments</w:t>
            </w:r>
            <w:r w:rsidRPr="00E639A0">
              <w:rPr>
                <w:rFonts w:cs="Arial"/>
                <w:color w:val="000000"/>
                <w:lang w:eastAsia="en-GB"/>
              </w:rPr>
              <w:t> </w:t>
            </w:r>
            <w:r w:rsidR="000A5174" w:rsidRPr="00E639A0">
              <w:rPr>
                <w:rFonts w:cs="Arial"/>
                <w:color w:val="000000"/>
                <w:lang w:eastAsia="en-GB"/>
              </w:rPr>
              <w:t xml:space="preserve">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42F8E484" w14:textId="268CB54F" w:rsidR="00E474C3" w:rsidRPr="00E639A0" w:rsidRDefault="00E474C3" w:rsidP="00B70A8D">
            <w:pPr>
              <w:jc w:val="center"/>
              <w:textAlignment w:val="baseline"/>
              <w:rPr>
                <w:rFonts w:cs="Arial"/>
                <w:color w:val="000000"/>
                <w:lang w:eastAsia="en-GB"/>
              </w:rPr>
            </w:pPr>
            <w:r w:rsidRPr="00E639A0">
              <w:rPr>
                <w:rFonts w:cs="Arial"/>
                <w:color w:val="000000"/>
                <w:lang w:eastAsia="en-GB"/>
              </w:rPr>
              <w:t>£</w:t>
            </w:r>
            <w:r w:rsidR="00C4225B" w:rsidRPr="00E639A0">
              <w:rPr>
                <w:rFonts w:cs="Arial"/>
                <w:color w:val="000000"/>
                <w:lang w:eastAsia="en-GB"/>
              </w:rPr>
              <w:t>7.7</w:t>
            </w:r>
            <w:r w:rsidR="00262E4B" w:rsidRPr="00E639A0">
              <w:rPr>
                <w:rFonts w:cs="Arial"/>
                <w:color w:val="000000"/>
                <w:lang w:eastAsia="en-GB"/>
              </w:rPr>
              <w:t>m</w:t>
            </w:r>
            <w:r w:rsidRPr="00E639A0">
              <w:rPr>
                <w:rFonts w:cs="Arial"/>
                <w:color w:val="000000"/>
                <w:lang w:eastAsia="en-GB"/>
              </w:rPr>
              <w:t> </w:t>
            </w:r>
          </w:p>
        </w:tc>
        <w:tc>
          <w:tcPr>
            <w:tcW w:w="2428" w:type="dxa"/>
            <w:tcBorders>
              <w:top w:val="single" w:sz="6" w:space="0" w:color="auto"/>
              <w:left w:val="single" w:sz="6" w:space="0" w:color="auto"/>
              <w:bottom w:val="single" w:sz="6" w:space="0" w:color="auto"/>
              <w:right w:val="single" w:sz="6" w:space="0" w:color="auto"/>
            </w:tcBorders>
            <w:shd w:val="clear" w:color="auto" w:fill="auto"/>
            <w:hideMark/>
          </w:tcPr>
          <w:p w14:paraId="61637D82" w14:textId="5485FC3A" w:rsidR="00E474C3" w:rsidRPr="00E639A0" w:rsidRDefault="00E474C3" w:rsidP="00B70A8D">
            <w:pPr>
              <w:jc w:val="center"/>
              <w:textAlignment w:val="baseline"/>
              <w:rPr>
                <w:rFonts w:cs="Arial"/>
                <w:color w:val="000000"/>
                <w:lang w:eastAsia="en-GB"/>
              </w:rPr>
            </w:pPr>
            <w:r w:rsidRPr="00E639A0">
              <w:rPr>
                <w:rFonts w:cs="Arial"/>
                <w:color w:val="000000"/>
                <w:lang w:eastAsia="en-GB"/>
              </w:rPr>
              <w:t>£</w:t>
            </w:r>
            <w:r w:rsidR="00262E4B" w:rsidRPr="00E639A0">
              <w:rPr>
                <w:rFonts w:cs="Arial"/>
                <w:color w:val="000000"/>
                <w:lang w:eastAsia="en-GB"/>
              </w:rPr>
              <w:t>7.7</w:t>
            </w:r>
            <w:r w:rsidRPr="00E639A0">
              <w:rPr>
                <w:rFonts w:cs="Arial"/>
                <w:color w:val="000000"/>
                <w:lang w:eastAsia="en-GB"/>
              </w:rPr>
              <w:t>m </w:t>
            </w:r>
          </w:p>
        </w:tc>
        <w:tc>
          <w:tcPr>
            <w:tcW w:w="2471" w:type="dxa"/>
            <w:tcBorders>
              <w:top w:val="single" w:sz="6" w:space="0" w:color="auto"/>
              <w:left w:val="single" w:sz="6" w:space="0" w:color="auto"/>
              <w:bottom w:val="single" w:sz="6" w:space="0" w:color="auto"/>
              <w:right w:val="single" w:sz="6" w:space="0" w:color="auto"/>
            </w:tcBorders>
            <w:shd w:val="clear" w:color="auto" w:fill="auto"/>
            <w:hideMark/>
          </w:tcPr>
          <w:p w14:paraId="40D2D119" w14:textId="332A0FF1" w:rsidR="00E474C3" w:rsidRPr="00E639A0" w:rsidRDefault="00E474C3" w:rsidP="00B70A8D">
            <w:pPr>
              <w:jc w:val="center"/>
              <w:textAlignment w:val="baseline"/>
              <w:rPr>
                <w:rFonts w:cs="Arial"/>
                <w:color w:val="000000"/>
                <w:lang w:eastAsia="en-GB"/>
              </w:rPr>
            </w:pPr>
            <w:r w:rsidRPr="00E639A0">
              <w:rPr>
                <w:rFonts w:cs="Arial"/>
                <w:color w:val="000000"/>
                <w:lang w:eastAsia="en-GB"/>
              </w:rPr>
              <w:t>£</w:t>
            </w:r>
            <w:r w:rsidR="00262E4B" w:rsidRPr="00E639A0">
              <w:rPr>
                <w:rFonts w:cs="Arial"/>
                <w:color w:val="000000"/>
                <w:lang w:eastAsia="en-GB"/>
              </w:rPr>
              <w:t>7.7</w:t>
            </w:r>
            <w:r w:rsidRPr="00E639A0">
              <w:rPr>
                <w:rFonts w:cs="Arial"/>
                <w:color w:val="000000"/>
                <w:lang w:eastAsia="en-GB"/>
              </w:rPr>
              <w:t>m </w:t>
            </w:r>
          </w:p>
        </w:tc>
      </w:tr>
      <w:tr w:rsidR="00E474C3" w:rsidRPr="00E639A0" w14:paraId="27931F15" w14:textId="77777777" w:rsidTr="005530E0">
        <w:tc>
          <w:tcPr>
            <w:tcW w:w="2374" w:type="dxa"/>
            <w:tcBorders>
              <w:top w:val="single" w:sz="6" w:space="0" w:color="auto"/>
              <w:left w:val="single" w:sz="6" w:space="0" w:color="auto"/>
              <w:bottom w:val="single" w:sz="6" w:space="0" w:color="auto"/>
              <w:right w:val="single" w:sz="6" w:space="0" w:color="auto"/>
            </w:tcBorders>
            <w:shd w:val="clear" w:color="auto" w:fill="auto"/>
            <w:hideMark/>
          </w:tcPr>
          <w:p w14:paraId="5F2A6573" w14:textId="2A0D16FC" w:rsidR="00E474C3" w:rsidRPr="00E639A0" w:rsidRDefault="00E474C3" w:rsidP="00B70A8D">
            <w:pPr>
              <w:textAlignment w:val="baseline"/>
              <w:rPr>
                <w:rFonts w:cs="Arial"/>
                <w:b/>
                <w:bCs/>
                <w:color w:val="000000"/>
                <w:lang w:eastAsia="en-GB"/>
              </w:rPr>
            </w:pPr>
            <w:r w:rsidRPr="00E639A0">
              <w:rPr>
                <w:rFonts w:cs="Arial"/>
                <w:b/>
                <w:bCs/>
                <w:color w:val="000000"/>
                <w:lang w:eastAsia="en-GB"/>
              </w:rPr>
              <w:t xml:space="preserve">Total </w:t>
            </w:r>
            <w:r w:rsidR="00DA6EA0" w:rsidRPr="00E639A0">
              <w:rPr>
                <w:rFonts w:cs="Arial"/>
                <w:b/>
                <w:bCs/>
                <w:color w:val="000000"/>
                <w:lang w:eastAsia="en-GB"/>
              </w:rPr>
              <w:t xml:space="preserve">business </w:t>
            </w:r>
            <w:r w:rsidRPr="00E639A0">
              <w:rPr>
                <w:rFonts w:cs="Arial"/>
                <w:b/>
                <w:bCs/>
                <w:color w:val="000000"/>
                <w:lang w:eastAsia="en-GB"/>
              </w:rPr>
              <w:t xml:space="preserve">costs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7882CD82" w14:textId="5337934B" w:rsidR="00E474C3" w:rsidRPr="00E639A0" w:rsidRDefault="00E474C3" w:rsidP="00B70A8D">
            <w:pPr>
              <w:jc w:val="center"/>
              <w:textAlignment w:val="baseline"/>
              <w:rPr>
                <w:rFonts w:cs="Arial"/>
                <w:b/>
                <w:bCs/>
                <w:color w:val="000000"/>
                <w:lang w:eastAsia="en-GB"/>
              </w:rPr>
            </w:pPr>
            <w:r w:rsidRPr="00E639A0">
              <w:rPr>
                <w:rFonts w:cs="Arial"/>
                <w:b/>
                <w:bCs/>
                <w:color w:val="000000"/>
                <w:lang w:eastAsia="en-GB"/>
              </w:rPr>
              <w:t>£3</w:t>
            </w:r>
            <w:r w:rsidR="0040593D" w:rsidRPr="00E639A0">
              <w:rPr>
                <w:rFonts w:cs="Arial"/>
                <w:b/>
                <w:bCs/>
                <w:color w:val="000000"/>
                <w:lang w:eastAsia="en-GB"/>
              </w:rPr>
              <w:t>8.</w:t>
            </w:r>
            <w:r w:rsidRPr="00E639A0">
              <w:rPr>
                <w:rFonts w:cs="Arial"/>
                <w:b/>
                <w:bCs/>
                <w:color w:val="000000"/>
                <w:lang w:eastAsia="en-GB"/>
              </w:rPr>
              <w:t>1m </w:t>
            </w:r>
          </w:p>
        </w:tc>
        <w:tc>
          <w:tcPr>
            <w:tcW w:w="2428" w:type="dxa"/>
            <w:tcBorders>
              <w:top w:val="single" w:sz="6" w:space="0" w:color="auto"/>
              <w:left w:val="single" w:sz="6" w:space="0" w:color="auto"/>
              <w:bottom w:val="single" w:sz="6" w:space="0" w:color="auto"/>
              <w:right w:val="single" w:sz="6" w:space="0" w:color="auto"/>
            </w:tcBorders>
            <w:shd w:val="clear" w:color="auto" w:fill="auto"/>
            <w:hideMark/>
          </w:tcPr>
          <w:p w14:paraId="4D12E12C" w14:textId="125DF86A" w:rsidR="00E474C3" w:rsidRPr="00E639A0" w:rsidRDefault="00C768F4" w:rsidP="00B70A8D">
            <w:pPr>
              <w:jc w:val="center"/>
              <w:textAlignment w:val="baseline"/>
              <w:rPr>
                <w:rFonts w:cs="Arial"/>
                <w:b/>
                <w:bCs/>
                <w:color w:val="000000"/>
                <w:lang w:eastAsia="en-GB"/>
              </w:rPr>
            </w:pPr>
            <w:r w:rsidRPr="00E639A0">
              <w:rPr>
                <w:rFonts w:cs="Arial"/>
                <w:b/>
                <w:bCs/>
                <w:color w:val="000000"/>
                <w:lang w:eastAsia="en-GB"/>
              </w:rPr>
              <w:t>£38.1m </w:t>
            </w:r>
          </w:p>
        </w:tc>
        <w:tc>
          <w:tcPr>
            <w:tcW w:w="2471" w:type="dxa"/>
            <w:tcBorders>
              <w:top w:val="single" w:sz="6" w:space="0" w:color="auto"/>
              <w:left w:val="single" w:sz="6" w:space="0" w:color="auto"/>
              <w:bottom w:val="single" w:sz="6" w:space="0" w:color="auto"/>
              <w:right w:val="single" w:sz="6" w:space="0" w:color="auto"/>
            </w:tcBorders>
            <w:shd w:val="clear" w:color="auto" w:fill="auto"/>
            <w:hideMark/>
          </w:tcPr>
          <w:p w14:paraId="68553304" w14:textId="0A4423AD" w:rsidR="00E474C3" w:rsidRPr="00E639A0" w:rsidRDefault="00C768F4" w:rsidP="00B70A8D">
            <w:pPr>
              <w:jc w:val="center"/>
              <w:textAlignment w:val="baseline"/>
              <w:rPr>
                <w:rFonts w:cs="Arial"/>
                <w:b/>
                <w:bCs/>
                <w:color w:val="000000"/>
                <w:lang w:eastAsia="en-GB"/>
              </w:rPr>
            </w:pPr>
            <w:r w:rsidRPr="00E639A0">
              <w:rPr>
                <w:rFonts w:cs="Arial"/>
                <w:b/>
                <w:bCs/>
                <w:color w:val="000000"/>
                <w:lang w:eastAsia="en-GB"/>
              </w:rPr>
              <w:t>£38.1m </w:t>
            </w:r>
          </w:p>
        </w:tc>
      </w:tr>
      <w:tr w:rsidR="00E474C3" w:rsidRPr="00E639A0" w14:paraId="21068914" w14:textId="77777777" w:rsidTr="00332DC0">
        <w:tc>
          <w:tcPr>
            <w:tcW w:w="10189" w:type="dxa"/>
            <w:gridSpan w:val="4"/>
            <w:tcBorders>
              <w:top w:val="single" w:sz="6" w:space="0" w:color="auto"/>
              <w:left w:val="single" w:sz="6" w:space="0" w:color="auto"/>
              <w:bottom w:val="single" w:sz="6" w:space="0" w:color="auto"/>
              <w:right w:val="single" w:sz="6" w:space="0" w:color="auto"/>
            </w:tcBorders>
            <w:shd w:val="clear" w:color="auto" w:fill="auto"/>
            <w:hideMark/>
          </w:tcPr>
          <w:p w14:paraId="521C416B" w14:textId="605CB863" w:rsidR="00E474C3" w:rsidRPr="00E639A0" w:rsidRDefault="00E474C3" w:rsidP="00B70A8D">
            <w:pPr>
              <w:jc w:val="center"/>
              <w:textAlignment w:val="baseline"/>
              <w:rPr>
                <w:rFonts w:cs="Arial"/>
                <w:color w:val="000000"/>
                <w:lang w:eastAsia="en-GB"/>
              </w:rPr>
            </w:pPr>
            <w:r w:rsidRPr="00E639A0">
              <w:rPr>
                <w:rFonts w:cs="Arial"/>
                <w:b/>
                <w:bCs/>
                <w:color w:val="000000"/>
                <w:lang w:eastAsia="en-GB"/>
              </w:rPr>
              <w:t>Business Benefits</w:t>
            </w:r>
            <w:r w:rsidRPr="00E639A0">
              <w:rPr>
                <w:rFonts w:cs="Arial"/>
                <w:color w:val="000000"/>
                <w:lang w:eastAsia="en-GB"/>
              </w:rPr>
              <w:t> </w:t>
            </w:r>
            <w:r w:rsidR="008E63A2" w:rsidRPr="00E639A0">
              <w:rPr>
                <w:rFonts w:cs="Arial"/>
                <w:color w:val="000000"/>
                <w:lang w:eastAsia="en-GB"/>
              </w:rPr>
              <w:t xml:space="preserve">(NPV across </w:t>
            </w:r>
            <w:r w:rsidR="002418B8" w:rsidRPr="00E639A0">
              <w:rPr>
                <w:rFonts w:cs="Arial"/>
                <w:color w:val="000000"/>
                <w:lang w:eastAsia="en-GB"/>
              </w:rPr>
              <w:t xml:space="preserve">10 year </w:t>
            </w:r>
            <w:r w:rsidR="008E63A2" w:rsidRPr="00E639A0">
              <w:rPr>
                <w:rFonts w:cs="Arial"/>
                <w:color w:val="000000"/>
                <w:lang w:eastAsia="en-GB"/>
              </w:rPr>
              <w:t>appraisal period, 2019 prices)</w:t>
            </w:r>
          </w:p>
        </w:tc>
      </w:tr>
      <w:tr w:rsidR="00E474C3" w:rsidRPr="00E639A0" w14:paraId="13CC83CE" w14:textId="77777777" w:rsidTr="005530E0">
        <w:tc>
          <w:tcPr>
            <w:tcW w:w="2374" w:type="dxa"/>
            <w:tcBorders>
              <w:top w:val="single" w:sz="6" w:space="0" w:color="auto"/>
              <w:left w:val="single" w:sz="6" w:space="0" w:color="auto"/>
              <w:bottom w:val="single" w:sz="6" w:space="0" w:color="auto"/>
              <w:right w:val="single" w:sz="6" w:space="0" w:color="auto"/>
            </w:tcBorders>
            <w:shd w:val="clear" w:color="auto" w:fill="auto"/>
            <w:hideMark/>
          </w:tcPr>
          <w:p w14:paraId="12C58AA0" w14:textId="02633A7C" w:rsidR="00E474C3" w:rsidRPr="00E639A0" w:rsidRDefault="00E474C3" w:rsidP="00B70A8D">
            <w:pPr>
              <w:textAlignment w:val="baseline"/>
              <w:rPr>
                <w:rFonts w:cs="Arial"/>
                <w:color w:val="000000"/>
                <w:lang w:eastAsia="en-GB"/>
              </w:rPr>
            </w:pPr>
            <w:r w:rsidRPr="00E639A0">
              <w:rPr>
                <w:rFonts w:cs="Arial"/>
                <w:i/>
                <w:iCs/>
                <w:color w:val="000000"/>
                <w:lang w:eastAsia="en-GB"/>
              </w:rPr>
              <w:t>Savings in costs for E</w:t>
            </w:r>
            <w:r w:rsidR="00C00771" w:rsidRPr="00E639A0">
              <w:rPr>
                <w:rFonts w:cs="Arial"/>
                <w:i/>
                <w:iCs/>
                <w:color w:val="000000"/>
                <w:lang w:eastAsia="en-GB"/>
              </w:rPr>
              <w:t>T</w:t>
            </w:r>
            <w:r w:rsidRPr="00E639A0">
              <w:rPr>
                <w:rFonts w:cs="Arial"/>
                <w:i/>
                <w:iCs/>
                <w:color w:val="000000"/>
                <w:lang w:eastAsia="en-GB"/>
              </w:rPr>
              <w:t>s and EC</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3F63E51B" w14:textId="77777777" w:rsidR="00E474C3" w:rsidRPr="00E639A0" w:rsidRDefault="00E474C3" w:rsidP="00B70A8D">
            <w:pPr>
              <w:jc w:val="center"/>
              <w:textAlignment w:val="baseline"/>
              <w:rPr>
                <w:rFonts w:cs="Arial"/>
                <w:color w:val="000000"/>
                <w:lang w:eastAsia="en-GB"/>
              </w:rPr>
            </w:pPr>
            <w:r w:rsidRPr="00E639A0">
              <w:rPr>
                <w:rFonts w:cs="Arial"/>
                <w:color w:val="000000"/>
                <w:lang w:eastAsia="en-GB"/>
              </w:rPr>
              <w:t>£0m </w:t>
            </w:r>
          </w:p>
        </w:tc>
        <w:tc>
          <w:tcPr>
            <w:tcW w:w="2428" w:type="dxa"/>
            <w:tcBorders>
              <w:top w:val="single" w:sz="6" w:space="0" w:color="auto"/>
              <w:left w:val="single" w:sz="6" w:space="0" w:color="auto"/>
              <w:bottom w:val="single" w:sz="6" w:space="0" w:color="auto"/>
              <w:right w:val="single" w:sz="6" w:space="0" w:color="auto"/>
            </w:tcBorders>
            <w:shd w:val="clear" w:color="auto" w:fill="auto"/>
            <w:hideMark/>
          </w:tcPr>
          <w:p w14:paraId="7659137F" w14:textId="0353FAC4" w:rsidR="00E474C3" w:rsidRPr="00E639A0" w:rsidRDefault="00E474C3" w:rsidP="00B70A8D">
            <w:pPr>
              <w:jc w:val="center"/>
              <w:textAlignment w:val="baseline"/>
              <w:rPr>
                <w:rFonts w:cs="Arial"/>
                <w:color w:val="000000"/>
                <w:lang w:eastAsia="en-GB"/>
              </w:rPr>
            </w:pPr>
            <w:r w:rsidRPr="00E639A0">
              <w:rPr>
                <w:rFonts w:cs="Arial"/>
                <w:color w:val="000000"/>
                <w:lang w:eastAsia="en-GB"/>
              </w:rPr>
              <w:t>£</w:t>
            </w:r>
            <w:r w:rsidR="00A803BA" w:rsidRPr="00E639A0">
              <w:rPr>
                <w:rFonts w:cs="Arial"/>
                <w:color w:val="000000"/>
                <w:lang w:eastAsia="en-GB"/>
              </w:rPr>
              <w:t>1.7m</w:t>
            </w:r>
            <w:r w:rsidRPr="00E639A0">
              <w:rPr>
                <w:rFonts w:cs="Arial"/>
                <w:color w:val="000000"/>
                <w:lang w:eastAsia="en-GB"/>
              </w:rPr>
              <w:t> </w:t>
            </w:r>
          </w:p>
        </w:tc>
        <w:tc>
          <w:tcPr>
            <w:tcW w:w="2471" w:type="dxa"/>
            <w:tcBorders>
              <w:top w:val="single" w:sz="6" w:space="0" w:color="auto"/>
              <w:left w:val="single" w:sz="6" w:space="0" w:color="auto"/>
              <w:bottom w:val="single" w:sz="6" w:space="0" w:color="auto"/>
              <w:right w:val="single" w:sz="6" w:space="0" w:color="auto"/>
            </w:tcBorders>
            <w:shd w:val="clear" w:color="auto" w:fill="auto"/>
            <w:hideMark/>
          </w:tcPr>
          <w:p w14:paraId="524DF568" w14:textId="47C7F40A" w:rsidR="00E474C3" w:rsidRPr="00E639A0" w:rsidRDefault="00E474C3" w:rsidP="00B70A8D">
            <w:pPr>
              <w:jc w:val="center"/>
              <w:textAlignment w:val="baseline"/>
              <w:rPr>
                <w:rFonts w:cs="Arial"/>
                <w:color w:val="000000"/>
                <w:lang w:eastAsia="en-GB"/>
              </w:rPr>
            </w:pPr>
            <w:r w:rsidRPr="00E639A0">
              <w:rPr>
                <w:rFonts w:cs="Arial"/>
                <w:color w:val="000000"/>
                <w:lang w:eastAsia="en-GB"/>
              </w:rPr>
              <w:t>£</w:t>
            </w:r>
            <w:r w:rsidR="00EE59B7" w:rsidRPr="00E639A0">
              <w:rPr>
                <w:rFonts w:cs="Arial"/>
                <w:color w:val="000000"/>
                <w:lang w:eastAsia="en-GB"/>
              </w:rPr>
              <w:t>4.3m</w:t>
            </w:r>
            <w:r w:rsidRPr="00E639A0">
              <w:rPr>
                <w:rFonts w:cs="Arial"/>
                <w:color w:val="000000"/>
                <w:lang w:eastAsia="en-GB"/>
              </w:rPr>
              <w:t> </w:t>
            </w:r>
          </w:p>
        </w:tc>
      </w:tr>
      <w:tr w:rsidR="001B01D1" w:rsidRPr="00E639A0" w14:paraId="3C41CC7B" w14:textId="77777777">
        <w:tc>
          <w:tcPr>
            <w:tcW w:w="10189" w:type="dxa"/>
            <w:gridSpan w:val="4"/>
            <w:tcBorders>
              <w:top w:val="single" w:sz="6" w:space="0" w:color="auto"/>
              <w:left w:val="single" w:sz="6" w:space="0" w:color="auto"/>
              <w:bottom w:val="single" w:sz="6" w:space="0" w:color="auto"/>
              <w:right w:val="single" w:sz="6" w:space="0" w:color="auto"/>
            </w:tcBorders>
            <w:shd w:val="clear" w:color="auto" w:fill="auto"/>
          </w:tcPr>
          <w:p w14:paraId="38D7721E" w14:textId="78DF9B9C" w:rsidR="001B01D1" w:rsidRPr="00E639A0" w:rsidRDefault="001B01D1" w:rsidP="00B70A8D">
            <w:pPr>
              <w:jc w:val="center"/>
              <w:textAlignment w:val="baseline"/>
              <w:rPr>
                <w:rFonts w:cs="Arial"/>
                <w:b/>
                <w:bCs/>
                <w:color w:val="000000"/>
                <w:lang w:eastAsia="en-GB"/>
              </w:rPr>
            </w:pPr>
            <w:r w:rsidRPr="00E639A0">
              <w:rPr>
                <w:rFonts w:cs="Arial"/>
                <w:b/>
                <w:bCs/>
                <w:color w:val="000000"/>
                <w:lang w:eastAsia="en-GB"/>
              </w:rPr>
              <w:t>Net Business</w:t>
            </w:r>
            <w:r w:rsidR="00DD5AF6" w:rsidRPr="00E639A0">
              <w:rPr>
                <w:rFonts w:cs="Arial"/>
                <w:b/>
                <w:bCs/>
                <w:color w:val="000000"/>
                <w:lang w:eastAsia="en-GB"/>
              </w:rPr>
              <w:t xml:space="preserve"> Impact</w:t>
            </w:r>
          </w:p>
        </w:tc>
      </w:tr>
      <w:tr w:rsidR="001B01D1" w:rsidRPr="00E639A0" w14:paraId="4811BAD6" w14:textId="77777777" w:rsidTr="005530E0">
        <w:tc>
          <w:tcPr>
            <w:tcW w:w="2374" w:type="dxa"/>
            <w:tcBorders>
              <w:top w:val="single" w:sz="6" w:space="0" w:color="auto"/>
              <w:left w:val="single" w:sz="6" w:space="0" w:color="auto"/>
              <w:bottom w:val="single" w:sz="6" w:space="0" w:color="auto"/>
              <w:right w:val="single" w:sz="6" w:space="0" w:color="auto"/>
            </w:tcBorders>
            <w:shd w:val="clear" w:color="auto" w:fill="auto"/>
          </w:tcPr>
          <w:p w14:paraId="1BE9008A" w14:textId="77777777" w:rsidR="001B01D1" w:rsidRPr="00E639A0" w:rsidRDefault="001B01D1" w:rsidP="00B70A8D">
            <w:pPr>
              <w:textAlignment w:val="baseline"/>
              <w:rPr>
                <w:rFonts w:cs="Arial"/>
                <w:b/>
                <w:bCs/>
                <w:i/>
                <w:iCs/>
                <w:color w:val="000000"/>
                <w:lang w:eastAsia="en-GB"/>
              </w:rPr>
            </w:pPr>
          </w:p>
        </w:tc>
        <w:tc>
          <w:tcPr>
            <w:tcW w:w="2916" w:type="dxa"/>
            <w:tcBorders>
              <w:top w:val="single" w:sz="6" w:space="0" w:color="auto"/>
              <w:left w:val="single" w:sz="6" w:space="0" w:color="auto"/>
              <w:bottom w:val="single" w:sz="6" w:space="0" w:color="auto"/>
              <w:right w:val="single" w:sz="6" w:space="0" w:color="auto"/>
            </w:tcBorders>
            <w:shd w:val="clear" w:color="auto" w:fill="auto"/>
          </w:tcPr>
          <w:p w14:paraId="54C681D4" w14:textId="2BC8399F" w:rsidR="001B01D1" w:rsidRPr="00E639A0" w:rsidRDefault="001A0E85" w:rsidP="00B70A8D">
            <w:pPr>
              <w:jc w:val="center"/>
              <w:textAlignment w:val="baseline"/>
              <w:rPr>
                <w:rFonts w:cs="Arial"/>
                <w:b/>
                <w:bCs/>
                <w:color w:val="000000"/>
                <w:lang w:eastAsia="en-GB"/>
              </w:rPr>
            </w:pPr>
            <w:r w:rsidRPr="00E639A0">
              <w:rPr>
                <w:rFonts w:cs="Arial"/>
                <w:b/>
                <w:bCs/>
                <w:color w:val="000000"/>
                <w:lang w:eastAsia="en-GB"/>
              </w:rPr>
              <w:t>-</w:t>
            </w:r>
            <w:r w:rsidR="0037295B" w:rsidRPr="00E639A0">
              <w:rPr>
                <w:rFonts w:cs="Arial"/>
                <w:b/>
                <w:bCs/>
                <w:color w:val="000000"/>
                <w:lang w:eastAsia="en-GB"/>
              </w:rPr>
              <w:t>£</w:t>
            </w:r>
            <w:r w:rsidR="008F7381" w:rsidRPr="00E639A0">
              <w:rPr>
                <w:rFonts w:cs="Arial"/>
                <w:b/>
                <w:bCs/>
                <w:color w:val="000000"/>
                <w:lang w:eastAsia="en-GB"/>
              </w:rPr>
              <w:t>38.1m</w:t>
            </w:r>
          </w:p>
        </w:tc>
        <w:tc>
          <w:tcPr>
            <w:tcW w:w="2428" w:type="dxa"/>
            <w:tcBorders>
              <w:top w:val="single" w:sz="6" w:space="0" w:color="auto"/>
              <w:left w:val="single" w:sz="6" w:space="0" w:color="auto"/>
              <w:bottom w:val="single" w:sz="6" w:space="0" w:color="auto"/>
              <w:right w:val="single" w:sz="6" w:space="0" w:color="auto"/>
            </w:tcBorders>
            <w:shd w:val="clear" w:color="auto" w:fill="auto"/>
          </w:tcPr>
          <w:p w14:paraId="5E6F77BB" w14:textId="59729C3E" w:rsidR="001B01D1" w:rsidRPr="00E639A0" w:rsidRDefault="008F7381" w:rsidP="00B70A8D">
            <w:pPr>
              <w:jc w:val="center"/>
              <w:textAlignment w:val="baseline"/>
              <w:rPr>
                <w:rFonts w:cs="Arial"/>
                <w:b/>
                <w:bCs/>
                <w:color w:val="000000"/>
                <w:lang w:eastAsia="en-GB"/>
              </w:rPr>
            </w:pPr>
            <w:r w:rsidRPr="00E639A0">
              <w:rPr>
                <w:rFonts w:cs="Arial"/>
                <w:b/>
                <w:bCs/>
                <w:color w:val="000000"/>
                <w:lang w:eastAsia="en-GB"/>
              </w:rPr>
              <w:t>-</w:t>
            </w:r>
            <w:r w:rsidR="001E2BAA" w:rsidRPr="00E639A0">
              <w:rPr>
                <w:rFonts w:cs="Arial"/>
                <w:b/>
                <w:bCs/>
                <w:color w:val="000000"/>
                <w:lang w:eastAsia="en-GB"/>
              </w:rPr>
              <w:t>£36.4m</w:t>
            </w:r>
          </w:p>
        </w:tc>
        <w:tc>
          <w:tcPr>
            <w:tcW w:w="2471" w:type="dxa"/>
            <w:tcBorders>
              <w:top w:val="single" w:sz="6" w:space="0" w:color="auto"/>
              <w:left w:val="single" w:sz="6" w:space="0" w:color="auto"/>
              <w:bottom w:val="single" w:sz="6" w:space="0" w:color="auto"/>
              <w:right w:val="single" w:sz="6" w:space="0" w:color="auto"/>
            </w:tcBorders>
            <w:shd w:val="clear" w:color="auto" w:fill="auto"/>
          </w:tcPr>
          <w:p w14:paraId="75513957" w14:textId="220159F8" w:rsidR="001B01D1" w:rsidRPr="00E639A0" w:rsidRDefault="001E2BAA" w:rsidP="00B70A8D">
            <w:pPr>
              <w:jc w:val="center"/>
              <w:textAlignment w:val="baseline"/>
              <w:rPr>
                <w:rFonts w:cs="Arial"/>
                <w:b/>
                <w:bCs/>
                <w:color w:val="000000"/>
                <w:lang w:eastAsia="en-GB"/>
              </w:rPr>
            </w:pPr>
            <w:r w:rsidRPr="00E639A0">
              <w:rPr>
                <w:rFonts w:cs="Arial"/>
                <w:b/>
                <w:bCs/>
                <w:color w:val="000000"/>
                <w:lang w:eastAsia="en-GB"/>
              </w:rPr>
              <w:t>-£</w:t>
            </w:r>
            <w:r w:rsidR="00C82F51" w:rsidRPr="00E639A0">
              <w:rPr>
                <w:rFonts w:cs="Arial"/>
                <w:b/>
                <w:bCs/>
                <w:color w:val="000000"/>
                <w:lang w:eastAsia="en-GB"/>
              </w:rPr>
              <w:t>33.8m</w:t>
            </w:r>
          </w:p>
        </w:tc>
      </w:tr>
      <w:tr w:rsidR="00E474C3" w:rsidRPr="00E639A0" w14:paraId="388940B9" w14:textId="77777777" w:rsidTr="00332DC0">
        <w:tc>
          <w:tcPr>
            <w:tcW w:w="10189"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27E93454" w14:textId="77777777" w:rsidR="00E474C3" w:rsidRPr="00E639A0" w:rsidRDefault="00E474C3" w:rsidP="00B70A8D">
            <w:pPr>
              <w:jc w:val="center"/>
              <w:textAlignment w:val="baseline"/>
              <w:rPr>
                <w:rFonts w:cs="Arial"/>
                <w:color w:val="000000"/>
                <w:lang w:eastAsia="en-GB"/>
              </w:rPr>
            </w:pPr>
            <w:r w:rsidRPr="00E639A0">
              <w:rPr>
                <w:rFonts w:cs="Arial"/>
                <w:color w:val="000000"/>
                <w:lang w:eastAsia="en-GB"/>
              </w:rPr>
              <w:t> </w:t>
            </w:r>
          </w:p>
        </w:tc>
      </w:tr>
      <w:tr w:rsidR="00E474C3" w:rsidRPr="00E639A0" w14:paraId="77C397F7" w14:textId="77777777" w:rsidTr="00332DC0">
        <w:tc>
          <w:tcPr>
            <w:tcW w:w="10189" w:type="dxa"/>
            <w:gridSpan w:val="4"/>
            <w:tcBorders>
              <w:top w:val="single" w:sz="6" w:space="0" w:color="auto"/>
              <w:left w:val="single" w:sz="6" w:space="0" w:color="auto"/>
              <w:bottom w:val="single" w:sz="6" w:space="0" w:color="auto"/>
              <w:right w:val="single" w:sz="6" w:space="0" w:color="auto"/>
            </w:tcBorders>
            <w:shd w:val="clear" w:color="auto" w:fill="auto"/>
            <w:hideMark/>
          </w:tcPr>
          <w:p w14:paraId="0484DA9E" w14:textId="189FA180" w:rsidR="00E474C3" w:rsidRPr="00E639A0" w:rsidRDefault="00E474C3" w:rsidP="00B70A8D">
            <w:pPr>
              <w:jc w:val="center"/>
              <w:textAlignment w:val="baseline"/>
              <w:rPr>
                <w:rFonts w:cs="Arial"/>
                <w:color w:val="000000"/>
                <w:lang w:eastAsia="en-GB"/>
              </w:rPr>
            </w:pPr>
            <w:r w:rsidRPr="00E639A0">
              <w:rPr>
                <w:rFonts w:cs="Arial"/>
                <w:b/>
                <w:bCs/>
                <w:color w:val="000000"/>
                <w:lang w:eastAsia="en-GB"/>
              </w:rPr>
              <w:t>Exchequer costs</w:t>
            </w:r>
            <w:r w:rsidRPr="00E639A0">
              <w:rPr>
                <w:rFonts w:cs="Arial"/>
                <w:color w:val="000000"/>
                <w:lang w:eastAsia="en-GB"/>
              </w:rPr>
              <w:t> </w:t>
            </w:r>
            <w:r w:rsidR="00DA6EA0" w:rsidRPr="00E639A0">
              <w:rPr>
                <w:rFonts w:cs="Arial"/>
                <w:color w:val="000000"/>
                <w:lang w:eastAsia="en-GB"/>
              </w:rPr>
              <w:t xml:space="preserve">(NPV across </w:t>
            </w:r>
            <w:r w:rsidR="002418B8" w:rsidRPr="00E639A0">
              <w:rPr>
                <w:rFonts w:cs="Arial"/>
                <w:color w:val="000000"/>
                <w:lang w:eastAsia="en-GB"/>
              </w:rPr>
              <w:t xml:space="preserve">10 year </w:t>
            </w:r>
            <w:r w:rsidR="00DA6EA0" w:rsidRPr="00E639A0">
              <w:rPr>
                <w:rFonts w:cs="Arial"/>
                <w:color w:val="000000"/>
                <w:lang w:eastAsia="en-GB"/>
              </w:rPr>
              <w:t>appraisal period, 2019 prices)</w:t>
            </w:r>
          </w:p>
        </w:tc>
      </w:tr>
      <w:tr w:rsidR="00E474C3" w:rsidRPr="00E639A0" w14:paraId="5349DFE3" w14:textId="77777777" w:rsidTr="005530E0">
        <w:tc>
          <w:tcPr>
            <w:tcW w:w="2374" w:type="dxa"/>
            <w:tcBorders>
              <w:top w:val="single" w:sz="6" w:space="0" w:color="auto"/>
              <w:left w:val="single" w:sz="6" w:space="0" w:color="auto"/>
              <w:bottom w:val="single" w:sz="6" w:space="0" w:color="auto"/>
              <w:right w:val="single" w:sz="6" w:space="0" w:color="auto"/>
            </w:tcBorders>
            <w:shd w:val="clear" w:color="auto" w:fill="auto"/>
            <w:hideMark/>
          </w:tcPr>
          <w:p w14:paraId="25A9E441" w14:textId="718575D4" w:rsidR="00E474C3" w:rsidRPr="00E639A0" w:rsidRDefault="00E474C3" w:rsidP="00B70A8D">
            <w:pPr>
              <w:textAlignment w:val="baseline"/>
              <w:rPr>
                <w:rFonts w:cs="Arial"/>
                <w:color w:val="000000"/>
                <w:lang w:eastAsia="en-GB"/>
              </w:rPr>
            </w:pPr>
            <w:r w:rsidRPr="00E639A0">
              <w:rPr>
                <w:rFonts w:cs="Arial"/>
                <w:color w:val="000000"/>
                <w:lang w:eastAsia="en-GB"/>
              </w:rPr>
              <w:t>Statutory Maternity Pay cost (discounted by amount covered by business)</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01A65F78" w14:textId="450A135B" w:rsidR="00E474C3" w:rsidRPr="00E639A0" w:rsidRDefault="00E474C3" w:rsidP="00B70A8D">
            <w:pPr>
              <w:jc w:val="center"/>
              <w:textAlignment w:val="baseline"/>
              <w:rPr>
                <w:rFonts w:cs="Arial"/>
                <w:color w:val="000000"/>
                <w:lang w:eastAsia="en-GB"/>
              </w:rPr>
            </w:pPr>
            <w:r w:rsidRPr="00E639A0">
              <w:rPr>
                <w:rFonts w:cs="Arial"/>
                <w:color w:val="000000"/>
                <w:lang w:eastAsia="en-GB"/>
              </w:rPr>
              <w:t>£1</w:t>
            </w:r>
            <w:r w:rsidR="006E26D2" w:rsidRPr="00E639A0">
              <w:rPr>
                <w:rFonts w:cs="Arial"/>
                <w:color w:val="000000"/>
                <w:lang w:eastAsia="en-GB"/>
              </w:rPr>
              <w:t>47</w:t>
            </w:r>
            <w:r w:rsidR="004D68E3" w:rsidRPr="00E639A0">
              <w:rPr>
                <w:rFonts w:cs="Arial"/>
                <w:color w:val="000000"/>
                <w:lang w:eastAsia="en-GB"/>
              </w:rPr>
              <w:t>.</w:t>
            </w:r>
            <w:r w:rsidR="006E26D2" w:rsidRPr="00E639A0">
              <w:rPr>
                <w:rFonts w:cs="Arial"/>
                <w:color w:val="000000"/>
                <w:lang w:eastAsia="en-GB"/>
              </w:rPr>
              <w:t>2</w:t>
            </w:r>
            <w:r w:rsidR="004D68E3" w:rsidRPr="00E639A0">
              <w:rPr>
                <w:rFonts w:cs="Arial"/>
                <w:color w:val="000000"/>
                <w:lang w:eastAsia="en-GB"/>
              </w:rPr>
              <w:t>m</w:t>
            </w:r>
            <w:r w:rsidRPr="00E639A0">
              <w:rPr>
                <w:rFonts w:cs="Arial"/>
                <w:color w:val="000000"/>
                <w:lang w:eastAsia="en-GB"/>
              </w:rPr>
              <w:t> </w:t>
            </w:r>
          </w:p>
        </w:tc>
        <w:tc>
          <w:tcPr>
            <w:tcW w:w="2428" w:type="dxa"/>
            <w:tcBorders>
              <w:top w:val="single" w:sz="6" w:space="0" w:color="auto"/>
              <w:left w:val="single" w:sz="6" w:space="0" w:color="auto"/>
              <w:bottom w:val="single" w:sz="6" w:space="0" w:color="auto"/>
              <w:right w:val="single" w:sz="6" w:space="0" w:color="auto"/>
            </w:tcBorders>
            <w:shd w:val="clear" w:color="auto" w:fill="auto"/>
            <w:hideMark/>
          </w:tcPr>
          <w:p w14:paraId="66A92781" w14:textId="5DEDF6AD" w:rsidR="00E474C3" w:rsidRPr="00E639A0" w:rsidRDefault="006E26D2" w:rsidP="00B70A8D">
            <w:pPr>
              <w:jc w:val="center"/>
              <w:textAlignment w:val="baseline"/>
              <w:rPr>
                <w:rFonts w:cs="Arial"/>
                <w:color w:val="000000"/>
                <w:lang w:eastAsia="en-GB"/>
              </w:rPr>
            </w:pPr>
            <w:r w:rsidRPr="00E639A0">
              <w:rPr>
                <w:rFonts w:cs="Arial"/>
                <w:color w:val="000000"/>
                <w:lang w:eastAsia="en-GB"/>
              </w:rPr>
              <w:t>£147.2m</w:t>
            </w:r>
            <w:r w:rsidR="004D68E3" w:rsidRPr="00E639A0">
              <w:rPr>
                <w:rFonts w:cs="Arial"/>
                <w:color w:val="000000"/>
                <w:lang w:eastAsia="en-GB"/>
              </w:rPr>
              <w:t> </w:t>
            </w:r>
          </w:p>
        </w:tc>
        <w:tc>
          <w:tcPr>
            <w:tcW w:w="2471" w:type="dxa"/>
            <w:tcBorders>
              <w:top w:val="single" w:sz="6" w:space="0" w:color="auto"/>
              <w:left w:val="single" w:sz="6" w:space="0" w:color="auto"/>
              <w:bottom w:val="single" w:sz="6" w:space="0" w:color="auto"/>
              <w:right w:val="single" w:sz="6" w:space="0" w:color="auto"/>
            </w:tcBorders>
            <w:shd w:val="clear" w:color="auto" w:fill="auto"/>
            <w:hideMark/>
          </w:tcPr>
          <w:p w14:paraId="025D6073" w14:textId="35FAB8BC" w:rsidR="00E474C3" w:rsidRPr="00E639A0" w:rsidRDefault="006E26D2" w:rsidP="00B70A8D">
            <w:pPr>
              <w:jc w:val="center"/>
              <w:textAlignment w:val="baseline"/>
              <w:rPr>
                <w:rFonts w:cs="Arial"/>
                <w:color w:val="000000"/>
                <w:lang w:eastAsia="en-GB"/>
              </w:rPr>
            </w:pPr>
            <w:r w:rsidRPr="00E639A0">
              <w:rPr>
                <w:rFonts w:cs="Arial"/>
                <w:color w:val="000000"/>
                <w:lang w:eastAsia="en-GB"/>
              </w:rPr>
              <w:t>£147.2m</w:t>
            </w:r>
            <w:r w:rsidR="004D68E3" w:rsidRPr="00E639A0">
              <w:rPr>
                <w:rFonts w:cs="Arial"/>
                <w:color w:val="000000"/>
                <w:lang w:eastAsia="en-GB"/>
              </w:rPr>
              <w:t> </w:t>
            </w:r>
          </w:p>
        </w:tc>
      </w:tr>
      <w:tr w:rsidR="00E474C3" w:rsidRPr="00E639A0" w14:paraId="405A2EA4" w14:textId="77777777" w:rsidTr="00332DC0">
        <w:tc>
          <w:tcPr>
            <w:tcW w:w="10189" w:type="dxa"/>
            <w:gridSpan w:val="4"/>
            <w:tcBorders>
              <w:top w:val="single" w:sz="6" w:space="0" w:color="auto"/>
              <w:left w:val="single" w:sz="6" w:space="0" w:color="auto"/>
              <w:bottom w:val="single" w:sz="6" w:space="0" w:color="auto"/>
              <w:right w:val="single" w:sz="6" w:space="0" w:color="auto"/>
            </w:tcBorders>
            <w:shd w:val="clear" w:color="auto" w:fill="auto"/>
            <w:hideMark/>
          </w:tcPr>
          <w:p w14:paraId="541EE594" w14:textId="21EFE4FE" w:rsidR="00E474C3" w:rsidRPr="00E639A0" w:rsidRDefault="00E474C3" w:rsidP="00B70A8D">
            <w:pPr>
              <w:jc w:val="center"/>
              <w:textAlignment w:val="baseline"/>
              <w:rPr>
                <w:rFonts w:cs="Arial"/>
                <w:color w:val="000000"/>
                <w:lang w:eastAsia="en-GB"/>
              </w:rPr>
            </w:pPr>
            <w:r w:rsidRPr="00E639A0">
              <w:rPr>
                <w:rFonts w:cs="Arial"/>
                <w:b/>
                <w:bCs/>
                <w:color w:val="000000"/>
                <w:lang w:eastAsia="en-GB"/>
              </w:rPr>
              <w:t>Exchequer Benefits</w:t>
            </w:r>
            <w:r w:rsidR="00C37B88" w:rsidRPr="00E639A0">
              <w:rPr>
                <w:rFonts w:cs="Arial"/>
                <w:color w:val="000000"/>
                <w:lang w:eastAsia="en-GB"/>
              </w:rPr>
              <w:t xml:space="preserve"> (NPV across </w:t>
            </w:r>
            <w:r w:rsidR="002418B8" w:rsidRPr="00E639A0">
              <w:rPr>
                <w:rFonts w:cs="Arial"/>
                <w:color w:val="000000"/>
                <w:lang w:eastAsia="en-GB"/>
              </w:rPr>
              <w:t xml:space="preserve">10 year </w:t>
            </w:r>
            <w:r w:rsidR="00C37B88" w:rsidRPr="00E639A0">
              <w:rPr>
                <w:rFonts w:cs="Arial"/>
                <w:color w:val="000000"/>
                <w:lang w:eastAsia="en-GB"/>
              </w:rPr>
              <w:t>appraisal period, 2019 prices)</w:t>
            </w:r>
          </w:p>
        </w:tc>
      </w:tr>
      <w:tr w:rsidR="00E474C3" w:rsidRPr="00E639A0" w14:paraId="7910D47C" w14:textId="77777777" w:rsidTr="005530E0">
        <w:tc>
          <w:tcPr>
            <w:tcW w:w="2374" w:type="dxa"/>
            <w:tcBorders>
              <w:top w:val="single" w:sz="6" w:space="0" w:color="auto"/>
              <w:left w:val="single" w:sz="6" w:space="0" w:color="auto"/>
              <w:bottom w:val="single" w:sz="6" w:space="0" w:color="auto"/>
              <w:right w:val="single" w:sz="6" w:space="0" w:color="auto"/>
            </w:tcBorders>
            <w:shd w:val="clear" w:color="auto" w:fill="auto"/>
            <w:hideMark/>
          </w:tcPr>
          <w:p w14:paraId="2BA614E2" w14:textId="77777777" w:rsidR="00E474C3" w:rsidRPr="00E639A0" w:rsidRDefault="00E474C3" w:rsidP="00B70A8D">
            <w:pPr>
              <w:textAlignment w:val="baseline"/>
              <w:rPr>
                <w:rFonts w:cs="Arial"/>
                <w:color w:val="000000"/>
                <w:lang w:eastAsia="en-GB"/>
              </w:rPr>
            </w:pPr>
            <w:r w:rsidRPr="00E639A0">
              <w:rPr>
                <w:rFonts w:cs="Arial"/>
                <w:i/>
                <w:iCs/>
                <w:color w:val="000000"/>
                <w:lang w:eastAsia="en-GB"/>
              </w:rPr>
              <w:t>Of which no longer paying maternity allowance</w:t>
            </w:r>
            <w:r w:rsidRPr="00E639A0">
              <w:rPr>
                <w:rFonts w:cs="Arial"/>
                <w:color w:val="000000"/>
                <w:lang w:eastAsia="en-GB"/>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1D7BE04B" w14:textId="331453E1" w:rsidR="00E474C3" w:rsidRPr="00E639A0" w:rsidRDefault="00E474C3" w:rsidP="00B70A8D">
            <w:pPr>
              <w:jc w:val="center"/>
              <w:textAlignment w:val="baseline"/>
              <w:rPr>
                <w:rFonts w:cs="Arial"/>
                <w:color w:val="000000"/>
                <w:lang w:eastAsia="en-GB"/>
              </w:rPr>
            </w:pPr>
            <w:r w:rsidRPr="00E639A0">
              <w:rPr>
                <w:rFonts w:cs="Arial"/>
                <w:color w:val="000000"/>
                <w:lang w:eastAsia="en-GB"/>
              </w:rPr>
              <w:t>£1</w:t>
            </w:r>
            <w:r w:rsidR="00FF4B3E" w:rsidRPr="00E639A0">
              <w:rPr>
                <w:rFonts w:cs="Arial"/>
                <w:color w:val="000000"/>
                <w:lang w:eastAsia="en-GB"/>
              </w:rPr>
              <w:t>30m</w:t>
            </w:r>
            <w:r w:rsidRPr="00E639A0">
              <w:rPr>
                <w:rFonts w:cs="Arial"/>
                <w:color w:val="000000"/>
                <w:lang w:eastAsia="en-GB"/>
              </w:rPr>
              <w:t> </w:t>
            </w:r>
          </w:p>
        </w:tc>
        <w:tc>
          <w:tcPr>
            <w:tcW w:w="2428" w:type="dxa"/>
            <w:tcBorders>
              <w:top w:val="single" w:sz="6" w:space="0" w:color="auto"/>
              <w:left w:val="single" w:sz="6" w:space="0" w:color="auto"/>
              <w:bottom w:val="single" w:sz="6" w:space="0" w:color="auto"/>
              <w:right w:val="single" w:sz="6" w:space="0" w:color="auto"/>
            </w:tcBorders>
            <w:shd w:val="clear" w:color="auto" w:fill="auto"/>
            <w:hideMark/>
          </w:tcPr>
          <w:p w14:paraId="34586DF2" w14:textId="697D293A" w:rsidR="00E474C3" w:rsidRPr="00E639A0" w:rsidRDefault="00AE4DCE" w:rsidP="00B70A8D">
            <w:pPr>
              <w:jc w:val="center"/>
              <w:textAlignment w:val="baseline"/>
              <w:rPr>
                <w:rFonts w:cs="Arial"/>
                <w:color w:val="000000"/>
                <w:lang w:eastAsia="en-GB"/>
              </w:rPr>
            </w:pPr>
            <w:r w:rsidRPr="00E639A0">
              <w:rPr>
                <w:rFonts w:cs="Arial"/>
                <w:color w:val="000000"/>
                <w:lang w:eastAsia="en-GB"/>
              </w:rPr>
              <w:t>£130m </w:t>
            </w:r>
          </w:p>
        </w:tc>
        <w:tc>
          <w:tcPr>
            <w:tcW w:w="2471" w:type="dxa"/>
            <w:tcBorders>
              <w:top w:val="single" w:sz="6" w:space="0" w:color="auto"/>
              <w:left w:val="single" w:sz="6" w:space="0" w:color="auto"/>
              <w:bottom w:val="single" w:sz="6" w:space="0" w:color="auto"/>
              <w:right w:val="single" w:sz="6" w:space="0" w:color="auto"/>
            </w:tcBorders>
            <w:shd w:val="clear" w:color="auto" w:fill="auto"/>
            <w:hideMark/>
          </w:tcPr>
          <w:p w14:paraId="3F7EA871" w14:textId="7805D86C" w:rsidR="00E474C3" w:rsidRPr="00E639A0" w:rsidRDefault="00AE4DCE" w:rsidP="00B70A8D">
            <w:pPr>
              <w:jc w:val="center"/>
              <w:textAlignment w:val="baseline"/>
              <w:rPr>
                <w:rFonts w:cs="Arial"/>
                <w:color w:val="000000"/>
                <w:lang w:eastAsia="en-GB"/>
              </w:rPr>
            </w:pPr>
            <w:r w:rsidRPr="00E639A0">
              <w:rPr>
                <w:rFonts w:cs="Arial"/>
                <w:color w:val="000000"/>
                <w:lang w:eastAsia="en-GB"/>
              </w:rPr>
              <w:t>£130m </w:t>
            </w:r>
          </w:p>
        </w:tc>
      </w:tr>
      <w:tr w:rsidR="00E474C3" w:rsidRPr="00E639A0" w14:paraId="4411F3FF" w14:textId="77777777" w:rsidTr="005530E0">
        <w:tc>
          <w:tcPr>
            <w:tcW w:w="2374" w:type="dxa"/>
            <w:tcBorders>
              <w:top w:val="single" w:sz="6" w:space="0" w:color="auto"/>
              <w:left w:val="single" w:sz="6" w:space="0" w:color="auto"/>
              <w:bottom w:val="single" w:sz="6" w:space="0" w:color="auto"/>
              <w:right w:val="single" w:sz="6" w:space="0" w:color="auto"/>
            </w:tcBorders>
            <w:shd w:val="clear" w:color="auto" w:fill="auto"/>
            <w:hideMark/>
          </w:tcPr>
          <w:p w14:paraId="15B4864C" w14:textId="02F9AC12" w:rsidR="00E474C3" w:rsidRPr="00E639A0" w:rsidRDefault="00E474C3" w:rsidP="00B70A8D">
            <w:pPr>
              <w:textAlignment w:val="baseline"/>
              <w:rPr>
                <w:rFonts w:cs="Arial"/>
                <w:color w:val="000000"/>
                <w:lang w:eastAsia="en-GB"/>
              </w:rPr>
            </w:pPr>
            <w:r w:rsidRPr="00E639A0">
              <w:rPr>
                <w:rFonts w:cs="Arial"/>
                <w:i/>
                <w:iCs/>
                <w:color w:val="000000"/>
                <w:lang w:eastAsia="en-GB"/>
              </w:rPr>
              <w:t>Of which savings in costs for E</w:t>
            </w:r>
            <w:r w:rsidR="00C00771" w:rsidRPr="00E639A0">
              <w:rPr>
                <w:rFonts w:cs="Arial"/>
                <w:i/>
                <w:iCs/>
                <w:color w:val="000000"/>
                <w:lang w:eastAsia="en-GB"/>
              </w:rPr>
              <w:t>T</w:t>
            </w:r>
            <w:r w:rsidRPr="00E639A0">
              <w:rPr>
                <w:rFonts w:cs="Arial"/>
                <w:i/>
                <w:iCs/>
                <w:color w:val="000000"/>
                <w:lang w:eastAsia="en-GB"/>
              </w:rPr>
              <w:t>s and EC</w:t>
            </w:r>
            <w:r w:rsidRPr="00E639A0">
              <w:rPr>
                <w:rFonts w:cs="Arial"/>
                <w:color w:val="000000"/>
                <w:lang w:eastAsia="en-GB"/>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4990BECA" w14:textId="77777777" w:rsidR="00E474C3" w:rsidRPr="00E639A0" w:rsidRDefault="00E474C3" w:rsidP="00B70A8D">
            <w:pPr>
              <w:jc w:val="center"/>
              <w:textAlignment w:val="baseline"/>
              <w:rPr>
                <w:rFonts w:cs="Arial"/>
                <w:color w:val="000000"/>
                <w:lang w:eastAsia="en-GB"/>
              </w:rPr>
            </w:pPr>
            <w:r w:rsidRPr="00E639A0">
              <w:rPr>
                <w:rFonts w:cs="Arial"/>
                <w:color w:val="000000"/>
                <w:lang w:eastAsia="en-GB"/>
              </w:rPr>
              <w:t>£0m </w:t>
            </w:r>
          </w:p>
        </w:tc>
        <w:tc>
          <w:tcPr>
            <w:tcW w:w="2428" w:type="dxa"/>
            <w:tcBorders>
              <w:top w:val="single" w:sz="6" w:space="0" w:color="auto"/>
              <w:left w:val="single" w:sz="6" w:space="0" w:color="auto"/>
              <w:bottom w:val="single" w:sz="6" w:space="0" w:color="auto"/>
              <w:right w:val="single" w:sz="6" w:space="0" w:color="auto"/>
            </w:tcBorders>
            <w:shd w:val="clear" w:color="auto" w:fill="auto"/>
            <w:hideMark/>
          </w:tcPr>
          <w:p w14:paraId="50F43987" w14:textId="134CA678" w:rsidR="00E474C3" w:rsidRPr="00E639A0" w:rsidRDefault="00E474C3" w:rsidP="00B70A8D">
            <w:pPr>
              <w:jc w:val="center"/>
              <w:textAlignment w:val="baseline"/>
              <w:rPr>
                <w:rFonts w:cs="Arial"/>
                <w:color w:val="000000"/>
                <w:lang w:eastAsia="en-GB"/>
              </w:rPr>
            </w:pPr>
            <w:r w:rsidRPr="00E639A0">
              <w:rPr>
                <w:rFonts w:cs="Arial"/>
                <w:color w:val="000000"/>
                <w:lang w:eastAsia="en-GB"/>
              </w:rPr>
              <w:t>£0.</w:t>
            </w:r>
            <w:r w:rsidR="00B61519" w:rsidRPr="00E639A0">
              <w:rPr>
                <w:rFonts w:cs="Arial"/>
                <w:color w:val="000000"/>
                <w:lang w:eastAsia="en-GB"/>
              </w:rPr>
              <w:t>9</w:t>
            </w:r>
            <w:r w:rsidRPr="00E639A0">
              <w:rPr>
                <w:rFonts w:cs="Arial"/>
                <w:color w:val="000000"/>
                <w:lang w:eastAsia="en-GB"/>
              </w:rPr>
              <w:t>m </w:t>
            </w:r>
          </w:p>
        </w:tc>
        <w:tc>
          <w:tcPr>
            <w:tcW w:w="2471" w:type="dxa"/>
            <w:tcBorders>
              <w:top w:val="single" w:sz="6" w:space="0" w:color="auto"/>
              <w:left w:val="single" w:sz="6" w:space="0" w:color="auto"/>
              <w:bottom w:val="single" w:sz="6" w:space="0" w:color="auto"/>
              <w:right w:val="single" w:sz="6" w:space="0" w:color="auto"/>
            </w:tcBorders>
            <w:shd w:val="clear" w:color="auto" w:fill="auto"/>
            <w:hideMark/>
          </w:tcPr>
          <w:p w14:paraId="444FCA55" w14:textId="1958FF52" w:rsidR="00E474C3" w:rsidRPr="00E639A0" w:rsidRDefault="00E474C3" w:rsidP="00B70A8D">
            <w:pPr>
              <w:jc w:val="center"/>
              <w:textAlignment w:val="baseline"/>
              <w:rPr>
                <w:rFonts w:cs="Arial"/>
                <w:color w:val="000000"/>
                <w:lang w:eastAsia="en-GB"/>
              </w:rPr>
            </w:pPr>
            <w:r w:rsidRPr="00E639A0">
              <w:rPr>
                <w:rFonts w:cs="Arial"/>
                <w:color w:val="000000"/>
                <w:lang w:eastAsia="en-GB"/>
              </w:rPr>
              <w:t>£</w:t>
            </w:r>
            <w:r w:rsidR="003E633B" w:rsidRPr="00E639A0">
              <w:rPr>
                <w:rFonts w:cs="Arial"/>
                <w:color w:val="000000"/>
                <w:lang w:eastAsia="en-GB"/>
              </w:rPr>
              <w:t>1.7m</w:t>
            </w:r>
          </w:p>
        </w:tc>
      </w:tr>
      <w:tr w:rsidR="00CF2455" w:rsidRPr="00E639A0" w14:paraId="3A6A158D" w14:textId="77777777" w:rsidTr="005530E0">
        <w:tc>
          <w:tcPr>
            <w:tcW w:w="2374" w:type="dxa"/>
            <w:tcBorders>
              <w:top w:val="single" w:sz="6" w:space="0" w:color="auto"/>
              <w:left w:val="single" w:sz="6" w:space="0" w:color="auto"/>
              <w:bottom w:val="single" w:sz="6" w:space="0" w:color="auto"/>
              <w:right w:val="single" w:sz="6" w:space="0" w:color="auto"/>
            </w:tcBorders>
            <w:shd w:val="clear" w:color="auto" w:fill="auto"/>
          </w:tcPr>
          <w:p w14:paraId="029FED05" w14:textId="69BE7371" w:rsidR="00CF2455" w:rsidRPr="00E639A0" w:rsidRDefault="00CF2455" w:rsidP="00CF2455">
            <w:pPr>
              <w:textAlignment w:val="baseline"/>
              <w:rPr>
                <w:rFonts w:cs="Arial"/>
                <w:b/>
                <w:bCs/>
                <w:color w:val="000000"/>
                <w:lang w:eastAsia="en-GB"/>
              </w:rPr>
            </w:pPr>
            <w:r w:rsidRPr="00E639A0">
              <w:rPr>
                <w:rFonts w:cs="Arial"/>
                <w:b/>
                <w:bCs/>
                <w:color w:val="000000"/>
                <w:lang w:eastAsia="en-GB"/>
              </w:rPr>
              <w:t>Total</w:t>
            </w:r>
            <w:r w:rsidR="00BB558F" w:rsidRPr="00E639A0">
              <w:rPr>
                <w:rFonts w:cs="Arial"/>
                <w:b/>
                <w:bCs/>
                <w:color w:val="000000"/>
                <w:lang w:eastAsia="en-GB"/>
              </w:rPr>
              <w:t xml:space="preserve"> Exchequer</w:t>
            </w:r>
            <w:r w:rsidRPr="00E639A0">
              <w:rPr>
                <w:rFonts w:cs="Arial"/>
                <w:b/>
                <w:bCs/>
                <w:color w:val="000000"/>
                <w:lang w:eastAsia="en-GB"/>
              </w:rPr>
              <w:t xml:space="preserve"> benefits</w:t>
            </w:r>
          </w:p>
        </w:tc>
        <w:tc>
          <w:tcPr>
            <w:tcW w:w="2916" w:type="dxa"/>
            <w:tcBorders>
              <w:top w:val="single" w:sz="6" w:space="0" w:color="auto"/>
              <w:left w:val="single" w:sz="6" w:space="0" w:color="auto"/>
              <w:bottom w:val="single" w:sz="6" w:space="0" w:color="auto"/>
              <w:right w:val="single" w:sz="6" w:space="0" w:color="auto"/>
            </w:tcBorders>
            <w:shd w:val="clear" w:color="auto" w:fill="auto"/>
          </w:tcPr>
          <w:p w14:paraId="4C5477D7" w14:textId="777B3318" w:rsidR="00CF2455" w:rsidRPr="00E639A0" w:rsidRDefault="00CF2455" w:rsidP="00CF2455">
            <w:pPr>
              <w:jc w:val="center"/>
              <w:textAlignment w:val="baseline"/>
              <w:rPr>
                <w:rFonts w:cs="Arial"/>
                <w:color w:val="000000"/>
                <w:lang w:eastAsia="en-GB"/>
              </w:rPr>
            </w:pPr>
            <w:r w:rsidRPr="00E639A0">
              <w:rPr>
                <w:rFonts w:cs="Arial"/>
                <w:b/>
                <w:bCs/>
                <w:color w:val="000000"/>
                <w:lang w:eastAsia="en-GB"/>
              </w:rPr>
              <w:t>£130m</w:t>
            </w:r>
            <w:r w:rsidRPr="00E639A0">
              <w:rPr>
                <w:rFonts w:cs="Arial"/>
                <w:color w:val="000000"/>
                <w:lang w:eastAsia="en-GB"/>
              </w:rPr>
              <w:t> </w:t>
            </w:r>
          </w:p>
        </w:tc>
        <w:tc>
          <w:tcPr>
            <w:tcW w:w="2428" w:type="dxa"/>
            <w:tcBorders>
              <w:top w:val="single" w:sz="6" w:space="0" w:color="auto"/>
              <w:left w:val="single" w:sz="6" w:space="0" w:color="auto"/>
              <w:bottom w:val="single" w:sz="6" w:space="0" w:color="auto"/>
              <w:right w:val="single" w:sz="6" w:space="0" w:color="auto"/>
            </w:tcBorders>
            <w:shd w:val="clear" w:color="auto" w:fill="auto"/>
          </w:tcPr>
          <w:p w14:paraId="5F864538" w14:textId="4C640F5D" w:rsidR="00CF2455" w:rsidRPr="00E639A0" w:rsidRDefault="00CF2455" w:rsidP="00CF2455">
            <w:pPr>
              <w:jc w:val="center"/>
              <w:textAlignment w:val="baseline"/>
              <w:rPr>
                <w:rFonts w:cs="Arial"/>
                <w:color w:val="000000"/>
                <w:lang w:eastAsia="en-GB"/>
              </w:rPr>
            </w:pPr>
            <w:r w:rsidRPr="00E639A0">
              <w:rPr>
                <w:rFonts w:cs="Arial"/>
                <w:b/>
                <w:bCs/>
                <w:color w:val="000000"/>
                <w:lang w:eastAsia="en-GB"/>
              </w:rPr>
              <w:t>£130.9m</w:t>
            </w:r>
            <w:r w:rsidRPr="00E639A0">
              <w:rPr>
                <w:rFonts w:cs="Arial"/>
                <w:color w:val="000000"/>
                <w:lang w:eastAsia="en-GB"/>
              </w:rPr>
              <w:t> </w:t>
            </w:r>
          </w:p>
        </w:tc>
        <w:tc>
          <w:tcPr>
            <w:tcW w:w="2471" w:type="dxa"/>
            <w:tcBorders>
              <w:top w:val="single" w:sz="6" w:space="0" w:color="auto"/>
              <w:left w:val="single" w:sz="6" w:space="0" w:color="auto"/>
              <w:bottom w:val="single" w:sz="6" w:space="0" w:color="auto"/>
              <w:right w:val="single" w:sz="6" w:space="0" w:color="auto"/>
            </w:tcBorders>
            <w:shd w:val="clear" w:color="auto" w:fill="auto"/>
          </w:tcPr>
          <w:p w14:paraId="3D1A70E7" w14:textId="35AE2F23" w:rsidR="00CF2455" w:rsidRPr="00E639A0" w:rsidRDefault="00CF2455" w:rsidP="00CF2455">
            <w:pPr>
              <w:jc w:val="center"/>
              <w:textAlignment w:val="baseline"/>
              <w:rPr>
                <w:rFonts w:cs="Arial"/>
                <w:color w:val="000000"/>
                <w:lang w:eastAsia="en-GB"/>
              </w:rPr>
            </w:pPr>
            <w:r w:rsidRPr="00E639A0">
              <w:rPr>
                <w:rFonts w:cs="Arial"/>
                <w:b/>
                <w:bCs/>
                <w:color w:val="000000"/>
                <w:lang w:eastAsia="en-GB"/>
              </w:rPr>
              <w:t>£131.7m</w:t>
            </w:r>
            <w:r w:rsidRPr="00E639A0">
              <w:rPr>
                <w:rFonts w:cs="Arial"/>
                <w:color w:val="000000"/>
                <w:lang w:eastAsia="en-GB"/>
              </w:rPr>
              <w:t> </w:t>
            </w:r>
          </w:p>
        </w:tc>
      </w:tr>
      <w:tr w:rsidR="007E2661" w:rsidRPr="00E639A0" w14:paraId="382D091E" w14:textId="77777777">
        <w:tc>
          <w:tcPr>
            <w:tcW w:w="10189" w:type="dxa"/>
            <w:gridSpan w:val="4"/>
            <w:tcBorders>
              <w:top w:val="single" w:sz="6" w:space="0" w:color="auto"/>
              <w:left w:val="single" w:sz="6" w:space="0" w:color="auto"/>
              <w:bottom w:val="single" w:sz="6" w:space="0" w:color="auto"/>
              <w:right w:val="single" w:sz="6" w:space="0" w:color="auto"/>
            </w:tcBorders>
            <w:shd w:val="clear" w:color="auto" w:fill="auto"/>
          </w:tcPr>
          <w:p w14:paraId="3C5F898F" w14:textId="3F911C0D" w:rsidR="007E2661" w:rsidRPr="00E639A0" w:rsidRDefault="007E2661" w:rsidP="00CF2455">
            <w:pPr>
              <w:jc w:val="center"/>
              <w:textAlignment w:val="baseline"/>
              <w:rPr>
                <w:rFonts w:cs="Arial"/>
                <w:b/>
                <w:bCs/>
                <w:color w:val="000000"/>
                <w:lang w:eastAsia="en-GB"/>
              </w:rPr>
            </w:pPr>
            <w:r w:rsidRPr="00E639A0">
              <w:rPr>
                <w:rFonts w:cs="Arial"/>
                <w:b/>
                <w:bCs/>
                <w:color w:val="000000"/>
                <w:lang w:eastAsia="en-GB"/>
              </w:rPr>
              <w:t>Net Exchequer Impact</w:t>
            </w:r>
          </w:p>
        </w:tc>
      </w:tr>
      <w:tr w:rsidR="007E2661" w:rsidRPr="00E639A0" w14:paraId="7B6CE512" w14:textId="77777777" w:rsidTr="005530E0">
        <w:tc>
          <w:tcPr>
            <w:tcW w:w="2374" w:type="dxa"/>
            <w:tcBorders>
              <w:top w:val="single" w:sz="6" w:space="0" w:color="auto"/>
              <w:left w:val="single" w:sz="6" w:space="0" w:color="auto"/>
              <w:bottom w:val="single" w:sz="6" w:space="0" w:color="auto"/>
              <w:right w:val="single" w:sz="6" w:space="0" w:color="auto"/>
            </w:tcBorders>
            <w:shd w:val="clear" w:color="auto" w:fill="auto"/>
          </w:tcPr>
          <w:p w14:paraId="7AD36EE4" w14:textId="77777777" w:rsidR="007E2661" w:rsidRPr="00E639A0" w:rsidRDefault="007E2661" w:rsidP="00CF2455">
            <w:pPr>
              <w:textAlignment w:val="baseline"/>
              <w:rPr>
                <w:rFonts w:cs="Arial"/>
                <w:b/>
                <w:bCs/>
                <w:color w:val="000000"/>
                <w:lang w:eastAsia="en-GB"/>
              </w:rPr>
            </w:pPr>
          </w:p>
        </w:tc>
        <w:tc>
          <w:tcPr>
            <w:tcW w:w="2916" w:type="dxa"/>
            <w:tcBorders>
              <w:top w:val="single" w:sz="6" w:space="0" w:color="auto"/>
              <w:left w:val="single" w:sz="6" w:space="0" w:color="auto"/>
              <w:bottom w:val="single" w:sz="6" w:space="0" w:color="auto"/>
              <w:right w:val="single" w:sz="6" w:space="0" w:color="auto"/>
            </w:tcBorders>
            <w:shd w:val="clear" w:color="auto" w:fill="auto"/>
          </w:tcPr>
          <w:p w14:paraId="1C520995" w14:textId="4377B7A3" w:rsidR="007E2661" w:rsidRPr="00E639A0" w:rsidRDefault="00555D6B" w:rsidP="00CF2455">
            <w:pPr>
              <w:jc w:val="center"/>
              <w:textAlignment w:val="baseline"/>
              <w:rPr>
                <w:rFonts w:cs="Arial"/>
                <w:b/>
                <w:bCs/>
                <w:color w:val="000000"/>
                <w:lang w:eastAsia="en-GB"/>
              </w:rPr>
            </w:pPr>
            <w:r w:rsidRPr="00E639A0">
              <w:rPr>
                <w:rFonts w:cs="Arial"/>
                <w:b/>
                <w:bCs/>
                <w:color w:val="000000"/>
                <w:lang w:eastAsia="en-GB"/>
              </w:rPr>
              <w:t>-£17.2</w:t>
            </w:r>
            <w:r w:rsidR="00BB7A01" w:rsidRPr="00E639A0">
              <w:rPr>
                <w:rFonts w:cs="Arial"/>
                <w:b/>
                <w:bCs/>
                <w:color w:val="000000"/>
                <w:lang w:eastAsia="en-GB"/>
              </w:rPr>
              <w:t>m</w:t>
            </w:r>
          </w:p>
        </w:tc>
        <w:tc>
          <w:tcPr>
            <w:tcW w:w="2428" w:type="dxa"/>
            <w:tcBorders>
              <w:top w:val="single" w:sz="6" w:space="0" w:color="auto"/>
              <w:left w:val="single" w:sz="6" w:space="0" w:color="auto"/>
              <w:bottom w:val="single" w:sz="6" w:space="0" w:color="auto"/>
              <w:right w:val="single" w:sz="6" w:space="0" w:color="auto"/>
            </w:tcBorders>
            <w:shd w:val="clear" w:color="auto" w:fill="auto"/>
          </w:tcPr>
          <w:p w14:paraId="12464A36" w14:textId="0777127C" w:rsidR="007E2661" w:rsidRPr="00E639A0" w:rsidRDefault="00BB7A01" w:rsidP="00CF2455">
            <w:pPr>
              <w:jc w:val="center"/>
              <w:textAlignment w:val="baseline"/>
              <w:rPr>
                <w:rFonts w:cs="Arial"/>
                <w:b/>
                <w:bCs/>
                <w:color w:val="000000"/>
                <w:lang w:eastAsia="en-GB"/>
              </w:rPr>
            </w:pPr>
            <w:r w:rsidRPr="00E639A0">
              <w:rPr>
                <w:rFonts w:cs="Arial"/>
                <w:b/>
                <w:bCs/>
                <w:color w:val="000000"/>
                <w:lang w:eastAsia="en-GB"/>
              </w:rPr>
              <w:t>-£16.3m</w:t>
            </w:r>
          </w:p>
        </w:tc>
        <w:tc>
          <w:tcPr>
            <w:tcW w:w="2471" w:type="dxa"/>
            <w:tcBorders>
              <w:top w:val="single" w:sz="6" w:space="0" w:color="auto"/>
              <w:left w:val="single" w:sz="6" w:space="0" w:color="auto"/>
              <w:bottom w:val="single" w:sz="6" w:space="0" w:color="auto"/>
              <w:right w:val="single" w:sz="6" w:space="0" w:color="auto"/>
            </w:tcBorders>
            <w:shd w:val="clear" w:color="auto" w:fill="auto"/>
          </w:tcPr>
          <w:p w14:paraId="2D99AC1F" w14:textId="47AE4399" w:rsidR="007E2661" w:rsidRPr="00E639A0" w:rsidRDefault="00BB7A01" w:rsidP="00CF2455">
            <w:pPr>
              <w:jc w:val="center"/>
              <w:textAlignment w:val="baseline"/>
              <w:rPr>
                <w:rFonts w:cs="Arial"/>
                <w:b/>
                <w:bCs/>
                <w:color w:val="000000"/>
                <w:lang w:eastAsia="en-GB"/>
              </w:rPr>
            </w:pPr>
            <w:r w:rsidRPr="00E639A0">
              <w:rPr>
                <w:rFonts w:cs="Arial"/>
                <w:b/>
                <w:bCs/>
                <w:color w:val="000000"/>
                <w:lang w:eastAsia="en-GB"/>
              </w:rPr>
              <w:t>-</w:t>
            </w:r>
            <w:r w:rsidR="00944394" w:rsidRPr="00E639A0">
              <w:rPr>
                <w:rFonts w:cs="Arial"/>
                <w:b/>
                <w:bCs/>
                <w:color w:val="000000"/>
                <w:lang w:eastAsia="en-GB"/>
              </w:rPr>
              <w:t>£</w:t>
            </w:r>
            <w:r w:rsidRPr="00E639A0">
              <w:rPr>
                <w:rFonts w:cs="Arial"/>
                <w:b/>
                <w:bCs/>
                <w:color w:val="000000"/>
                <w:lang w:eastAsia="en-GB"/>
              </w:rPr>
              <w:t>15.5m</w:t>
            </w:r>
          </w:p>
        </w:tc>
      </w:tr>
      <w:tr w:rsidR="00CF2455" w:rsidRPr="00E639A0" w14:paraId="12849E3C" w14:textId="77777777" w:rsidTr="00332DC0">
        <w:tc>
          <w:tcPr>
            <w:tcW w:w="10189" w:type="dxa"/>
            <w:gridSpan w:val="4"/>
            <w:tcBorders>
              <w:top w:val="single" w:sz="6" w:space="0" w:color="auto"/>
              <w:left w:val="single" w:sz="6" w:space="0" w:color="auto"/>
              <w:bottom w:val="single" w:sz="6" w:space="0" w:color="auto"/>
              <w:right w:val="single" w:sz="6" w:space="0" w:color="auto"/>
            </w:tcBorders>
            <w:shd w:val="clear" w:color="auto" w:fill="BFBFBF"/>
            <w:hideMark/>
          </w:tcPr>
          <w:p w14:paraId="7FCA64A9" w14:textId="77777777" w:rsidR="00CF2455" w:rsidRPr="00E639A0" w:rsidRDefault="00CF2455" w:rsidP="00CF2455">
            <w:pPr>
              <w:jc w:val="center"/>
              <w:textAlignment w:val="baseline"/>
              <w:rPr>
                <w:rFonts w:cs="Arial"/>
                <w:color w:val="000000"/>
                <w:lang w:eastAsia="en-GB"/>
              </w:rPr>
            </w:pPr>
            <w:r w:rsidRPr="00E639A0">
              <w:rPr>
                <w:rFonts w:cs="Arial"/>
                <w:color w:val="000000"/>
                <w:lang w:eastAsia="en-GB"/>
              </w:rPr>
              <w:t> </w:t>
            </w:r>
          </w:p>
        </w:tc>
      </w:tr>
      <w:tr w:rsidR="00CF2455" w:rsidRPr="00E639A0" w14:paraId="7F832468" w14:textId="77777777" w:rsidTr="00332DC0">
        <w:tc>
          <w:tcPr>
            <w:tcW w:w="10189" w:type="dxa"/>
            <w:gridSpan w:val="4"/>
            <w:tcBorders>
              <w:top w:val="single" w:sz="6" w:space="0" w:color="auto"/>
              <w:left w:val="single" w:sz="6" w:space="0" w:color="auto"/>
              <w:bottom w:val="single" w:sz="6" w:space="0" w:color="auto"/>
              <w:right w:val="single" w:sz="6" w:space="0" w:color="auto"/>
            </w:tcBorders>
            <w:shd w:val="clear" w:color="auto" w:fill="auto"/>
            <w:hideMark/>
          </w:tcPr>
          <w:p w14:paraId="04B71A93" w14:textId="561FEDBA" w:rsidR="00CF2455" w:rsidRPr="00E639A0" w:rsidRDefault="00CF2455" w:rsidP="00CF2455">
            <w:pPr>
              <w:jc w:val="center"/>
              <w:textAlignment w:val="baseline"/>
              <w:rPr>
                <w:rFonts w:cs="Arial"/>
                <w:color w:val="000000"/>
                <w:lang w:eastAsia="en-GB"/>
              </w:rPr>
            </w:pPr>
            <w:r w:rsidRPr="00E639A0">
              <w:rPr>
                <w:rFonts w:cs="Arial"/>
                <w:b/>
                <w:bCs/>
                <w:color w:val="000000"/>
                <w:lang w:eastAsia="en-GB"/>
              </w:rPr>
              <w:t>Individuals Benefits</w:t>
            </w:r>
            <w:r w:rsidRPr="00E639A0">
              <w:rPr>
                <w:rFonts w:cs="Arial"/>
                <w:color w:val="000000"/>
                <w:lang w:eastAsia="en-GB"/>
              </w:rPr>
              <w:t> </w:t>
            </w:r>
            <w:r w:rsidR="00C37B88" w:rsidRPr="00E639A0">
              <w:rPr>
                <w:rFonts w:cs="Arial"/>
                <w:color w:val="000000"/>
                <w:lang w:eastAsia="en-GB"/>
              </w:rPr>
              <w:t xml:space="preserve">(NPV across </w:t>
            </w:r>
            <w:r w:rsidR="002418B8" w:rsidRPr="00E639A0">
              <w:rPr>
                <w:rFonts w:cs="Arial"/>
                <w:color w:val="000000"/>
                <w:lang w:eastAsia="en-GB"/>
              </w:rPr>
              <w:t xml:space="preserve">10 year </w:t>
            </w:r>
            <w:r w:rsidR="00C37B88" w:rsidRPr="00E639A0">
              <w:rPr>
                <w:rFonts w:cs="Arial"/>
                <w:color w:val="000000"/>
                <w:lang w:eastAsia="en-GB"/>
              </w:rPr>
              <w:t>appraisal period, 2019 prices)</w:t>
            </w:r>
          </w:p>
        </w:tc>
      </w:tr>
      <w:tr w:rsidR="00CF2455" w:rsidRPr="00E639A0" w14:paraId="77A1326D" w14:textId="77777777" w:rsidTr="005530E0">
        <w:tc>
          <w:tcPr>
            <w:tcW w:w="2374" w:type="dxa"/>
            <w:tcBorders>
              <w:top w:val="single" w:sz="6" w:space="0" w:color="auto"/>
              <w:left w:val="single" w:sz="6" w:space="0" w:color="auto"/>
              <w:bottom w:val="single" w:sz="6" w:space="0" w:color="auto"/>
              <w:right w:val="single" w:sz="6" w:space="0" w:color="auto"/>
            </w:tcBorders>
            <w:shd w:val="clear" w:color="auto" w:fill="auto"/>
            <w:hideMark/>
          </w:tcPr>
          <w:p w14:paraId="03764023" w14:textId="77777777" w:rsidR="00CF2455" w:rsidRPr="00E639A0" w:rsidRDefault="00CF2455" w:rsidP="00CF2455">
            <w:pPr>
              <w:textAlignment w:val="baseline"/>
              <w:rPr>
                <w:rFonts w:cs="Arial"/>
                <w:color w:val="000000"/>
                <w:lang w:eastAsia="en-GB"/>
              </w:rPr>
            </w:pPr>
            <w:r w:rsidRPr="00E639A0">
              <w:rPr>
                <w:rFonts w:cs="Arial"/>
                <w:i/>
                <w:iCs/>
                <w:color w:val="000000"/>
                <w:lang w:eastAsia="en-GB"/>
              </w:rPr>
              <w:t>Of which additional statutory payments</w:t>
            </w:r>
            <w:r w:rsidRPr="00E639A0">
              <w:rPr>
                <w:rFonts w:cs="Arial"/>
                <w:i/>
                <w:iCs/>
                <w:color w:val="000000"/>
                <w:vertAlign w:val="superscript"/>
                <w:lang w:eastAsia="en-GB"/>
              </w:rPr>
              <w:t>49</w:t>
            </w:r>
            <w:r w:rsidRPr="00E639A0">
              <w:rPr>
                <w:rFonts w:cs="Arial"/>
                <w:color w:val="000000"/>
                <w:lang w:eastAsia="en-GB"/>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6A873988" w14:textId="28067308" w:rsidR="00CF2455" w:rsidRPr="00E639A0" w:rsidRDefault="00CF2455" w:rsidP="00CF2455">
            <w:pPr>
              <w:jc w:val="center"/>
              <w:textAlignment w:val="baseline"/>
              <w:rPr>
                <w:rFonts w:cs="Arial"/>
                <w:color w:val="000000"/>
                <w:lang w:eastAsia="en-GB"/>
              </w:rPr>
            </w:pPr>
            <w:r w:rsidRPr="00E639A0">
              <w:rPr>
                <w:rFonts w:cs="Arial"/>
                <w:color w:val="000000"/>
                <w:lang w:eastAsia="en-GB"/>
              </w:rPr>
              <w:t>£25m </w:t>
            </w:r>
          </w:p>
        </w:tc>
        <w:tc>
          <w:tcPr>
            <w:tcW w:w="2428" w:type="dxa"/>
            <w:tcBorders>
              <w:top w:val="single" w:sz="6" w:space="0" w:color="auto"/>
              <w:left w:val="single" w:sz="6" w:space="0" w:color="auto"/>
              <w:bottom w:val="single" w:sz="6" w:space="0" w:color="auto"/>
              <w:right w:val="single" w:sz="6" w:space="0" w:color="auto"/>
            </w:tcBorders>
            <w:shd w:val="clear" w:color="auto" w:fill="auto"/>
            <w:hideMark/>
          </w:tcPr>
          <w:p w14:paraId="60B706CC" w14:textId="7D7F8C0B" w:rsidR="00CF2455" w:rsidRPr="00E639A0" w:rsidRDefault="00CF2455" w:rsidP="00CF2455">
            <w:pPr>
              <w:jc w:val="center"/>
              <w:textAlignment w:val="baseline"/>
              <w:rPr>
                <w:rFonts w:cs="Arial"/>
                <w:color w:val="000000"/>
                <w:lang w:eastAsia="en-GB"/>
              </w:rPr>
            </w:pPr>
            <w:r w:rsidRPr="00E639A0">
              <w:rPr>
                <w:rFonts w:cs="Arial"/>
                <w:color w:val="000000"/>
                <w:lang w:eastAsia="en-GB"/>
              </w:rPr>
              <w:t>£25m </w:t>
            </w:r>
          </w:p>
        </w:tc>
        <w:tc>
          <w:tcPr>
            <w:tcW w:w="2471" w:type="dxa"/>
            <w:tcBorders>
              <w:top w:val="single" w:sz="6" w:space="0" w:color="auto"/>
              <w:left w:val="single" w:sz="6" w:space="0" w:color="auto"/>
              <w:bottom w:val="single" w:sz="6" w:space="0" w:color="auto"/>
              <w:right w:val="single" w:sz="6" w:space="0" w:color="auto"/>
            </w:tcBorders>
            <w:shd w:val="clear" w:color="auto" w:fill="auto"/>
            <w:hideMark/>
          </w:tcPr>
          <w:p w14:paraId="688CABA1" w14:textId="4488A4E5" w:rsidR="00CF2455" w:rsidRPr="00E639A0" w:rsidRDefault="00CF2455" w:rsidP="00CF2455">
            <w:pPr>
              <w:jc w:val="center"/>
              <w:textAlignment w:val="baseline"/>
              <w:rPr>
                <w:rFonts w:cs="Arial"/>
                <w:color w:val="000000"/>
                <w:lang w:eastAsia="en-GB"/>
              </w:rPr>
            </w:pPr>
            <w:r w:rsidRPr="00E639A0">
              <w:rPr>
                <w:rFonts w:cs="Arial"/>
                <w:color w:val="000000"/>
                <w:lang w:eastAsia="en-GB"/>
              </w:rPr>
              <w:t>£25m </w:t>
            </w:r>
          </w:p>
        </w:tc>
      </w:tr>
      <w:tr w:rsidR="00CF2455" w:rsidRPr="00E639A0" w14:paraId="26965F86" w14:textId="77777777" w:rsidTr="005530E0">
        <w:tc>
          <w:tcPr>
            <w:tcW w:w="2374" w:type="dxa"/>
            <w:tcBorders>
              <w:top w:val="single" w:sz="6" w:space="0" w:color="auto"/>
              <w:left w:val="single" w:sz="6" w:space="0" w:color="auto"/>
              <w:bottom w:val="single" w:sz="6" w:space="0" w:color="auto"/>
              <w:right w:val="single" w:sz="6" w:space="0" w:color="auto"/>
            </w:tcBorders>
            <w:shd w:val="clear" w:color="auto" w:fill="auto"/>
            <w:hideMark/>
          </w:tcPr>
          <w:p w14:paraId="7E1871DC" w14:textId="3900EBC8" w:rsidR="00CF2455" w:rsidRPr="00E639A0" w:rsidRDefault="00CF2455" w:rsidP="00CF2455">
            <w:pPr>
              <w:textAlignment w:val="baseline"/>
              <w:rPr>
                <w:rFonts w:cs="Arial"/>
                <w:color w:val="000000"/>
                <w:lang w:eastAsia="en-GB"/>
              </w:rPr>
            </w:pPr>
            <w:r w:rsidRPr="00E639A0">
              <w:rPr>
                <w:rFonts w:cs="Arial"/>
                <w:i/>
                <w:iCs/>
                <w:color w:val="000000"/>
                <w:lang w:eastAsia="en-GB"/>
              </w:rPr>
              <w:t>Of which savings in costs for E</w:t>
            </w:r>
            <w:r w:rsidR="00C00771" w:rsidRPr="00E639A0">
              <w:rPr>
                <w:rFonts w:cs="Arial"/>
                <w:i/>
                <w:iCs/>
                <w:color w:val="000000"/>
                <w:lang w:eastAsia="en-GB"/>
              </w:rPr>
              <w:t>T</w:t>
            </w:r>
            <w:r w:rsidRPr="00E639A0">
              <w:rPr>
                <w:rFonts w:cs="Arial"/>
                <w:i/>
                <w:iCs/>
                <w:color w:val="000000"/>
                <w:lang w:eastAsia="en-GB"/>
              </w:rPr>
              <w:t>s and EC</w:t>
            </w:r>
            <w:r w:rsidRPr="00E639A0">
              <w:rPr>
                <w:rFonts w:cs="Arial"/>
                <w:i/>
                <w:iCs/>
                <w:color w:val="000000"/>
                <w:vertAlign w:val="superscript"/>
                <w:lang w:eastAsia="en-GB"/>
              </w:rPr>
              <w:t>50</w:t>
            </w:r>
            <w:r w:rsidRPr="00E639A0">
              <w:rPr>
                <w:rFonts w:cs="Arial"/>
                <w:color w:val="000000"/>
                <w:lang w:eastAsia="en-GB"/>
              </w:rPr>
              <w:t> </w:t>
            </w:r>
          </w:p>
        </w:tc>
        <w:tc>
          <w:tcPr>
            <w:tcW w:w="2916" w:type="dxa"/>
            <w:tcBorders>
              <w:top w:val="single" w:sz="6" w:space="0" w:color="auto"/>
              <w:left w:val="single" w:sz="6" w:space="0" w:color="auto"/>
              <w:bottom w:val="single" w:sz="6" w:space="0" w:color="auto"/>
              <w:right w:val="single" w:sz="6" w:space="0" w:color="auto"/>
            </w:tcBorders>
            <w:shd w:val="clear" w:color="auto" w:fill="auto"/>
            <w:hideMark/>
          </w:tcPr>
          <w:p w14:paraId="0AD50547" w14:textId="77777777" w:rsidR="00CF2455" w:rsidRPr="00E639A0" w:rsidRDefault="00CF2455" w:rsidP="00CF2455">
            <w:pPr>
              <w:jc w:val="center"/>
              <w:textAlignment w:val="baseline"/>
              <w:rPr>
                <w:rFonts w:cs="Arial"/>
                <w:color w:val="000000"/>
                <w:lang w:eastAsia="en-GB"/>
              </w:rPr>
            </w:pPr>
            <w:r w:rsidRPr="00E639A0">
              <w:rPr>
                <w:rFonts w:cs="Arial"/>
                <w:color w:val="000000"/>
                <w:lang w:eastAsia="en-GB"/>
              </w:rPr>
              <w:t>£0m </w:t>
            </w:r>
          </w:p>
        </w:tc>
        <w:tc>
          <w:tcPr>
            <w:tcW w:w="2428" w:type="dxa"/>
            <w:tcBorders>
              <w:top w:val="single" w:sz="6" w:space="0" w:color="auto"/>
              <w:left w:val="single" w:sz="6" w:space="0" w:color="auto"/>
              <w:bottom w:val="single" w:sz="6" w:space="0" w:color="auto"/>
              <w:right w:val="single" w:sz="6" w:space="0" w:color="auto"/>
            </w:tcBorders>
            <w:shd w:val="clear" w:color="auto" w:fill="auto"/>
            <w:hideMark/>
          </w:tcPr>
          <w:p w14:paraId="29382E1D" w14:textId="492AB42A" w:rsidR="00CF2455" w:rsidRPr="00E639A0" w:rsidRDefault="00CF2455" w:rsidP="00CF2455">
            <w:pPr>
              <w:jc w:val="center"/>
              <w:textAlignment w:val="baseline"/>
              <w:rPr>
                <w:rFonts w:cs="Arial"/>
                <w:color w:val="000000"/>
                <w:lang w:eastAsia="en-GB"/>
              </w:rPr>
            </w:pPr>
            <w:r w:rsidRPr="00E639A0">
              <w:rPr>
                <w:rFonts w:cs="Arial"/>
                <w:color w:val="000000"/>
                <w:lang w:eastAsia="en-GB"/>
              </w:rPr>
              <w:t>£0.9m</w:t>
            </w:r>
          </w:p>
        </w:tc>
        <w:tc>
          <w:tcPr>
            <w:tcW w:w="2471" w:type="dxa"/>
            <w:tcBorders>
              <w:top w:val="single" w:sz="6" w:space="0" w:color="auto"/>
              <w:left w:val="single" w:sz="6" w:space="0" w:color="auto"/>
              <w:bottom w:val="single" w:sz="6" w:space="0" w:color="auto"/>
              <w:right w:val="single" w:sz="6" w:space="0" w:color="auto"/>
            </w:tcBorders>
            <w:shd w:val="clear" w:color="auto" w:fill="auto"/>
            <w:hideMark/>
          </w:tcPr>
          <w:p w14:paraId="6B4DE6A6" w14:textId="10837803" w:rsidR="00CF2455" w:rsidRPr="00E639A0" w:rsidRDefault="00CF2455" w:rsidP="00CF2455">
            <w:pPr>
              <w:jc w:val="center"/>
              <w:textAlignment w:val="baseline"/>
              <w:rPr>
                <w:rFonts w:cs="Arial"/>
                <w:color w:val="000000"/>
                <w:lang w:eastAsia="en-GB"/>
              </w:rPr>
            </w:pPr>
            <w:r w:rsidRPr="00E639A0">
              <w:rPr>
                <w:rFonts w:cs="Arial"/>
                <w:color w:val="000000"/>
                <w:lang w:eastAsia="en-GB"/>
              </w:rPr>
              <w:t>£1.7m</w:t>
            </w:r>
          </w:p>
        </w:tc>
      </w:tr>
      <w:tr w:rsidR="00BB558F" w:rsidRPr="00E639A0" w14:paraId="691CD713" w14:textId="77777777" w:rsidTr="005530E0">
        <w:tc>
          <w:tcPr>
            <w:tcW w:w="2374" w:type="dxa"/>
            <w:tcBorders>
              <w:top w:val="single" w:sz="6" w:space="0" w:color="auto"/>
              <w:left w:val="single" w:sz="6" w:space="0" w:color="auto"/>
              <w:bottom w:val="single" w:sz="6" w:space="0" w:color="auto"/>
              <w:right w:val="single" w:sz="6" w:space="0" w:color="auto"/>
            </w:tcBorders>
            <w:shd w:val="clear" w:color="auto" w:fill="auto"/>
          </w:tcPr>
          <w:p w14:paraId="0A9B2A7E" w14:textId="58EF09A3" w:rsidR="00BB558F" w:rsidRPr="00E639A0" w:rsidRDefault="00BB558F" w:rsidP="00BB558F">
            <w:pPr>
              <w:textAlignment w:val="baseline"/>
              <w:rPr>
                <w:rFonts w:cs="Arial"/>
                <w:i/>
                <w:iCs/>
                <w:color w:val="000000"/>
                <w:lang w:eastAsia="en-GB"/>
              </w:rPr>
            </w:pPr>
            <w:r w:rsidRPr="00E639A0">
              <w:rPr>
                <w:rFonts w:cs="Arial"/>
                <w:b/>
                <w:bCs/>
                <w:color w:val="000000"/>
                <w:lang w:eastAsia="en-GB"/>
              </w:rPr>
              <w:t>Total individual benefit</w:t>
            </w:r>
            <w:r w:rsidRPr="00E639A0">
              <w:rPr>
                <w:rFonts w:cs="Arial"/>
                <w:color w:val="000000"/>
                <w:lang w:eastAsia="en-GB"/>
              </w:rPr>
              <w:t>s</w:t>
            </w:r>
          </w:p>
        </w:tc>
        <w:tc>
          <w:tcPr>
            <w:tcW w:w="2916" w:type="dxa"/>
            <w:tcBorders>
              <w:top w:val="single" w:sz="6" w:space="0" w:color="auto"/>
              <w:left w:val="single" w:sz="6" w:space="0" w:color="auto"/>
              <w:bottom w:val="single" w:sz="6" w:space="0" w:color="auto"/>
              <w:right w:val="single" w:sz="6" w:space="0" w:color="auto"/>
            </w:tcBorders>
            <w:shd w:val="clear" w:color="auto" w:fill="auto"/>
          </w:tcPr>
          <w:p w14:paraId="7DB9EBB3" w14:textId="6551A1EE" w:rsidR="00BB558F" w:rsidRPr="00E639A0" w:rsidRDefault="00BB558F" w:rsidP="00BB558F">
            <w:pPr>
              <w:jc w:val="center"/>
              <w:textAlignment w:val="baseline"/>
              <w:rPr>
                <w:rFonts w:cs="Arial"/>
                <w:color w:val="000000"/>
                <w:lang w:eastAsia="en-GB"/>
              </w:rPr>
            </w:pPr>
            <w:r w:rsidRPr="00E639A0">
              <w:rPr>
                <w:rFonts w:cs="Arial"/>
                <w:b/>
                <w:bCs/>
                <w:color w:val="000000"/>
                <w:lang w:eastAsia="en-GB"/>
              </w:rPr>
              <w:t>£25m</w:t>
            </w:r>
            <w:r w:rsidRPr="00E639A0">
              <w:rPr>
                <w:rFonts w:cs="Arial"/>
                <w:color w:val="000000"/>
                <w:lang w:eastAsia="en-GB"/>
              </w:rPr>
              <w:t> </w:t>
            </w:r>
          </w:p>
        </w:tc>
        <w:tc>
          <w:tcPr>
            <w:tcW w:w="2428" w:type="dxa"/>
            <w:tcBorders>
              <w:top w:val="single" w:sz="6" w:space="0" w:color="auto"/>
              <w:left w:val="single" w:sz="6" w:space="0" w:color="auto"/>
              <w:bottom w:val="single" w:sz="6" w:space="0" w:color="auto"/>
              <w:right w:val="single" w:sz="6" w:space="0" w:color="auto"/>
            </w:tcBorders>
            <w:shd w:val="clear" w:color="auto" w:fill="auto"/>
          </w:tcPr>
          <w:p w14:paraId="6094409D" w14:textId="07BE2100" w:rsidR="00BB558F" w:rsidRPr="00E639A0" w:rsidRDefault="00BB558F" w:rsidP="00BB558F">
            <w:pPr>
              <w:jc w:val="center"/>
              <w:textAlignment w:val="baseline"/>
              <w:rPr>
                <w:rFonts w:cs="Arial"/>
                <w:color w:val="000000"/>
                <w:lang w:eastAsia="en-GB"/>
              </w:rPr>
            </w:pPr>
            <w:r w:rsidRPr="00E639A0">
              <w:rPr>
                <w:rFonts w:cs="Arial"/>
                <w:b/>
                <w:bCs/>
                <w:color w:val="000000"/>
                <w:lang w:eastAsia="en-GB"/>
              </w:rPr>
              <w:t>£25.9m</w:t>
            </w:r>
            <w:r w:rsidRPr="00E639A0">
              <w:rPr>
                <w:rFonts w:cs="Arial"/>
                <w:color w:val="000000"/>
                <w:lang w:eastAsia="en-GB"/>
              </w:rPr>
              <w:t> </w:t>
            </w:r>
          </w:p>
        </w:tc>
        <w:tc>
          <w:tcPr>
            <w:tcW w:w="2471" w:type="dxa"/>
            <w:tcBorders>
              <w:top w:val="single" w:sz="6" w:space="0" w:color="auto"/>
              <w:left w:val="single" w:sz="6" w:space="0" w:color="auto"/>
              <w:bottom w:val="single" w:sz="6" w:space="0" w:color="auto"/>
              <w:right w:val="single" w:sz="6" w:space="0" w:color="auto"/>
            </w:tcBorders>
            <w:shd w:val="clear" w:color="auto" w:fill="auto"/>
          </w:tcPr>
          <w:p w14:paraId="327FBA5A" w14:textId="2404A1F1" w:rsidR="00BB558F" w:rsidRPr="00E639A0" w:rsidRDefault="00BB558F" w:rsidP="00BB558F">
            <w:pPr>
              <w:jc w:val="center"/>
              <w:textAlignment w:val="baseline"/>
              <w:rPr>
                <w:rFonts w:cs="Arial"/>
                <w:color w:val="000000"/>
                <w:lang w:eastAsia="en-GB"/>
              </w:rPr>
            </w:pPr>
            <w:r w:rsidRPr="00E639A0">
              <w:rPr>
                <w:rFonts w:cs="Arial"/>
                <w:b/>
                <w:bCs/>
                <w:color w:val="000000"/>
                <w:lang w:eastAsia="en-GB"/>
              </w:rPr>
              <w:t>£26.7m</w:t>
            </w:r>
            <w:r w:rsidRPr="00E639A0">
              <w:rPr>
                <w:rFonts w:cs="Arial"/>
                <w:color w:val="000000"/>
                <w:lang w:eastAsia="en-GB"/>
              </w:rPr>
              <w:t> </w:t>
            </w:r>
          </w:p>
        </w:tc>
      </w:tr>
      <w:tr w:rsidR="00575702" w:rsidRPr="00E639A0" w14:paraId="321C6D8F" w14:textId="77777777" w:rsidTr="00AC40E3">
        <w:tc>
          <w:tcPr>
            <w:tcW w:w="10189" w:type="dxa"/>
            <w:gridSpan w:val="4"/>
            <w:tcBorders>
              <w:top w:val="single" w:sz="6" w:space="0" w:color="auto"/>
              <w:left w:val="single" w:sz="6" w:space="0" w:color="auto"/>
              <w:bottom w:val="single" w:sz="6" w:space="0" w:color="auto"/>
              <w:right w:val="single" w:sz="6" w:space="0" w:color="auto"/>
            </w:tcBorders>
            <w:shd w:val="clear" w:color="auto" w:fill="auto"/>
          </w:tcPr>
          <w:p w14:paraId="7056197B" w14:textId="24B2AB7B" w:rsidR="00575702" w:rsidRPr="00E639A0" w:rsidRDefault="00575702" w:rsidP="00BB558F">
            <w:pPr>
              <w:jc w:val="center"/>
              <w:textAlignment w:val="baseline"/>
              <w:rPr>
                <w:rFonts w:cs="Arial"/>
                <w:b/>
                <w:bCs/>
                <w:color w:val="000000"/>
                <w:lang w:eastAsia="en-GB"/>
              </w:rPr>
            </w:pPr>
            <w:r w:rsidRPr="00E639A0">
              <w:rPr>
                <w:rFonts w:cs="Arial"/>
                <w:b/>
                <w:bCs/>
                <w:color w:val="000000"/>
                <w:lang w:eastAsia="en-GB"/>
              </w:rPr>
              <w:t>Net Individual Impact</w:t>
            </w:r>
          </w:p>
        </w:tc>
      </w:tr>
      <w:tr w:rsidR="00575702" w:rsidRPr="00E639A0" w14:paraId="1F859172" w14:textId="77777777" w:rsidTr="005530E0">
        <w:tc>
          <w:tcPr>
            <w:tcW w:w="2374" w:type="dxa"/>
            <w:tcBorders>
              <w:top w:val="single" w:sz="6" w:space="0" w:color="auto"/>
              <w:left w:val="single" w:sz="6" w:space="0" w:color="auto"/>
              <w:bottom w:val="single" w:sz="6" w:space="0" w:color="auto"/>
              <w:right w:val="single" w:sz="6" w:space="0" w:color="auto"/>
            </w:tcBorders>
            <w:shd w:val="clear" w:color="auto" w:fill="auto"/>
          </w:tcPr>
          <w:p w14:paraId="65EC8609" w14:textId="77777777" w:rsidR="00575702" w:rsidRPr="00E639A0" w:rsidRDefault="00575702" w:rsidP="00BB558F">
            <w:pPr>
              <w:textAlignment w:val="baseline"/>
              <w:rPr>
                <w:rFonts w:cs="Arial"/>
                <w:b/>
                <w:bCs/>
                <w:color w:val="000000"/>
                <w:lang w:eastAsia="en-GB"/>
              </w:rPr>
            </w:pPr>
          </w:p>
        </w:tc>
        <w:tc>
          <w:tcPr>
            <w:tcW w:w="2916" w:type="dxa"/>
            <w:tcBorders>
              <w:top w:val="single" w:sz="6" w:space="0" w:color="auto"/>
              <w:left w:val="single" w:sz="6" w:space="0" w:color="auto"/>
              <w:bottom w:val="single" w:sz="6" w:space="0" w:color="auto"/>
              <w:right w:val="single" w:sz="6" w:space="0" w:color="auto"/>
            </w:tcBorders>
            <w:shd w:val="clear" w:color="auto" w:fill="auto"/>
          </w:tcPr>
          <w:p w14:paraId="3DDEFEC8" w14:textId="484E3BFD" w:rsidR="00575702" w:rsidRPr="00E639A0" w:rsidRDefault="00575702" w:rsidP="00BB558F">
            <w:pPr>
              <w:jc w:val="center"/>
              <w:textAlignment w:val="baseline"/>
              <w:rPr>
                <w:rFonts w:cs="Arial"/>
                <w:b/>
                <w:bCs/>
                <w:color w:val="000000"/>
                <w:lang w:eastAsia="en-GB"/>
              </w:rPr>
            </w:pPr>
            <w:r w:rsidRPr="00E639A0">
              <w:rPr>
                <w:rFonts w:cs="Arial"/>
                <w:b/>
                <w:bCs/>
                <w:color w:val="000000"/>
                <w:lang w:eastAsia="en-GB"/>
              </w:rPr>
              <w:t>+£25m</w:t>
            </w:r>
          </w:p>
        </w:tc>
        <w:tc>
          <w:tcPr>
            <w:tcW w:w="2428" w:type="dxa"/>
            <w:tcBorders>
              <w:top w:val="single" w:sz="6" w:space="0" w:color="auto"/>
              <w:left w:val="single" w:sz="6" w:space="0" w:color="auto"/>
              <w:bottom w:val="single" w:sz="6" w:space="0" w:color="auto"/>
              <w:right w:val="single" w:sz="6" w:space="0" w:color="auto"/>
            </w:tcBorders>
            <w:shd w:val="clear" w:color="auto" w:fill="auto"/>
          </w:tcPr>
          <w:p w14:paraId="2EE10DA2" w14:textId="4FFFC28E" w:rsidR="00575702" w:rsidRPr="00E639A0" w:rsidRDefault="00575702" w:rsidP="00BB558F">
            <w:pPr>
              <w:jc w:val="center"/>
              <w:textAlignment w:val="baseline"/>
              <w:rPr>
                <w:rFonts w:cs="Arial"/>
                <w:b/>
                <w:bCs/>
                <w:color w:val="000000"/>
                <w:lang w:eastAsia="en-GB"/>
              </w:rPr>
            </w:pPr>
            <w:r w:rsidRPr="00E639A0">
              <w:rPr>
                <w:rFonts w:cs="Arial"/>
                <w:b/>
                <w:bCs/>
                <w:color w:val="000000"/>
                <w:lang w:eastAsia="en-GB"/>
              </w:rPr>
              <w:t>+</w:t>
            </w:r>
            <w:r w:rsidR="00F235B1" w:rsidRPr="00E639A0">
              <w:rPr>
                <w:rFonts w:cs="Arial"/>
                <w:b/>
                <w:bCs/>
                <w:color w:val="000000"/>
                <w:lang w:eastAsia="en-GB"/>
              </w:rPr>
              <w:t>£25.9m</w:t>
            </w:r>
          </w:p>
        </w:tc>
        <w:tc>
          <w:tcPr>
            <w:tcW w:w="2471" w:type="dxa"/>
            <w:tcBorders>
              <w:top w:val="single" w:sz="6" w:space="0" w:color="auto"/>
              <w:left w:val="single" w:sz="6" w:space="0" w:color="auto"/>
              <w:bottom w:val="single" w:sz="6" w:space="0" w:color="auto"/>
              <w:right w:val="single" w:sz="6" w:space="0" w:color="auto"/>
            </w:tcBorders>
            <w:shd w:val="clear" w:color="auto" w:fill="auto"/>
          </w:tcPr>
          <w:p w14:paraId="0AD4C490" w14:textId="4CF1C81F" w:rsidR="00575702" w:rsidRPr="00E639A0" w:rsidRDefault="00F235B1" w:rsidP="00BB558F">
            <w:pPr>
              <w:jc w:val="center"/>
              <w:textAlignment w:val="baseline"/>
              <w:rPr>
                <w:rFonts w:cs="Arial"/>
                <w:b/>
                <w:bCs/>
                <w:color w:val="000000"/>
                <w:lang w:eastAsia="en-GB"/>
              </w:rPr>
            </w:pPr>
            <w:r w:rsidRPr="00E639A0">
              <w:rPr>
                <w:rFonts w:cs="Arial"/>
                <w:b/>
                <w:bCs/>
                <w:color w:val="000000"/>
                <w:lang w:eastAsia="en-GB"/>
              </w:rPr>
              <w:t>+</w:t>
            </w:r>
            <w:r w:rsidR="000527B6" w:rsidRPr="00E639A0">
              <w:rPr>
                <w:rFonts w:cs="Arial"/>
                <w:b/>
                <w:bCs/>
                <w:color w:val="000000"/>
                <w:lang w:eastAsia="en-GB"/>
              </w:rPr>
              <w:t>£</w:t>
            </w:r>
            <w:r w:rsidR="006401BF" w:rsidRPr="00E639A0">
              <w:rPr>
                <w:rFonts w:cs="Arial"/>
                <w:b/>
                <w:bCs/>
                <w:color w:val="000000"/>
                <w:lang w:eastAsia="en-GB"/>
              </w:rPr>
              <w:t>26.7m</w:t>
            </w:r>
          </w:p>
        </w:tc>
      </w:tr>
      <w:tr w:rsidR="00BB558F" w:rsidRPr="00E639A0" w14:paraId="078570B0" w14:textId="77777777" w:rsidTr="00332DC0">
        <w:tc>
          <w:tcPr>
            <w:tcW w:w="10189" w:type="dxa"/>
            <w:gridSpan w:val="4"/>
            <w:tcBorders>
              <w:top w:val="single" w:sz="6" w:space="0" w:color="auto"/>
              <w:left w:val="single" w:sz="6" w:space="0" w:color="auto"/>
              <w:bottom w:val="single" w:sz="6" w:space="0" w:color="auto"/>
              <w:right w:val="single" w:sz="6" w:space="0" w:color="auto"/>
            </w:tcBorders>
            <w:shd w:val="clear" w:color="auto" w:fill="D9D9D9"/>
            <w:hideMark/>
          </w:tcPr>
          <w:p w14:paraId="71DB5CD6" w14:textId="77777777" w:rsidR="00BB558F" w:rsidRPr="00E639A0" w:rsidRDefault="00BB558F" w:rsidP="00BB558F">
            <w:pPr>
              <w:jc w:val="center"/>
              <w:textAlignment w:val="baseline"/>
              <w:rPr>
                <w:rFonts w:cs="Arial"/>
                <w:color w:val="000000"/>
                <w:lang w:eastAsia="en-GB"/>
              </w:rPr>
            </w:pPr>
            <w:r w:rsidRPr="00E639A0">
              <w:rPr>
                <w:rFonts w:cs="Arial"/>
                <w:color w:val="000000"/>
                <w:lang w:eastAsia="en-GB"/>
              </w:rPr>
              <w:t> </w:t>
            </w:r>
          </w:p>
        </w:tc>
      </w:tr>
    </w:tbl>
    <w:p w14:paraId="2540B5A1" w14:textId="77777777" w:rsidR="00E474C3" w:rsidRPr="00E639A0" w:rsidRDefault="00E474C3" w:rsidP="00E474C3">
      <w:pPr>
        <w:ind w:left="270" w:hanging="270"/>
        <w:textAlignment w:val="baseline"/>
        <w:rPr>
          <w:rFonts w:cs="Arial"/>
          <w:color w:val="000000"/>
          <w:lang w:eastAsia="en-GB"/>
        </w:rPr>
      </w:pPr>
      <w:r w:rsidRPr="00E639A0">
        <w:rPr>
          <w:rFonts w:cs="Arial"/>
          <w:color w:val="000000"/>
          <w:lang w:eastAsia="en-GB"/>
        </w:rPr>
        <w:t> </w:t>
      </w:r>
    </w:p>
    <w:p w14:paraId="1B1863F4" w14:textId="62F4984C" w:rsidR="000F320D" w:rsidRPr="00E639A0" w:rsidRDefault="00E474C3" w:rsidP="00DE5E6B">
      <w:pPr>
        <w:ind w:left="270" w:hanging="270"/>
        <w:textAlignment w:val="baseline"/>
        <w:rPr>
          <w:rFonts w:cs="Arial"/>
          <w:color w:val="000000"/>
          <w:lang w:eastAsia="en-GB"/>
        </w:rPr>
      </w:pPr>
      <w:r w:rsidRPr="00E639A0">
        <w:rPr>
          <w:rFonts w:cs="Arial"/>
          <w:color w:val="000000"/>
          <w:lang w:eastAsia="en-GB"/>
        </w:rPr>
        <w:t> </w:t>
      </w:r>
      <w:r w:rsidR="009F208C" w:rsidRPr="00E639A0">
        <w:rPr>
          <w:rFonts w:cs="Arial"/>
          <w:b/>
          <w:color w:val="000000" w:themeColor="text1"/>
          <w:lang w:eastAsia="en-GB"/>
        </w:rPr>
        <w:t>Non-monetised costs and benefits</w:t>
      </w:r>
      <w:r w:rsidR="009F208C" w:rsidRPr="00E639A0">
        <w:rPr>
          <w:rFonts w:cs="Arial"/>
          <w:color w:val="000000" w:themeColor="text1"/>
          <w:lang w:eastAsia="en-GB"/>
        </w:rPr>
        <w:t> </w:t>
      </w:r>
    </w:p>
    <w:p w14:paraId="0A4754DE" w14:textId="190E59CA" w:rsidR="009F208C" w:rsidRPr="00E639A0" w:rsidRDefault="009F208C" w:rsidP="009F208C">
      <w:pPr>
        <w:jc w:val="both"/>
        <w:textAlignment w:val="baseline"/>
        <w:rPr>
          <w:rFonts w:cs="Arial"/>
          <w:b/>
          <w:bCs/>
          <w:i/>
          <w:iCs/>
          <w:color w:val="000000"/>
          <w:lang w:eastAsia="en-GB"/>
        </w:rPr>
      </w:pPr>
    </w:p>
    <w:p w14:paraId="6D8F7275" w14:textId="66B711EF" w:rsidR="009F208C" w:rsidRPr="00E639A0" w:rsidRDefault="009F208C">
      <w:pPr>
        <w:pStyle w:val="ListParagraph"/>
        <w:numPr>
          <w:ilvl w:val="0"/>
          <w:numId w:val="7"/>
        </w:numPr>
        <w:textAlignment w:val="baseline"/>
        <w:rPr>
          <w:rFonts w:cs="Arial"/>
          <w:lang w:eastAsia="en-GB"/>
        </w:rPr>
      </w:pPr>
      <w:r w:rsidRPr="00E639A0">
        <w:rPr>
          <w:rFonts w:cs="Arial"/>
          <w:lang w:eastAsia="en-GB"/>
        </w:rPr>
        <w:t>Extending the redundancy protections to cover pregnant women and new mothers will have costs and benefits beyond those estimated in the IA, as some impacts (</w:t>
      </w:r>
      <w:r w:rsidR="004461D6" w:rsidRPr="00E639A0">
        <w:rPr>
          <w:rFonts w:cs="Arial"/>
          <w:lang w:eastAsia="en-GB"/>
        </w:rPr>
        <w:t>particularly</w:t>
      </w:r>
      <w:r w:rsidRPr="00E639A0">
        <w:rPr>
          <w:rFonts w:cs="Arial"/>
          <w:lang w:eastAsia="en-GB"/>
        </w:rPr>
        <w:t xml:space="preserve"> indirect) are difficult to quantify and relevant data sources are limited.  </w:t>
      </w:r>
    </w:p>
    <w:p w14:paraId="1B4E3D77" w14:textId="77777777" w:rsidR="007B42D0" w:rsidRPr="00E639A0" w:rsidRDefault="007B42D0" w:rsidP="007B42D0">
      <w:pPr>
        <w:textAlignment w:val="baseline"/>
        <w:rPr>
          <w:rFonts w:cs="Arial"/>
          <w:lang w:eastAsia="en-GB"/>
        </w:rPr>
      </w:pPr>
    </w:p>
    <w:p w14:paraId="495ADD19" w14:textId="00645270" w:rsidR="007B42D0" w:rsidRPr="00E639A0" w:rsidRDefault="00D33253" w:rsidP="007B42D0">
      <w:pPr>
        <w:pStyle w:val="Default"/>
        <w:spacing w:after="120"/>
        <w:rPr>
          <w:i/>
          <w:iCs/>
          <w:color w:val="auto"/>
          <w:u w:val="single"/>
          <w:lang w:eastAsia="en-US"/>
        </w:rPr>
      </w:pPr>
      <w:r w:rsidRPr="00E639A0">
        <w:rPr>
          <w:i/>
          <w:iCs/>
          <w:u w:val="single"/>
        </w:rPr>
        <w:t>C</w:t>
      </w:r>
      <w:r w:rsidR="007B42D0" w:rsidRPr="00E639A0">
        <w:rPr>
          <w:i/>
          <w:iCs/>
          <w:u w:val="single"/>
        </w:rPr>
        <w:t>osts to businesses associated with retaining pregnant workers or workers retu</w:t>
      </w:r>
      <w:r w:rsidRPr="00E639A0">
        <w:rPr>
          <w:i/>
          <w:iCs/>
          <w:u w:val="single"/>
        </w:rPr>
        <w:t>r</w:t>
      </w:r>
      <w:r w:rsidR="007B42D0" w:rsidRPr="00E639A0">
        <w:rPr>
          <w:i/>
          <w:iCs/>
          <w:u w:val="single"/>
        </w:rPr>
        <w:t>ning from maternity leave</w:t>
      </w:r>
      <w:r w:rsidRPr="00E639A0">
        <w:rPr>
          <w:i/>
          <w:iCs/>
          <w:u w:val="single"/>
        </w:rPr>
        <w:t>:</w:t>
      </w:r>
    </w:p>
    <w:p w14:paraId="3DE0E9F0" w14:textId="77777777" w:rsidR="007B42D0" w:rsidRPr="00E639A0" w:rsidRDefault="007B42D0" w:rsidP="007B42D0">
      <w:pPr>
        <w:jc w:val="both"/>
        <w:rPr>
          <w:rFonts w:cs="Arial"/>
          <w:u w:val="single"/>
        </w:rPr>
      </w:pPr>
    </w:p>
    <w:p w14:paraId="787B7E91" w14:textId="0FDB0ACF" w:rsidR="007B42D0" w:rsidRPr="00E639A0" w:rsidRDefault="007B42D0" w:rsidP="007B42D0">
      <w:pPr>
        <w:pStyle w:val="ListParagraph"/>
        <w:numPr>
          <w:ilvl w:val="0"/>
          <w:numId w:val="7"/>
        </w:numPr>
        <w:rPr>
          <w:rFonts w:cs="Arial"/>
        </w:rPr>
      </w:pPr>
      <w:r w:rsidRPr="00E639A0">
        <w:rPr>
          <w:rFonts w:cs="Arial"/>
        </w:rPr>
        <w:t xml:space="preserve">Economic theory suggests that when a business makes someone </w:t>
      </w:r>
      <w:r w:rsidR="004461D6" w:rsidRPr="00E639A0">
        <w:rPr>
          <w:rFonts w:cs="Arial"/>
        </w:rPr>
        <w:t>redundant,</w:t>
      </w:r>
      <w:r w:rsidRPr="00E639A0">
        <w:rPr>
          <w:rFonts w:cs="Arial"/>
        </w:rPr>
        <w:t xml:space="preserve"> they do so because the costs of employing them outweigh the benefits. This means that businesses will incur labour costs from retaining pregnant women and/or employees returning from Maternity/Shared Parental/Adoption Leave, who would, in the absence of legislation be made redundant. However, it is difficult to reliably quantify this impact, particularly in marginal redundancy decisions, as it requires a number of theoretical assumptions which go well beyond the available evidence. For example, the following theoretical assumptions have to be considered: </w:t>
      </w:r>
    </w:p>
    <w:p w14:paraId="34B36D79" w14:textId="77777777" w:rsidR="007B42D0" w:rsidRPr="00E639A0" w:rsidRDefault="007B42D0" w:rsidP="007B42D0">
      <w:pPr>
        <w:pStyle w:val="ListParagraph"/>
        <w:numPr>
          <w:ilvl w:val="1"/>
          <w:numId w:val="28"/>
        </w:numPr>
        <w:rPr>
          <w:rFonts w:cs="Arial"/>
        </w:rPr>
      </w:pPr>
      <w:r w:rsidRPr="00E639A0">
        <w:rPr>
          <w:rFonts w:cs="Arial"/>
        </w:rPr>
        <w:t>The benefit to the business of keeping someone employed, who would otherwise be made redundant, is less than the cost of employing them (otherwise why select for redundancy) but by how much is uncertain. We have not attempted to estimate this benefit but arguably there is output value which mean the net impacts will be negative but close to zero in marginal redundancy cases.</w:t>
      </w:r>
    </w:p>
    <w:p w14:paraId="627B8AE7" w14:textId="5EFF73FF" w:rsidR="007B42D0" w:rsidRPr="00E639A0" w:rsidRDefault="007B42D0" w:rsidP="007B42D0">
      <w:pPr>
        <w:pStyle w:val="ListParagraph"/>
        <w:numPr>
          <w:ilvl w:val="1"/>
          <w:numId w:val="28"/>
        </w:numPr>
        <w:rPr>
          <w:rFonts w:cs="Arial"/>
        </w:rPr>
      </w:pPr>
      <w:r w:rsidRPr="00E639A0">
        <w:rPr>
          <w:rFonts w:cs="Arial"/>
        </w:rPr>
        <w:t>The comparative cost of making another employee redundant may be broadly similar in large firms where there is a bigger pool of employees from which to select redundancies</w:t>
      </w:r>
      <w:r w:rsidR="00C00771" w:rsidRPr="00E639A0">
        <w:rPr>
          <w:rFonts w:cs="Arial"/>
        </w:rPr>
        <w:t>,</w:t>
      </w:r>
      <w:r w:rsidRPr="00E639A0">
        <w:rPr>
          <w:rFonts w:cs="Arial"/>
        </w:rPr>
        <w:t xml:space="preserve"> but this may not hold in smaller firms and will depend on the numbers at specific levels/roles. </w:t>
      </w:r>
    </w:p>
    <w:p w14:paraId="388CB8DA" w14:textId="77777777" w:rsidR="007B42D0" w:rsidRPr="00E639A0" w:rsidRDefault="007B42D0" w:rsidP="007B42D0">
      <w:pPr>
        <w:pStyle w:val="ListParagraph"/>
        <w:numPr>
          <w:ilvl w:val="1"/>
          <w:numId w:val="28"/>
        </w:numPr>
        <w:rPr>
          <w:rFonts w:cs="Arial"/>
        </w:rPr>
      </w:pPr>
      <w:r w:rsidRPr="00E639A0">
        <w:rPr>
          <w:rFonts w:cs="Arial"/>
        </w:rPr>
        <w:t xml:space="preserve">What happens at the end of the protection period? Would pregnant women and/or employees returning from leave be made redundant at a later point (after the protection period elapses). </w:t>
      </w:r>
    </w:p>
    <w:p w14:paraId="099C637B" w14:textId="77777777" w:rsidR="007B42D0" w:rsidRPr="00E639A0" w:rsidRDefault="007B42D0" w:rsidP="007B42D0">
      <w:pPr>
        <w:pStyle w:val="ListParagraph"/>
        <w:numPr>
          <w:ilvl w:val="1"/>
          <w:numId w:val="28"/>
        </w:numPr>
        <w:rPr>
          <w:rFonts w:cs="Arial"/>
        </w:rPr>
      </w:pPr>
      <w:r w:rsidRPr="00E639A0">
        <w:rPr>
          <w:rFonts w:cs="Arial"/>
        </w:rPr>
        <w:t>Any labour costs incurred by business (from keeping employee on) would largely be a transferred benefit to workers in the form of wages but this assumes those workers would not secure alternative employment.</w:t>
      </w:r>
    </w:p>
    <w:p w14:paraId="4FA128D2" w14:textId="613A5BF2" w:rsidR="007B42D0" w:rsidRPr="00E639A0" w:rsidRDefault="007B42D0" w:rsidP="007B42D0">
      <w:pPr>
        <w:pStyle w:val="ListParagraph"/>
        <w:numPr>
          <w:ilvl w:val="1"/>
          <w:numId w:val="28"/>
        </w:numPr>
        <w:rPr>
          <w:rFonts w:cs="Arial"/>
        </w:rPr>
      </w:pPr>
      <w:r w:rsidRPr="00E639A0">
        <w:rPr>
          <w:rFonts w:cs="Arial"/>
        </w:rPr>
        <w:t>Assumptions are also required on how business will respond, for example do they make someone else redundant or just absorb the costs.</w:t>
      </w:r>
    </w:p>
    <w:p w14:paraId="74A7D089" w14:textId="77777777" w:rsidR="007B42D0" w:rsidRPr="00E639A0" w:rsidRDefault="007B42D0" w:rsidP="007B42D0">
      <w:pPr>
        <w:ind w:left="1080"/>
        <w:rPr>
          <w:rFonts w:cs="Arial"/>
        </w:rPr>
      </w:pPr>
    </w:p>
    <w:p w14:paraId="64F80636" w14:textId="63D07C6D" w:rsidR="007B42D0" w:rsidRPr="00E639A0" w:rsidRDefault="007B42D0" w:rsidP="007B42D0">
      <w:pPr>
        <w:pStyle w:val="ListParagraph"/>
        <w:numPr>
          <w:ilvl w:val="0"/>
          <w:numId w:val="7"/>
        </w:numPr>
        <w:rPr>
          <w:rFonts w:cs="Arial"/>
        </w:rPr>
      </w:pPr>
      <w:r w:rsidRPr="00E639A0">
        <w:rPr>
          <w:rFonts w:cs="Arial"/>
        </w:rPr>
        <w:t xml:space="preserve">If these </w:t>
      </w:r>
      <w:r w:rsidR="004461D6" w:rsidRPr="00E639A0">
        <w:rPr>
          <w:rFonts w:cs="Arial"/>
        </w:rPr>
        <w:t>marginal</w:t>
      </w:r>
      <w:r w:rsidRPr="00E639A0">
        <w:rPr>
          <w:rFonts w:cs="Arial"/>
        </w:rPr>
        <w:t xml:space="preserve"> costs were included in the NPV calculation, it is possible that the overall NPV could be lower than estimated. However</w:t>
      </w:r>
      <w:r w:rsidR="004461D6" w:rsidRPr="00E639A0">
        <w:rPr>
          <w:rFonts w:cs="Arial"/>
        </w:rPr>
        <w:t>,</w:t>
      </w:r>
      <w:r w:rsidRPr="00E639A0">
        <w:rPr>
          <w:rFonts w:cs="Arial"/>
        </w:rPr>
        <w:t xml:space="preserve"> for reasons outlined above we propose to present these highly uncertain and theoretical costs in Annex </w:t>
      </w:r>
      <w:r w:rsidR="005A3505" w:rsidRPr="00E639A0">
        <w:rPr>
          <w:rFonts w:cs="Arial"/>
        </w:rPr>
        <w:t>B</w:t>
      </w:r>
      <w:r w:rsidRPr="00E639A0">
        <w:rPr>
          <w:rFonts w:cs="Arial"/>
        </w:rPr>
        <w:t xml:space="preserve"> rather than include in the Net Present Value calculations captured on pages 1 and 2.</w:t>
      </w:r>
    </w:p>
    <w:p w14:paraId="4394CBBD" w14:textId="77777777" w:rsidR="007B42D0" w:rsidRPr="00E639A0" w:rsidRDefault="007B42D0" w:rsidP="00332DC0">
      <w:pPr>
        <w:textAlignment w:val="baseline"/>
        <w:rPr>
          <w:rFonts w:cs="Arial"/>
          <w:lang w:eastAsia="en-GB"/>
        </w:rPr>
      </w:pPr>
    </w:p>
    <w:p w14:paraId="7485462D" w14:textId="2283F0F1" w:rsidR="009F208C" w:rsidRPr="00E639A0" w:rsidRDefault="009F208C" w:rsidP="00BB1A00">
      <w:pPr>
        <w:jc w:val="both"/>
        <w:textAlignment w:val="baseline"/>
        <w:rPr>
          <w:rFonts w:cs="Arial"/>
          <w:color w:val="000000"/>
          <w:u w:val="single"/>
          <w:lang w:eastAsia="en-GB"/>
        </w:rPr>
      </w:pPr>
      <w:r w:rsidRPr="00E639A0">
        <w:rPr>
          <w:rFonts w:cs="Arial"/>
          <w:b/>
          <w:bCs/>
          <w:i/>
          <w:iCs/>
          <w:color w:val="000000"/>
          <w:lang w:eastAsia="en-GB"/>
        </w:rPr>
        <w:t> </w:t>
      </w:r>
      <w:r w:rsidRPr="00E639A0">
        <w:rPr>
          <w:rFonts w:cs="Arial"/>
          <w:i/>
          <w:iCs/>
          <w:color w:val="000000"/>
          <w:u w:val="single"/>
          <w:lang w:eastAsia="en-GB"/>
        </w:rPr>
        <w:t xml:space="preserve">Potential </w:t>
      </w:r>
      <w:r w:rsidR="00460E00" w:rsidRPr="00E639A0">
        <w:rPr>
          <w:rFonts w:cs="Arial"/>
          <w:i/>
          <w:iCs/>
          <w:color w:val="000000"/>
          <w:u w:val="single"/>
          <w:lang w:eastAsia="en-GB"/>
        </w:rPr>
        <w:t xml:space="preserve">additional </w:t>
      </w:r>
      <w:r w:rsidRPr="00E639A0">
        <w:rPr>
          <w:rFonts w:cs="Arial"/>
          <w:i/>
          <w:iCs/>
          <w:color w:val="000000"/>
          <w:u w:val="single"/>
          <w:lang w:eastAsia="en-GB"/>
        </w:rPr>
        <w:t>costs to other workers, employers and the Exchequer</w:t>
      </w:r>
      <w:r w:rsidRPr="00E639A0">
        <w:rPr>
          <w:rFonts w:cs="Arial"/>
          <w:color w:val="000000"/>
          <w:u w:val="single"/>
          <w:lang w:eastAsia="en-GB"/>
        </w:rPr>
        <w:t> </w:t>
      </w:r>
    </w:p>
    <w:p w14:paraId="39F34F32" w14:textId="77777777" w:rsidR="00B817E0" w:rsidRPr="00E639A0" w:rsidRDefault="00B817E0" w:rsidP="009F208C">
      <w:pPr>
        <w:textAlignment w:val="baseline"/>
        <w:rPr>
          <w:rFonts w:cs="Arial"/>
          <w:color w:val="000000"/>
          <w:lang w:eastAsia="en-GB"/>
        </w:rPr>
      </w:pPr>
    </w:p>
    <w:p w14:paraId="37E21DF1" w14:textId="2976E8B9" w:rsidR="009F208C" w:rsidRPr="00E639A0" w:rsidRDefault="00C26449" w:rsidP="00332DC0">
      <w:pPr>
        <w:pStyle w:val="ListParagraph"/>
        <w:numPr>
          <w:ilvl w:val="0"/>
          <w:numId w:val="7"/>
        </w:numPr>
        <w:textAlignment w:val="baseline"/>
        <w:rPr>
          <w:rFonts w:cs="Arial"/>
          <w:lang w:eastAsia="en-GB"/>
        </w:rPr>
      </w:pPr>
      <w:r w:rsidRPr="00E639A0">
        <w:rPr>
          <w:rFonts w:cs="Arial"/>
          <w:lang w:eastAsia="en-GB"/>
        </w:rPr>
        <w:t>I</w:t>
      </w:r>
      <w:r w:rsidR="000D7800" w:rsidRPr="00E639A0">
        <w:rPr>
          <w:rFonts w:cs="Arial"/>
          <w:lang w:eastAsia="en-GB"/>
        </w:rPr>
        <w:t xml:space="preserve">t is possible that an employer could make </w:t>
      </w:r>
      <w:r w:rsidR="009F208C" w:rsidRPr="00E639A0">
        <w:rPr>
          <w:rFonts w:cs="Arial"/>
          <w:lang w:eastAsia="en-GB"/>
        </w:rPr>
        <w:t>someone other than a returning parent redundant</w:t>
      </w:r>
      <w:r w:rsidR="001F7369" w:rsidRPr="00E639A0">
        <w:rPr>
          <w:rFonts w:cs="Arial"/>
          <w:lang w:eastAsia="en-GB"/>
        </w:rPr>
        <w:t xml:space="preserve"> following policy change</w:t>
      </w:r>
      <w:r w:rsidR="009F208C" w:rsidRPr="00E639A0">
        <w:rPr>
          <w:rFonts w:cs="Arial"/>
          <w:lang w:eastAsia="en-GB"/>
        </w:rPr>
        <w:t xml:space="preserve"> (</w:t>
      </w:r>
      <w:r w:rsidR="00CF0360" w:rsidRPr="00E639A0">
        <w:rPr>
          <w:rFonts w:cs="Arial"/>
          <w:lang w:eastAsia="en-GB"/>
        </w:rPr>
        <w:t xml:space="preserve">Annex A </w:t>
      </w:r>
      <w:r w:rsidR="001F7369" w:rsidRPr="00E639A0">
        <w:rPr>
          <w:rFonts w:cs="Arial"/>
          <w:lang w:eastAsia="en-GB"/>
        </w:rPr>
        <w:t>discusses this scenario in further detail</w:t>
      </w:r>
      <w:r w:rsidR="00CF0360" w:rsidRPr="00E639A0">
        <w:rPr>
          <w:rFonts w:cs="Arial"/>
          <w:lang w:eastAsia="en-GB"/>
        </w:rPr>
        <w:t>). In this instance</w:t>
      </w:r>
      <w:r w:rsidR="009F208C" w:rsidRPr="00E639A0">
        <w:rPr>
          <w:rFonts w:cs="Arial"/>
          <w:lang w:eastAsia="en-GB"/>
        </w:rPr>
        <w:t xml:space="preserve"> there will, of course, be associated costs to those individuals (loss of employment, earnings etc). Where an employer attempts to absorb costs rather than make someone else redundant (cost-offset) it is possible that employee terms and conditions are reduced more broadly to address these pressures. It is not possible to estimate these costs. </w:t>
      </w:r>
    </w:p>
    <w:p w14:paraId="78A3681C" w14:textId="77777777" w:rsidR="009F208C" w:rsidRPr="00E639A0" w:rsidRDefault="009F208C" w:rsidP="009F208C">
      <w:pPr>
        <w:ind w:left="720"/>
        <w:textAlignment w:val="baseline"/>
        <w:rPr>
          <w:rFonts w:cs="Arial"/>
          <w:lang w:eastAsia="en-GB"/>
        </w:rPr>
      </w:pPr>
      <w:r w:rsidRPr="00E639A0">
        <w:rPr>
          <w:rFonts w:cs="Arial"/>
          <w:lang w:eastAsia="en-GB"/>
        </w:rPr>
        <w:t> </w:t>
      </w:r>
    </w:p>
    <w:p w14:paraId="2FDDF7E7" w14:textId="77777777" w:rsidR="009F208C" w:rsidRPr="00E639A0" w:rsidRDefault="009F208C" w:rsidP="00332DC0">
      <w:pPr>
        <w:pStyle w:val="ListParagraph"/>
        <w:numPr>
          <w:ilvl w:val="0"/>
          <w:numId w:val="7"/>
        </w:numPr>
        <w:textAlignment w:val="baseline"/>
        <w:rPr>
          <w:rFonts w:cs="Arial"/>
          <w:lang w:eastAsia="en-GB"/>
        </w:rPr>
      </w:pPr>
      <w:r w:rsidRPr="00E639A0">
        <w:rPr>
          <w:rFonts w:cs="Arial"/>
          <w:lang w:eastAsia="en-GB"/>
        </w:rPr>
        <w:t>There may also be costs to employers (if a returning parent employee is less productive than another employee (non-parent) who is now selected for redundancy. The employer may seek to address cost pressures by increasing prices, lowering profits or trying to increase productivity elsewhere. </w:t>
      </w:r>
    </w:p>
    <w:p w14:paraId="717C2AF6" w14:textId="77777777" w:rsidR="009F208C" w:rsidRPr="00E639A0" w:rsidRDefault="009F208C" w:rsidP="009F208C">
      <w:pPr>
        <w:textAlignment w:val="baseline"/>
        <w:rPr>
          <w:rFonts w:cs="Arial"/>
          <w:lang w:eastAsia="en-GB"/>
        </w:rPr>
      </w:pPr>
      <w:r w:rsidRPr="00E639A0">
        <w:rPr>
          <w:rFonts w:cs="Arial"/>
          <w:lang w:eastAsia="en-GB"/>
        </w:rPr>
        <w:t> </w:t>
      </w:r>
    </w:p>
    <w:p w14:paraId="43891B99" w14:textId="77777777" w:rsidR="009F208C" w:rsidRPr="00E639A0" w:rsidRDefault="009F208C" w:rsidP="00332DC0">
      <w:pPr>
        <w:pStyle w:val="ListParagraph"/>
        <w:numPr>
          <w:ilvl w:val="0"/>
          <w:numId w:val="7"/>
        </w:numPr>
        <w:textAlignment w:val="baseline"/>
        <w:rPr>
          <w:rFonts w:cs="Arial"/>
          <w:lang w:eastAsia="en-GB"/>
        </w:rPr>
      </w:pPr>
      <w:r w:rsidRPr="00E639A0">
        <w:rPr>
          <w:rFonts w:cs="Arial"/>
          <w:lang w:eastAsia="en-GB"/>
        </w:rPr>
        <w:t>The economy will experience negative impacts associated with other workers being made redundant – loss of productivity, tax revenue and potential increases in welfare benefits.  </w:t>
      </w:r>
    </w:p>
    <w:p w14:paraId="7DF49CB6" w14:textId="77777777" w:rsidR="009F208C" w:rsidRPr="00E639A0" w:rsidRDefault="009F208C" w:rsidP="009F208C">
      <w:pPr>
        <w:textAlignment w:val="baseline"/>
        <w:rPr>
          <w:rFonts w:cs="Arial"/>
          <w:color w:val="000000"/>
          <w:lang w:eastAsia="en-GB"/>
        </w:rPr>
      </w:pPr>
      <w:r w:rsidRPr="00E639A0">
        <w:rPr>
          <w:rFonts w:cs="Arial"/>
          <w:color w:val="000000"/>
          <w:lang w:eastAsia="en-GB"/>
        </w:rPr>
        <w:t> </w:t>
      </w:r>
    </w:p>
    <w:p w14:paraId="2C2CF40B" w14:textId="77777777" w:rsidR="009F208C" w:rsidRPr="00E639A0" w:rsidRDefault="009F208C" w:rsidP="009F208C">
      <w:pPr>
        <w:textAlignment w:val="baseline"/>
        <w:rPr>
          <w:rFonts w:cs="Arial"/>
          <w:color w:val="000000"/>
          <w:u w:val="single"/>
          <w:lang w:eastAsia="en-GB"/>
        </w:rPr>
      </w:pPr>
      <w:r w:rsidRPr="00E639A0">
        <w:rPr>
          <w:rFonts w:cs="Arial"/>
          <w:i/>
          <w:iCs/>
          <w:color w:val="000000"/>
          <w:u w:val="single"/>
          <w:lang w:eastAsia="en-GB"/>
        </w:rPr>
        <w:t>Benefits to pregnant women and mothers returning to work</w:t>
      </w:r>
      <w:r w:rsidRPr="00E639A0">
        <w:rPr>
          <w:rFonts w:cs="Arial"/>
          <w:color w:val="000000"/>
          <w:u w:val="single"/>
          <w:lang w:eastAsia="en-GB"/>
        </w:rPr>
        <w:t> </w:t>
      </w:r>
    </w:p>
    <w:p w14:paraId="1885790D" w14:textId="77777777" w:rsidR="00C85070" w:rsidRPr="00E639A0" w:rsidRDefault="00C85070" w:rsidP="009F208C">
      <w:pPr>
        <w:textAlignment w:val="baseline"/>
        <w:rPr>
          <w:rFonts w:cs="Arial"/>
          <w:color w:val="000000"/>
          <w:lang w:eastAsia="en-GB"/>
        </w:rPr>
      </w:pPr>
    </w:p>
    <w:p w14:paraId="539B22A3" w14:textId="77777777" w:rsidR="009F208C" w:rsidRPr="00E639A0" w:rsidRDefault="009F208C" w:rsidP="00332DC0">
      <w:pPr>
        <w:pStyle w:val="ListParagraph"/>
        <w:numPr>
          <w:ilvl w:val="0"/>
          <w:numId w:val="7"/>
        </w:numPr>
        <w:textAlignment w:val="baseline"/>
        <w:rPr>
          <w:rFonts w:cs="Arial"/>
          <w:lang w:eastAsia="en-GB"/>
        </w:rPr>
      </w:pPr>
      <w:r w:rsidRPr="00E639A0">
        <w:rPr>
          <w:rFonts w:cs="Arial"/>
          <w:lang w:eastAsia="en-GB"/>
        </w:rPr>
        <w:t>The majority of consultation respondents agreed that the extension of rights would increase protection against discrimination and support women and new parents returning to work. Greater job security, fair and equal treatment, and dispelling of misconceptions around mothers being unable to work after childbirth were also highlighted by consultation respondents.  </w:t>
      </w:r>
      <w:r w:rsidRPr="00E639A0">
        <w:rPr>
          <w:rFonts w:cs="Arial"/>
          <w:lang w:eastAsia="en-GB"/>
        </w:rPr>
        <w:br/>
        <w:t> </w:t>
      </w:r>
    </w:p>
    <w:p w14:paraId="018C9C7D" w14:textId="215059F5" w:rsidR="009F208C" w:rsidRPr="00E639A0" w:rsidRDefault="009F208C" w:rsidP="00332DC0">
      <w:pPr>
        <w:pStyle w:val="ListParagraph"/>
        <w:numPr>
          <w:ilvl w:val="0"/>
          <w:numId w:val="7"/>
        </w:numPr>
        <w:textAlignment w:val="baseline"/>
        <w:rPr>
          <w:rFonts w:cs="Arial"/>
          <w:lang w:eastAsia="en-GB"/>
        </w:rPr>
      </w:pPr>
      <w:r w:rsidRPr="00E639A0">
        <w:rPr>
          <w:rFonts w:cs="Arial"/>
          <w:lang w:eastAsia="en-GB"/>
        </w:rPr>
        <w:t xml:space="preserve">Career </w:t>
      </w:r>
      <w:r w:rsidR="007077C0" w:rsidRPr="00E639A0">
        <w:rPr>
          <w:rFonts w:cs="Arial"/>
          <w:lang w:eastAsia="en-GB"/>
        </w:rPr>
        <w:t>prospects</w:t>
      </w:r>
      <w:r w:rsidRPr="00E639A0">
        <w:rPr>
          <w:rFonts w:cs="Arial"/>
          <w:lang w:eastAsia="en-GB"/>
        </w:rPr>
        <w:t xml:space="preserve"> may improve for new parents – average job tenure may increase, labour market attachment supports the development of skills and knowledge, and the likelihood of wage progression increases.  </w:t>
      </w:r>
    </w:p>
    <w:p w14:paraId="0A5C0FA6" w14:textId="77777777" w:rsidR="009F208C" w:rsidRPr="00E639A0" w:rsidRDefault="009F208C" w:rsidP="009F208C">
      <w:pPr>
        <w:ind w:left="720" w:hanging="435"/>
        <w:textAlignment w:val="baseline"/>
        <w:rPr>
          <w:rFonts w:cs="Arial"/>
          <w:lang w:eastAsia="en-GB"/>
        </w:rPr>
      </w:pPr>
      <w:r w:rsidRPr="00E639A0">
        <w:rPr>
          <w:rFonts w:cs="Arial"/>
          <w:lang w:eastAsia="en-GB"/>
        </w:rPr>
        <w:t> </w:t>
      </w:r>
    </w:p>
    <w:p w14:paraId="08D11B8A" w14:textId="2CD0BF02" w:rsidR="009F208C" w:rsidRPr="00E639A0" w:rsidRDefault="009F208C" w:rsidP="00332DC0">
      <w:pPr>
        <w:pStyle w:val="ListParagraph"/>
        <w:numPr>
          <w:ilvl w:val="0"/>
          <w:numId w:val="7"/>
        </w:numPr>
        <w:textAlignment w:val="baseline"/>
        <w:rPr>
          <w:rFonts w:cs="Arial"/>
          <w:lang w:eastAsia="en-GB"/>
        </w:rPr>
      </w:pPr>
      <w:r w:rsidRPr="00E639A0">
        <w:rPr>
          <w:rFonts w:cs="Arial"/>
          <w:lang w:eastAsia="en-GB"/>
        </w:rPr>
        <w:t>New parents are likely to benefit from mental health and wellbeing impacts by remaining in employment. Unemployment is negatively associated with life satisfaction and happiness, evidenced by a large body of empirical research</w:t>
      </w:r>
      <w:r w:rsidR="003107F7" w:rsidRPr="00E639A0">
        <w:rPr>
          <w:rStyle w:val="FootnoteReference"/>
          <w:rFonts w:cs="Arial"/>
          <w:sz w:val="24"/>
          <w:lang w:eastAsia="en-GB"/>
        </w:rPr>
        <w:footnoteReference w:id="43"/>
      </w:r>
      <w:r w:rsidRPr="00E639A0">
        <w:rPr>
          <w:rFonts w:cs="Arial"/>
          <w:lang w:eastAsia="en-GB"/>
        </w:rPr>
        <w:t>. </w:t>
      </w:r>
    </w:p>
    <w:p w14:paraId="591A4001" w14:textId="77777777" w:rsidR="009F208C" w:rsidRPr="00E639A0" w:rsidRDefault="009F208C" w:rsidP="009F208C">
      <w:pPr>
        <w:ind w:left="720"/>
        <w:textAlignment w:val="baseline"/>
        <w:rPr>
          <w:rFonts w:cs="Arial"/>
          <w:lang w:eastAsia="en-GB"/>
        </w:rPr>
      </w:pPr>
      <w:r w:rsidRPr="00E639A0">
        <w:rPr>
          <w:rFonts w:cs="Arial"/>
          <w:lang w:eastAsia="en-GB"/>
        </w:rPr>
        <w:t> </w:t>
      </w:r>
    </w:p>
    <w:p w14:paraId="5F1657C4" w14:textId="387435C4" w:rsidR="009F208C" w:rsidRPr="00E639A0" w:rsidRDefault="009F208C" w:rsidP="00332DC0">
      <w:pPr>
        <w:pStyle w:val="ListParagraph"/>
        <w:numPr>
          <w:ilvl w:val="0"/>
          <w:numId w:val="7"/>
        </w:numPr>
        <w:textAlignment w:val="baseline"/>
        <w:rPr>
          <w:rFonts w:cs="Arial"/>
          <w:lang w:eastAsia="en-GB"/>
        </w:rPr>
      </w:pPr>
      <w:r w:rsidRPr="00E639A0">
        <w:rPr>
          <w:rFonts w:cs="Arial"/>
          <w:lang w:eastAsia="en-GB"/>
        </w:rPr>
        <w:t xml:space="preserve">The analysis does not account for contractual Maternity Pay (termed Occupational Maternity Pay) or contractual Redundancy Pay i.e. where an employer has access to a policy which is more generous than the statutory scheme (an employer may change this policy and apply specific terms and conditions on access to these schemes). In some circumstances an employee may now benefit from a more generous maternity pay package (and the employer would face the associated costs for this) if they would otherwise be made redundant. Similarly, employees may miss out on more generous redundancy pay (and the employer would benefit from no longer having to pay them) as they are no longer selected for redundancy. As such schemes are discretionary and a matter of contractual </w:t>
      </w:r>
      <w:r w:rsidR="004461D6" w:rsidRPr="00E639A0">
        <w:rPr>
          <w:rFonts w:cs="Arial"/>
          <w:lang w:eastAsia="en-GB"/>
        </w:rPr>
        <w:t>law,</w:t>
      </w:r>
      <w:r w:rsidRPr="00E639A0">
        <w:rPr>
          <w:rFonts w:cs="Arial"/>
          <w:lang w:eastAsia="en-GB"/>
        </w:rPr>
        <w:t xml:space="preserve"> they are outside the scope of this Impact Assessment.  </w:t>
      </w:r>
    </w:p>
    <w:p w14:paraId="7731E3D9" w14:textId="77777777" w:rsidR="009F208C" w:rsidRPr="00E639A0" w:rsidRDefault="009F208C" w:rsidP="009F208C">
      <w:pPr>
        <w:jc w:val="both"/>
        <w:textAlignment w:val="baseline"/>
        <w:rPr>
          <w:rFonts w:cs="Arial"/>
          <w:b/>
          <w:bCs/>
          <w:i/>
          <w:iCs/>
          <w:color w:val="000000"/>
          <w:lang w:eastAsia="en-GB"/>
        </w:rPr>
      </w:pPr>
      <w:r w:rsidRPr="00E639A0">
        <w:rPr>
          <w:rFonts w:cs="Arial"/>
          <w:b/>
          <w:bCs/>
          <w:i/>
          <w:iCs/>
          <w:color w:val="000000"/>
          <w:lang w:eastAsia="en-GB"/>
        </w:rPr>
        <w:t> </w:t>
      </w:r>
    </w:p>
    <w:p w14:paraId="4FFF0061" w14:textId="77777777" w:rsidR="009F208C" w:rsidRPr="00E639A0" w:rsidRDefault="009F208C" w:rsidP="009F208C">
      <w:pPr>
        <w:textAlignment w:val="baseline"/>
        <w:rPr>
          <w:rFonts w:cs="Arial"/>
          <w:color w:val="000000"/>
          <w:u w:val="single"/>
          <w:lang w:eastAsia="en-GB"/>
        </w:rPr>
      </w:pPr>
      <w:r w:rsidRPr="00E639A0">
        <w:rPr>
          <w:rFonts w:cs="Arial"/>
          <w:i/>
          <w:iCs/>
          <w:color w:val="000000"/>
          <w:u w:val="single"/>
          <w:lang w:eastAsia="en-GB"/>
        </w:rPr>
        <w:t>Employer benefits</w:t>
      </w:r>
      <w:r w:rsidRPr="00E639A0">
        <w:rPr>
          <w:rFonts w:cs="Arial"/>
          <w:color w:val="000000"/>
          <w:u w:val="single"/>
          <w:lang w:eastAsia="en-GB"/>
        </w:rPr>
        <w:t> </w:t>
      </w:r>
    </w:p>
    <w:p w14:paraId="2EC13E7A" w14:textId="77777777" w:rsidR="00C85070" w:rsidRPr="00E639A0" w:rsidRDefault="00C85070" w:rsidP="009F208C">
      <w:pPr>
        <w:textAlignment w:val="baseline"/>
        <w:rPr>
          <w:rFonts w:cs="Arial"/>
          <w:color w:val="000000"/>
          <w:lang w:eastAsia="en-GB"/>
        </w:rPr>
      </w:pPr>
    </w:p>
    <w:p w14:paraId="04BE6F85" w14:textId="5402092C" w:rsidR="009F208C" w:rsidRPr="00E639A0" w:rsidRDefault="009F208C" w:rsidP="00332DC0">
      <w:pPr>
        <w:pStyle w:val="ListParagraph"/>
        <w:numPr>
          <w:ilvl w:val="0"/>
          <w:numId w:val="7"/>
        </w:numPr>
        <w:textAlignment w:val="baseline"/>
        <w:rPr>
          <w:rFonts w:cs="Arial"/>
          <w:lang w:eastAsia="en-GB"/>
        </w:rPr>
      </w:pPr>
      <w:r w:rsidRPr="00E639A0">
        <w:rPr>
          <w:rFonts w:cs="Arial"/>
          <w:lang w:eastAsia="en-GB"/>
        </w:rPr>
        <w:t xml:space="preserve">Positive benefits are likely to flow to businesses driven by having employees who feel accepted in the workplace being more committed to the business. </w:t>
      </w:r>
      <w:r w:rsidR="00C94A63" w:rsidRPr="00E639A0">
        <w:rPr>
          <w:rFonts w:cs="Arial"/>
          <w:lang w:eastAsia="en-GB"/>
        </w:rPr>
        <w:t>Indeed,</w:t>
      </w:r>
      <w:r w:rsidRPr="00E639A0">
        <w:rPr>
          <w:rFonts w:cs="Arial"/>
          <w:lang w:eastAsia="en-GB"/>
        </w:rPr>
        <w:t xml:space="preserve"> 77% of consultation respondents identified benefits to businesses of the policy. It is possible that employees may see a long-term future at the company, contributing to lower labour turnover and the business retaining the knowledge and skills of its workforce. Some employers that responded to the consultation highlighted the mid to long-term benefits of greater employee retention, a more productive workforce and enhanced employer reputation.  </w:t>
      </w:r>
    </w:p>
    <w:p w14:paraId="18C8F279" w14:textId="77777777" w:rsidR="009F208C" w:rsidRPr="00E639A0" w:rsidRDefault="009F208C" w:rsidP="009F208C">
      <w:pPr>
        <w:textAlignment w:val="baseline"/>
        <w:rPr>
          <w:rFonts w:cs="Arial"/>
          <w:color w:val="000000"/>
          <w:lang w:eastAsia="en-GB"/>
        </w:rPr>
      </w:pPr>
      <w:r w:rsidRPr="00E639A0">
        <w:rPr>
          <w:rFonts w:cs="Arial"/>
          <w:color w:val="000000"/>
          <w:lang w:eastAsia="en-GB"/>
        </w:rPr>
        <w:t> </w:t>
      </w:r>
    </w:p>
    <w:p w14:paraId="700AC56D" w14:textId="77777777" w:rsidR="009F208C" w:rsidRPr="00E639A0" w:rsidRDefault="009F208C" w:rsidP="009F208C">
      <w:pPr>
        <w:textAlignment w:val="baseline"/>
        <w:rPr>
          <w:rFonts w:cs="Arial"/>
          <w:color w:val="000000"/>
          <w:u w:val="single"/>
          <w:lang w:eastAsia="en-GB"/>
        </w:rPr>
      </w:pPr>
      <w:r w:rsidRPr="00E639A0">
        <w:rPr>
          <w:rFonts w:cs="Arial"/>
          <w:i/>
          <w:iCs/>
          <w:color w:val="000000"/>
          <w:u w:val="single"/>
          <w:lang w:eastAsia="en-GB"/>
        </w:rPr>
        <w:t>Benefits to wider economy and Exchequer</w:t>
      </w:r>
      <w:r w:rsidRPr="00E639A0">
        <w:rPr>
          <w:rFonts w:cs="Arial"/>
          <w:color w:val="000000"/>
          <w:u w:val="single"/>
          <w:lang w:eastAsia="en-GB"/>
        </w:rPr>
        <w:t> </w:t>
      </w:r>
    </w:p>
    <w:p w14:paraId="337E6624" w14:textId="77777777" w:rsidR="00C85070" w:rsidRPr="00E639A0" w:rsidRDefault="00C85070" w:rsidP="009F208C">
      <w:pPr>
        <w:textAlignment w:val="baseline"/>
        <w:rPr>
          <w:rFonts w:cs="Arial"/>
          <w:color w:val="000000"/>
          <w:lang w:eastAsia="en-GB"/>
        </w:rPr>
      </w:pPr>
    </w:p>
    <w:p w14:paraId="6844CCA6" w14:textId="77777777" w:rsidR="009F208C" w:rsidRPr="00E639A0" w:rsidRDefault="009F208C" w:rsidP="00D97860">
      <w:pPr>
        <w:pStyle w:val="ListParagraph"/>
        <w:numPr>
          <w:ilvl w:val="0"/>
          <w:numId w:val="7"/>
        </w:numPr>
        <w:textAlignment w:val="baseline"/>
        <w:rPr>
          <w:rFonts w:cs="Arial"/>
          <w:color w:val="000000"/>
          <w:lang w:eastAsia="en-GB"/>
        </w:rPr>
      </w:pPr>
      <w:r w:rsidRPr="00E639A0">
        <w:rPr>
          <w:rFonts w:cs="Arial"/>
          <w:color w:val="000000"/>
          <w:lang w:eastAsia="en-GB"/>
        </w:rPr>
        <w:t>The policy supports broader goals of addressing the gender imbalance in the workplace and female labour market participation. Consultation respondents also highlighted potential benefits from changing workplace culture around redundancy discrimination and increasing employers’ awareness of discrimination.  </w:t>
      </w:r>
    </w:p>
    <w:p w14:paraId="294CC0D7" w14:textId="77777777" w:rsidR="00D97860" w:rsidRPr="00E639A0" w:rsidRDefault="00D97860" w:rsidP="00332DC0">
      <w:pPr>
        <w:pStyle w:val="ListParagraph"/>
        <w:textAlignment w:val="baseline"/>
        <w:rPr>
          <w:rFonts w:cs="Arial"/>
          <w:color w:val="000000"/>
          <w:lang w:eastAsia="en-GB"/>
        </w:rPr>
      </w:pPr>
    </w:p>
    <w:p w14:paraId="326BE56E" w14:textId="59C3473C" w:rsidR="009F208C" w:rsidRPr="00E639A0" w:rsidRDefault="009F208C" w:rsidP="00332DC0">
      <w:pPr>
        <w:pStyle w:val="ListParagraph"/>
        <w:numPr>
          <w:ilvl w:val="0"/>
          <w:numId w:val="7"/>
        </w:numPr>
        <w:textAlignment w:val="baseline"/>
        <w:rPr>
          <w:rFonts w:cs="Arial"/>
          <w:color w:val="000000"/>
          <w:lang w:eastAsia="en-GB"/>
        </w:rPr>
      </w:pPr>
      <w:bookmarkStart w:id="26" w:name="_Hlk109807544"/>
      <w:r w:rsidRPr="00E639A0">
        <w:rPr>
          <w:rFonts w:cs="Arial"/>
          <w:color w:val="000000"/>
          <w:lang w:eastAsia="en-GB"/>
        </w:rPr>
        <w:t xml:space="preserve">Supporting pregnant women and new parents through redundancy protections may confer benefits to the Exchequer if these individuals are able to maintain close attachment to the labour market, in the short and long-term. Increased female labour market retention can lead to </w:t>
      </w:r>
      <w:r w:rsidR="00906B03" w:rsidRPr="00E639A0">
        <w:rPr>
          <w:rFonts w:cs="Arial"/>
          <w:color w:val="000000"/>
          <w:lang w:eastAsia="en-GB"/>
        </w:rPr>
        <w:t>increased</w:t>
      </w:r>
      <w:r w:rsidRPr="00E639A0">
        <w:rPr>
          <w:rFonts w:cs="Arial"/>
          <w:color w:val="000000"/>
          <w:lang w:eastAsia="en-GB"/>
        </w:rPr>
        <w:t xml:space="preserve"> productivity, economic </w:t>
      </w:r>
      <w:r w:rsidR="004461D6" w:rsidRPr="00E639A0">
        <w:rPr>
          <w:rFonts w:cs="Arial"/>
          <w:color w:val="000000"/>
          <w:lang w:eastAsia="en-GB"/>
        </w:rPr>
        <w:t>diversification,</w:t>
      </w:r>
      <w:r w:rsidRPr="00E639A0">
        <w:rPr>
          <w:rFonts w:cs="Arial"/>
          <w:color w:val="000000"/>
          <w:lang w:eastAsia="en-GB"/>
        </w:rPr>
        <w:t xml:space="preserve"> and reductions in income inequality</w:t>
      </w:r>
      <w:r w:rsidR="00D21B97" w:rsidRPr="00E639A0">
        <w:rPr>
          <w:rStyle w:val="FootnoteReference"/>
          <w:rFonts w:cs="Arial"/>
          <w:color w:val="000000"/>
          <w:sz w:val="24"/>
          <w:lang w:eastAsia="en-GB"/>
        </w:rPr>
        <w:footnoteReference w:id="44"/>
      </w:r>
      <w:r w:rsidR="00D91B13" w:rsidRPr="00E639A0">
        <w:rPr>
          <w:rFonts w:cs="Arial"/>
          <w:color w:val="000000"/>
          <w:lang w:eastAsia="en-GB"/>
        </w:rPr>
        <w:t>.</w:t>
      </w:r>
      <w:r w:rsidRPr="00E639A0">
        <w:rPr>
          <w:rFonts w:cs="Arial"/>
          <w:color w:val="000000"/>
          <w:lang w:eastAsia="en-GB"/>
        </w:rPr>
        <w:br/>
        <w:t> </w:t>
      </w:r>
    </w:p>
    <w:bookmarkEnd w:id="26"/>
    <w:p w14:paraId="704D80BA" w14:textId="77777777" w:rsidR="009F208C" w:rsidRPr="00E639A0" w:rsidRDefault="009F208C" w:rsidP="009F208C">
      <w:pPr>
        <w:ind w:left="270" w:hanging="270"/>
        <w:textAlignment w:val="baseline"/>
        <w:rPr>
          <w:rFonts w:cs="Arial"/>
          <w:color w:val="000000"/>
          <w:lang w:eastAsia="en-GB"/>
        </w:rPr>
      </w:pPr>
      <w:r w:rsidRPr="00E639A0">
        <w:rPr>
          <w:rFonts w:cs="Arial"/>
          <w:b/>
          <w:bCs/>
          <w:color w:val="000000"/>
          <w:lang w:eastAsia="en-GB"/>
        </w:rPr>
        <w:t>Small and Micro-Business Assessment (SaMBA)</w:t>
      </w:r>
      <w:r w:rsidRPr="00E639A0">
        <w:rPr>
          <w:rFonts w:cs="Arial"/>
          <w:color w:val="000000"/>
          <w:lang w:eastAsia="en-GB"/>
        </w:rPr>
        <w:t> </w:t>
      </w:r>
    </w:p>
    <w:p w14:paraId="45BCC122" w14:textId="77777777" w:rsidR="00F95E40" w:rsidRPr="00E639A0" w:rsidRDefault="00F95E40" w:rsidP="009F208C">
      <w:pPr>
        <w:ind w:left="270" w:hanging="270"/>
        <w:textAlignment w:val="baseline"/>
        <w:rPr>
          <w:rFonts w:cs="Arial"/>
          <w:color w:val="000000"/>
          <w:lang w:eastAsia="en-GB"/>
        </w:rPr>
      </w:pPr>
    </w:p>
    <w:p w14:paraId="10F704D1" w14:textId="3AE02953" w:rsidR="006C1E82" w:rsidRPr="00E639A0" w:rsidRDefault="009F208C" w:rsidP="00FE407E">
      <w:pPr>
        <w:pStyle w:val="BodyText1"/>
        <w:rPr>
          <w:sz w:val="24"/>
          <w:szCs w:val="24"/>
        </w:rPr>
      </w:pPr>
      <w:r w:rsidRPr="00E639A0">
        <w:rPr>
          <w:sz w:val="24"/>
          <w:szCs w:val="24"/>
        </w:rPr>
        <w:t>The consultation captured information on the impact to small business. Some concerns were raised whether small businesses were fully aware of their obligations when it comes to pregnancy and maternity discrimination. In response to this and more general advice and guidance issues a taskforce has been established to address concerns.  </w:t>
      </w:r>
    </w:p>
    <w:p w14:paraId="0F4C2887" w14:textId="77777777" w:rsidR="002E6669" w:rsidRPr="00E639A0" w:rsidRDefault="002E6669" w:rsidP="00332DC0">
      <w:pPr>
        <w:pStyle w:val="ListParagraph"/>
        <w:rPr>
          <w:rFonts w:cs="Arial"/>
        </w:rPr>
      </w:pPr>
    </w:p>
    <w:p w14:paraId="6EE43BC2" w14:textId="26B6E60E" w:rsidR="009F208C" w:rsidRPr="00E639A0" w:rsidRDefault="009F208C" w:rsidP="00FE407E">
      <w:pPr>
        <w:pStyle w:val="BodyText1"/>
        <w:rPr>
          <w:sz w:val="24"/>
          <w:szCs w:val="24"/>
        </w:rPr>
      </w:pPr>
      <w:r w:rsidRPr="00E639A0">
        <w:rPr>
          <w:sz w:val="24"/>
          <w:szCs w:val="24"/>
        </w:rPr>
        <w:t>65% of the consultation respondents did believe the proposal would bring additional costs to business (mostly from employers) in relation to having to familiarise HR and managers with a new approach, re-writing polices and training staff. These costs were considered more challenging for smaller businesses.  </w:t>
      </w:r>
    </w:p>
    <w:p w14:paraId="37D76FF4" w14:textId="77777777" w:rsidR="00B075D1" w:rsidRPr="00E639A0" w:rsidRDefault="00B075D1" w:rsidP="00332DC0">
      <w:pPr>
        <w:pStyle w:val="ListParagraph"/>
        <w:rPr>
          <w:rFonts w:cs="Arial"/>
        </w:rPr>
      </w:pPr>
    </w:p>
    <w:p w14:paraId="6F058AE8" w14:textId="208EFC36" w:rsidR="009220C7" w:rsidRPr="00E639A0" w:rsidRDefault="009F208C" w:rsidP="00FE407E">
      <w:pPr>
        <w:pStyle w:val="BodyText1"/>
        <w:rPr>
          <w:sz w:val="24"/>
          <w:szCs w:val="24"/>
        </w:rPr>
      </w:pPr>
      <w:r w:rsidRPr="00E639A0">
        <w:rPr>
          <w:sz w:val="24"/>
          <w:szCs w:val="24"/>
        </w:rPr>
        <w:t>Some employers and individuals saw this as a short-term cost which would be mitigated by the later benefits of greater retention and more productive workforce. Others suggested it would make it harder for SMEs to structure their business flexibly and make it more difficult to reduce overheads when required.  </w:t>
      </w:r>
    </w:p>
    <w:p w14:paraId="4FC320EF" w14:textId="77777777" w:rsidR="00030B38" w:rsidRPr="00E639A0" w:rsidRDefault="00030B38" w:rsidP="00020B04">
      <w:pPr>
        <w:pStyle w:val="BodyText1"/>
        <w:rPr>
          <w:sz w:val="24"/>
          <w:szCs w:val="24"/>
        </w:rPr>
      </w:pPr>
    </w:p>
    <w:p w14:paraId="71EC8542" w14:textId="740D54B5" w:rsidR="00683913" w:rsidRPr="00E639A0" w:rsidRDefault="009F208C" w:rsidP="00FE407E">
      <w:pPr>
        <w:pStyle w:val="BodyText1"/>
        <w:rPr>
          <w:sz w:val="24"/>
          <w:szCs w:val="24"/>
        </w:rPr>
      </w:pPr>
      <w:r w:rsidRPr="00E639A0">
        <w:rPr>
          <w:sz w:val="24"/>
          <w:szCs w:val="24"/>
        </w:rPr>
        <w:t>Smaller employers will have less discretion in choosing alternative staff for redundancy and retaining other workers which could have an associated cost. However, to meet the policy objective of tackling discrimination in the workplace against pregnant women and new parents, the redundancy protections must apply to all firms irrespective of size. Allowing small businesses to opt out of the policy would undermine the policy objectives, as it would signal that</w:t>
      </w:r>
      <w:r w:rsidRPr="00E639A0" w:rsidDel="00D92FBE">
        <w:rPr>
          <w:sz w:val="24"/>
          <w:szCs w:val="24"/>
        </w:rPr>
        <w:t xml:space="preserve"> </w:t>
      </w:r>
      <w:r w:rsidR="003819B0" w:rsidRPr="00E639A0">
        <w:rPr>
          <w:sz w:val="24"/>
          <w:szCs w:val="24"/>
        </w:rPr>
        <w:t>Government condones discrimination against pregnant women and new parents in small firms.</w:t>
      </w:r>
    </w:p>
    <w:p w14:paraId="19C120A7" w14:textId="77777777" w:rsidR="00683913" w:rsidRPr="00E639A0" w:rsidRDefault="00683913" w:rsidP="00020B04">
      <w:pPr>
        <w:pStyle w:val="BodyText1"/>
        <w:rPr>
          <w:sz w:val="24"/>
          <w:szCs w:val="24"/>
        </w:rPr>
      </w:pPr>
    </w:p>
    <w:p w14:paraId="0B677193" w14:textId="2081435D" w:rsidR="009F208C" w:rsidRPr="00E639A0" w:rsidRDefault="009F208C" w:rsidP="00FE407E">
      <w:pPr>
        <w:pStyle w:val="BodyText1"/>
        <w:rPr>
          <w:sz w:val="24"/>
          <w:szCs w:val="24"/>
        </w:rPr>
      </w:pPr>
      <w:r w:rsidRPr="00E639A0">
        <w:rPr>
          <w:sz w:val="24"/>
          <w:szCs w:val="24"/>
        </w:rPr>
        <w:t>Furthermore, pregnant mothers and new parents in small businesses may be more vulnerable to redundancy discrimination than their counterparts in larger firms. The BIS/EHRC report found that mothers working for small employers</w:t>
      </w:r>
      <w:r w:rsidR="00C40CBF" w:rsidRPr="00E639A0">
        <w:rPr>
          <w:rStyle w:val="FootnoteReference"/>
          <w:rFonts w:cs="Arial"/>
          <w:sz w:val="24"/>
          <w:szCs w:val="24"/>
        </w:rPr>
        <w:footnoteReference w:id="45"/>
      </w:r>
      <w:r w:rsidRPr="00E639A0">
        <w:rPr>
          <w:sz w:val="24"/>
          <w:szCs w:val="24"/>
        </w:rPr>
        <w:t xml:space="preserve"> were more likely to say that they felt forced to leave their jobs. </w:t>
      </w:r>
    </w:p>
    <w:p w14:paraId="3B170E75" w14:textId="77777777" w:rsidR="00455FBF" w:rsidRPr="00E639A0" w:rsidRDefault="00455FBF" w:rsidP="00455FBF">
      <w:pPr>
        <w:pStyle w:val="ListParagraph"/>
        <w:rPr>
          <w:rFonts w:cs="Arial"/>
        </w:rPr>
      </w:pPr>
    </w:p>
    <w:p w14:paraId="1A7CCD20" w14:textId="35D0CFA2" w:rsidR="009F208C" w:rsidRPr="00E639A0" w:rsidRDefault="009F208C" w:rsidP="00FE407E">
      <w:pPr>
        <w:pStyle w:val="BodyText1"/>
        <w:rPr>
          <w:sz w:val="24"/>
          <w:szCs w:val="24"/>
        </w:rPr>
      </w:pPr>
      <w:r w:rsidRPr="00E639A0">
        <w:rPr>
          <w:sz w:val="24"/>
          <w:szCs w:val="24"/>
        </w:rPr>
        <w:t>As a group, small businesses will not be disproportionately affected by this policy. 29% of all employees work in small and micro businesses</w:t>
      </w:r>
      <w:r w:rsidR="00201257" w:rsidRPr="00E639A0">
        <w:rPr>
          <w:rStyle w:val="FootnoteReference"/>
          <w:rFonts w:cs="Arial"/>
          <w:sz w:val="24"/>
          <w:szCs w:val="24"/>
        </w:rPr>
        <w:footnoteReference w:id="46"/>
      </w:r>
      <w:r w:rsidRPr="00E639A0">
        <w:rPr>
          <w:sz w:val="24"/>
          <w:szCs w:val="24"/>
        </w:rPr>
        <w:t>, meaning that the majority of employees eligible for redundancy protection work in medium and large businesses.  </w:t>
      </w:r>
    </w:p>
    <w:p w14:paraId="0FAAF2B6" w14:textId="77777777" w:rsidR="00455FBF" w:rsidRPr="00E639A0" w:rsidRDefault="00455FBF" w:rsidP="00455FBF">
      <w:pPr>
        <w:pStyle w:val="ListParagraph"/>
        <w:rPr>
          <w:rFonts w:cs="Arial"/>
        </w:rPr>
      </w:pPr>
    </w:p>
    <w:p w14:paraId="40D60B5C" w14:textId="77777777" w:rsidR="009F208C" w:rsidRPr="00E639A0" w:rsidRDefault="009F208C" w:rsidP="00332DC0">
      <w:pPr>
        <w:pStyle w:val="ListParagraph"/>
        <w:numPr>
          <w:ilvl w:val="0"/>
          <w:numId w:val="7"/>
        </w:numPr>
        <w:rPr>
          <w:rFonts w:cs="Arial"/>
          <w:lang w:eastAsia="en-GB"/>
        </w:rPr>
      </w:pPr>
      <w:r w:rsidRPr="00E639A0">
        <w:rPr>
          <w:rFonts w:cs="Arial"/>
          <w:lang w:eastAsia="en-GB"/>
        </w:rPr>
        <w:t>We have, however, considered how reduced discretion in redundancy decisions would affect small and micro businesses. It is likely that small firms are impacted more than larger firms by employee absence, in terms of workload, labour costs of finding a replacement, and internal knowledge and capabilities, for example.  </w:t>
      </w:r>
    </w:p>
    <w:p w14:paraId="7B3AC12A" w14:textId="77777777" w:rsidR="00455FBF" w:rsidRPr="00E639A0" w:rsidRDefault="00455FBF" w:rsidP="00455FBF">
      <w:pPr>
        <w:pStyle w:val="ListParagraph"/>
        <w:rPr>
          <w:rFonts w:cs="Arial"/>
          <w:lang w:eastAsia="en-GB"/>
        </w:rPr>
      </w:pPr>
    </w:p>
    <w:p w14:paraId="6E7E8DE1" w14:textId="289EB6BF" w:rsidR="009F208C" w:rsidRPr="00E639A0" w:rsidRDefault="009F208C" w:rsidP="00332DC0">
      <w:pPr>
        <w:pStyle w:val="ListParagraph"/>
        <w:numPr>
          <w:ilvl w:val="0"/>
          <w:numId w:val="7"/>
        </w:numPr>
        <w:rPr>
          <w:rFonts w:cs="Arial"/>
          <w:lang w:eastAsia="en-GB"/>
        </w:rPr>
      </w:pPr>
      <w:r w:rsidRPr="00E639A0">
        <w:rPr>
          <w:rFonts w:cs="Arial"/>
          <w:lang w:eastAsia="en-GB"/>
        </w:rPr>
        <w:t>Small and micro businesses will avoid the cost of contributions to Statutory Maternity/Paternity/Adoption pay as</w:t>
      </w:r>
      <w:r w:rsidR="0021184B" w:rsidRPr="00E639A0">
        <w:rPr>
          <w:rFonts w:cs="Arial"/>
          <w:lang w:eastAsia="en-GB"/>
        </w:rPr>
        <w:t xml:space="preserve"> </w:t>
      </w:r>
      <w:r w:rsidRPr="00E639A0">
        <w:rPr>
          <w:rFonts w:cs="Arial"/>
          <w:lang w:eastAsia="en-GB"/>
        </w:rPr>
        <w:t>unlike larger businesses, small and micro businesses receive a monetary benefit for this component as they can recover 103% of statutory payments from Government.  </w:t>
      </w:r>
    </w:p>
    <w:p w14:paraId="3279E14A" w14:textId="77777777" w:rsidR="00442675" w:rsidRPr="00E639A0" w:rsidRDefault="00442675" w:rsidP="00847C2A">
      <w:pPr>
        <w:pStyle w:val="ListParagraph"/>
        <w:rPr>
          <w:rFonts w:cs="Arial"/>
          <w:lang w:eastAsia="en-GB"/>
        </w:rPr>
      </w:pPr>
    </w:p>
    <w:p w14:paraId="0815D931" w14:textId="479F9C11" w:rsidR="009F208C" w:rsidRPr="00E639A0" w:rsidRDefault="009F208C" w:rsidP="00442675">
      <w:pPr>
        <w:pStyle w:val="ListParagraph"/>
        <w:numPr>
          <w:ilvl w:val="0"/>
          <w:numId w:val="7"/>
        </w:numPr>
        <w:rPr>
          <w:rFonts w:cs="Arial"/>
          <w:lang w:eastAsia="en-GB"/>
        </w:rPr>
      </w:pPr>
      <w:r w:rsidRPr="00E639A0">
        <w:rPr>
          <w:rFonts w:cs="Arial"/>
          <w:lang w:eastAsia="en-GB"/>
        </w:rPr>
        <w:t xml:space="preserve">Small and micro firms will face familiarisation costs, as summarised </w:t>
      </w:r>
      <w:r w:rsidR="00F358CA" w:rsidRPr="00E639A0">
        <w:rPr>
          <w:rFonts w:cs="Arial"/>
          <w:lang w:eastAsia="en-GB"/>
        </w:rPr>
        <w:t>on page 17</w:t>
      </w:r>
      <w:r w:rsidRPr="00E639A0">
        <w:rPr>
          <w:rFonts w:cs="Arial"/>
          <w:lang w:eastAsia="en-GB"/>
        </w:rPr>
        <w:t>, but we estimate that small and micro businesses will spend less time on familiarisation than larger firms as they have fewer managers/employees to inform and are able to quickly filter information throughout the organisation. More significantly, this policy will be familiar to businesses as the legislation extends existing redundancy protection for mothers. This builds on assumptions evidenced in recent impact assessments</w:t>
      </w:r>
      <w:r w:rsidR="004C2EA1" w:rsidRPr="00E639A0">
        <w:rPr>
          <w:rStyle w:val="FootnoteReference"/>
          <w:rFonts w:cs="Arial"/>
          <w:sz w:val="24"/>
          <w:lang w:eastAsia="en-GB"/>
        </w:rPr>
        <w:footnoteReference w:id="47"/>
      </w:r>
      <w:r w:rsidRPr="00E639A0">
        <w:rPr>
          <w:rFonts w:cs="Arial"/>
          <w:lang w:eastAsia="en-GB"/>
        </w:rPr>
        <w:t>.  </w:t>
      </w:r>
    </w:p>
    <w:p w14:paraId="04F1C5F6" w14:textId="77777777" w:rsidR="00847C2A" w:rsidRPr="00E639A0" w:rsidRDefault="00847C2A" w:rsidP="00847C2A">
      <w:pPr>
        <w:pStyle w:val="ListParagraph"/>
        <w:rPr>
          <w:rFonts w:cs="Arial"/>
          <w:lang w:eastAsia="en-GB"/>
        </w:rPr>
      </w:pPr>
    </w:p>
    <w:p w14:paraId="4939E85E" w14:textId="6D76AF57" w:rsidR="009F208C" w:rsidRPr="00E639A0" w:rsidRDefault="009F208C" w:rsidP="00332DC0">
      <w:pPr>
        <w:pStyle w:val="ListParagraph"/>
        <w:numPr>
          <w:ilvl w:val="0"/>
          <w:numId w:val="7"/>
        </w:numPr>
        <w:rPr>
          <w:rFonts w:cs="Arial"/>
          <w:lang w:eastAsia="en-GB"/>
        </w:rPr>
      </w:pPr>
      <w:r w:rsidRPr="00E639A0">
        <w:rPr>
          <w:rFonts w:cs="Arial"/>
          <w:lang w:eastAsia="en-GB"/>
        </w:rPr>
        <w:t>Small and micro businesses may also reap the benefits of retaining staff and supporting pregnant mothers and new parents in the workplace – employee loyalty and morale, a positive and inclusive workplace culture that is associated with happy and productive employees</w:t>
      </w:r>
      <w:r w:rsidR="00993F76" w:rsidRPr="00E639A0">
        <w:rPr>
          <w:rStyle w:val="FootnoteReference"/>
          <w:rFonts w:cs="Arial"/>
          <w:sz w:val="24"/>
          <w:lang w:eastAsia="en-GB"/>
        </w:rPr>
        <w:footnoteReference w:id="48"/>
      </w:r>
      <w:r w:rsidRPr="00E639A0">
        <w:rPr>
          <w:rFonts w:cs="Arial"/>
          <w:lang w:eastAsia="en-GB"/>
        </w:rPr>
        <w:t xml:space="preserve">, and retention of skills and knowledge, for example. As noted in </w:t>
      </w:r>
      <w:r w:rsidR="004910C6" w:rsidRPr="00E639A0">
        <w:rPr>
          <w:rFonts w:cs="Arial"/>
          <w:lang w:eastAsia="en-GB"/>
        </w:rPr>
        <w:t>the non-monetised costs and benefits section</w:t>
      </w:r>
      <w:r w:rsidRPr="00E639A0">
        <w:rPr>
          <w:rFonts w:cs="Arial"/>
          <w:lang w:eastAsia="en-GB"/>
        </w:rPr>
        <w:t>, consultation responses from some employers highlighted the benefits of greater employee retention, increased productivity of employees and reputation effects. </w:t>
      </w:r>
    </w:p>
    <w:p w14:paraId="571D58EF" w14:textId="77777777" w:rsidR="00004047" w:rsidRPr="00E639A0" w:rsidRDefault="00004047" w:rsidP="00004047">
      <w:pPr>
        <w:rPr>
          <w:rFonts w:cs="Arial"/>
          <w:b/>
          <w:bCs/>
          <w:lang w:eastAsia="en-GB"/>
        </w:rPr>
      </w:pPr>
    </w:p>
    <w:p w14:paraId="4D94477F" w14:textId="749A1B7C" w:rsidR="009F208C" w:rsidRPr="00E639A0" w:rsidRDefault="009F208C" w:rsidP="00004047">
      <w:pPr>
        <w:rPr>
          <w:rFonts w:cs="Arial"/>
          <w:lang w:eastAsia="en-GB"/>
        </w:rPr>
      </w:pPr>
      <w:r w:rsidRPr="00E639A0">
        <w:rPr>
          <w:rFonts w:cs="Arial"/>
          <w:b/>
          <w:bCs/>
          <w:lang w:eastAsia="en-GB"/>
        </w:rPr>
        <w:t xml:space="preserve">Equality Assessment </w:t>
      </w:r>
      <w:r w:rsidRPr="00E639A0">
        <w:rPr>
          <w:rFonts w:cs="Arial"/>
          <w:lang w:eastAsia="en-GB"/>
        </w:rPr>
        <w:t> </w:t>
      </w:r>
    </w:p>
    <w:p w14:paraId="3F029880" w14:textId="77777777" w:rsidR="006C1E82" w:rsidRPr="00E639A0" w:rsidRDefault="006C1E82" w:rsidP="00332DC0">
      <w:pPr>
        <w:rPr>
          <w:rFonts w:cs="Arial"/>
          <w:lang w:eastAsia="en-GB"/>
        </w:rPr>
      </w:pPr>
    </w:p>
    <w:p w14:paraId="4C87BBD0" w14:textId="77777777" w:rsidR="009F208C" w:rsidRPr="00E639A0" w:rsidRDefault="009F208C" w:rsidP="009F208C">
      <w:pPr>
        <w:ind w:left="270" w:hanging="270"/>
        <w:textAlignment w:val="baseline"/>
        <w:rPr>
          <w:rFonts w:cs="Arial"/>
          <w:color w:val="000000"/>
          <w:lang w:eastAsia="en-GB"/>
        </w:rPr>
      </w:pPr>
      <w:r w:rsidRPr="00E639A0">
        <w:rPr>
          <w:rFonts w:cs="Arial"/>
          <w:i/>
          <w:iCs/>
          <w:color w:val="000000"/>
          <w:lang w:eastAsia="en-GB"/>
        </w:rPr>
        <w:t>Age</w:t>
      </w:r>
      <w:r w:rsidRPr="00E639A0">
        <w:rPr>
          <w:rFonts w:cs="Arial"/>
          <w:color w:val="000000"/>
          <w:lang w:eastAsia="en-GB"/>
        </w:rPr>
        <w:t> </w:t>
      </w:r>
    </w:p>
    <w:p w14:paraId="032A50A7" w14:textId="77777777" w:rsidR="006C1E82" w:rsidRPr="00E639A0" w:rsidRDefault="006C1E82" w:rsidP="009F208C">
      <w:pPr>
        <w:ind w:left="270" w:hanging="270"/>
        <w:textAlignment w:val="baseline"/>
        <w:rPr>
          <w:rFonts w:cs="Arial"/>
          <w:color w:val="000000"/>
          <w:lang w:eastAsia="en-GB"/>
        </w:rPr>
      </w:pPr>
    </w:p>
    <w:p w14:paraId="5DFD71BF" w14:textId="1B7E9987" w:rsidR="002155B2" w:rsidRPr="00E639A0" w:rsidRDefault="009F208C" w:rsidP="002155B2">
      <w:pPr>
        <w:pStyle w:val="ListParagraph"/>
        <w:numPr>
          <w:ilvl w:val="0"/>
          <w:numId w:val="7"/>
        </w:numPr>
        <w:textAlignment w:val="baseline"/>
        <w:rPr>
          <w:rFonts w:cs="Arial"/>
          <w:color w:val="000000"/>
          <w:lang w:eastAsia="en-GB"/>
        </w:rPr>
      </w:pPr>
      <w:r w:rsidRPr="00E639A0">
        <w:rPr>
          <w:rFonts w:cs="Arial"/>
          <w:color w:val="000000"/>
          <w:lang w:eastAsia="en-GB"/>
        </w:rPr>
        <w:t>As a part of the Equality Act 2010, public bodies are expected to account for equality impacts</w:t>
      </w:r>
      <w:r w:rsidR="007C42D2" w:rsidRPr="00E639A0">
        <w:rPr>
          <w:rFonts w:cs="Arial"/>
          <w:color w:val="000000"/>
          <w:lang w:eastAsia="en-GB"/>
        </w:rPr>
        <w:t>. The</w:t>
      </w:r>
      <w:r w:rsidRPr="00E639A0">
        <w:rPr>
          <w:rFonts w:cs="Arial"/>
          <w:color w:val="000000"/>
          <w:lang w:eastAsia="en-GB"/>
        </w:rPr>
        <w:t xml:space="preserve"> Public Sector Equality Duty (PSED), created under the Act</w:t>
      </w:r>
      <w:r w:rsidR="007C42D2" w:rsidRPr="00E639A0">
        <w:rPr>
          <w:rFonts w:cs="Arial"/>
          <w:color w:val="000000"/>
          <w:lang w:eastAsia="en-GB"/>
        </w:rPr>
        <w:t xml:space="preserve">, </w:t>
      </w:r>
      <w:r w:rsidRPr="00E639A0">
        <w:rPr>
          <w:rFonts w:cs="Arial"/>
          <w:color w:val="000000"/>
          <w:lang w:eastAsia="en-GB"/>
        </w:rPr>
        <w:t>consider</w:t>
      </w:r>
      <w:r w:rsidR="007C42D2" w:rsidRPr="00E639A0">
        <w:rPr>
          <w:rFonts w:cs="Arial"/>
          <w:color w:val="000000"/>
          <w:lang w:eastAsia="en-GB"/>
        </w:rPr>
        <w:t>s</w:t>
      </w:r>
      <w:r w:rsidRPr="00E639A0">
        <w:rPr>
          <w:rFonts w:cs="Arial"/>
          <w:color w:val="000000"/>
          <w:lang w:eastAsia="en-GB"/>
        </w:rPr>
        <w:t xml:space="preserve"> the potential effects of intervention on individuals with ‘protected’ characteristics. </w:t>
      </w:r>
      <w:r w:rsidR="002155B2" w:rsidRPr="00E639A0">
        <w:rPr>
          <w:rFonts w:cs="Arial"/>
          <w:color w:val="000000"/>
          <w:lang w:eastAsia="en-GB"/>
        </w:rPr>
        <w:t xml:space="preserve">Specifically, the Public Sector Equality Duty (PSED) sets out to: </w:t>
      </w:r>
    </w:p>
    <w:p w14:paraId="5F01A1A6" w14:textId="77777777" w:rsidR="002155B2" w:rsidRPr="00E639A0" w:rsidRDefault="002155B2" w:rsidP="00332DC0">
      <w:pPr>
        <w:pStyle w:val="ListParagraph"/>
        <w:numPr>
          <w:ilvl w:val="1"/>
          <w:numId w:val="148"/>
        </w:numPr>
        <w:textAlignment w:val="baseline"/>
        <w:rPr>
          <w:rFonts w:cs="Arial"/>
          <w:color w:val="000000"/>
          <w:lang w:eastAsia="en-GB"/>
        </w:rPr>
      </w:pPr>
      <w:r w:rsidRPr="00E639A0">
        <w:rPr>
          <w:rFonts w:cs="Arial"/>
          <w:color w:val="000000"/>
          <w:lang w:eastAsia="en-GB"/>
        </w:rPr>
        <w:t xml:space="preserve">Eliminate unlawful discrimination, harassment and victimisation and other conduct prohibited by the Act; </w:t>
      </w:r>
    </w:p>
    <w:p w14:paraId="5CA34168" w14:textId="77777777" w:rsidR="002155B2" w:rsidRPr="00E639A0" w:rsidRDefault="002155B2" w:rsidP="00332DC0">
      <w:pPr>
        <w:pStyle w:val="ListParagraph"/>
        <w:numPr>
          <w:ilvl w:val="1"/>
          <w:numId w:val="148"/>
        </w:numPr>
        <w:textAlignment w:val="baseline"/>
        <w:rPr>
          <w:rFonts w:cs="Arial"/>
          <w:color w:val="000000"/>
          <w:lang w:eastAsia="en-GB"/>
        </w:rPr>
      </w:pPr>
      <w:r w:rsidRPr="00E639A0">
        <w:rPr>
          <w:rFonts w:cs="Arial"/>
          <w:color w:val="000000"/>
          <w:lang w:eastAsia="en-GB"/>
        </w:rPr>
        <w:t xml:space="preserve">Advance equality of opportunity between people who share a protected characteristic and those who do not; and </w:t>
      </w:r>
    </w:p>
    <w:p w14:paraId="7E112664" w14:textId="77777777" w:rsidR="002155B2" w:rsidRPr="00E639A0" w:rsidRDefault="002155B2" w:rsidP="00737027">
      <w:pPr>
        <w:pStyle w:val="ListParagraph"/>
        <w:numPr>
          <w:ilvl w:val="1"/>
          <w:numId w:val="148"/>
        </w:numPr>
        <w:textAlignment w:val="baseline"/>
        <w:rPr>
          <w:rFonts w:cs="Arial"/>
          <w:color w:val="000000"/>
          <w:lang w:eastAsia="en-GB"/>
        </w:rPr>
      </w:pPr>
      <w:r w:rsidRPr="00E639A0">
        <w:rPr>
          <w:rFonts w:cs="Arial"/>
          <w:color w:val="000000"/>
          <w:lang w:eastAsia="en-GB"/>
        </w:rPr>
        <w:t xml:space="preserve">Foster good relations between people who share a protected characteristic and those who do not. </w:t>
      </w:r>
    </w:p>
    <w:p w14:paraId="558A7411" w14:textId="77777777" w:rsidR="00225794" w:rsidRPr="00E639A0" w:rsidRDefault="00225794" w:rsidP="00332DC0">
      <w:pPr>
        <w:pStyle w:val="ListParagraph"/>
        <w:ind w:left="1440"/>
        <w:textAlignment w:val="baseline"/>
        <w:rPr>
          <w:rFonts w:cs="Arial"/>
          <w:color w:val="000000"/>
          <w:lang w:eastAsia="en-GB"/>
        </w:rPr>
      </w:pPr>
    </w:p>
    <w:p w14:paraId="65026FEC" w14:textId="540AE73F" w:rsidR="009F208C" w:rsidRPr="00E639A0" w:rsidRDefault="009F208C" w:rsidP="00332DC0">
      <w:pPr>
        <w:pStyle w:val="ListParagraph"/>
        <w:numPr>
          <w:ilvl w:val="0"/>
          <w:numId w:val="7"/>
        </w:numPr>
        <w:textAlignment w:val="baseline"/>
        <w:rPr>
          <w:rFonts w:cs="Arial"/>
          <w:color w:val="000000"/>
          <w:lang w:eastAsia="en-GB"/>
        </w:rPr>
      </w:pPr>
      <w:r w:rsidRPr="00E639A0">
        <w:rPr>
          <w:rFonts w:cs="Arial"/>
          <w:color w:val="000000"/>
          <w:lang w:eastAsia="en-GB"/>
        </w:rPr>
        <w:t>The PSED covers 9 protected characteristics in total: age, race, gender, disability, religion or belief, sexual orientation, gender reassignment, pregnancy and maternity, marriage and civil partnership. </w:t>
      </w:r>
    </w:p>
    <w:p w14:paraId="141DC10A" w14:textId="77777777" w:rsidR="006C1E82" w:rsidRPr="00E639A0" w:rsidRDefault="006C1E82" w:rsidP="009F208C">
      <w:pPr>
        <w:textAlignment w:val="baseline"/>
        <w:rPr>
          <w:rFonts w:cs="Arial"/>
          <w:color w:val="000000"/>
          <w:lang w:eastAsia="en-GB"/>
        </w:rPr>
      </w:pPr>
    </w:p>
    <w:p w14:paraId="298CAB3E" w14:textId="46C7FB6E" w:rsidR="009F208C" w:rsidRPr="00E639A0" w:rsidRDefault="009F208C" w:rsidP="00332DC0">
      <w:pPr>
        <w:pStyle w:val="ListParagraph"/>
        <w:numPr>
          <w:ilvl w:val="0"/>
          <w:numId w:val="7"/>
        </w:numPr>
        <w:textAlignment w:val="baseline"/>
        <w:rPr>
          <w:rFonts w:cs="Arial"/>
          <w:color w:val="000000"/>
          <w:lang w:eastAsia="en-GB"/>
        </w:rPr>
      </w:pPr>
      <w:r w:rsidRPr="00E639A0">
        <w:rPr>
          <w:rFonts w:cs="Arial"/>
          <w:color w:val="000000"/>
          <w:lang w:eastAsia="en-GB"/>
        </w:rPr>
        <w:t>The policy is targeted at pregnant women and returning mothers who are likely to fall in to certain age bands. The table below shows the proportion of maternities split by age bands, with the majority of these occurring in the 25–29 and 30–34 age groups. This suggests that the proposal may benefit some employees in particular.  </w:t>
      </w:r>
    </w:p>
    <w:p w14:paraId="149242B1" w14:textId="77777777" w:rsidR="009F208C" w:rsidRPr="00E639A0" w:rsidRDefault="009F208C" w:rsidP="009F208C">
      <w:pPr>
        <w:ind w:left="360"/>
        <w:textAlignment w:val="baseline"/>
        <w:rPr>
          <w:rFonts w:cs="Arial"/>
          <w:color w:val="000000"/>
          <w:lang w:eastAsia="en-GB"/>
        </w:rPr>
      </w:pPr>
      <w:r w:rsidRPr="00E639A0">
        <w:rPr>
          <w:rFonts w:cs="Arial"/>
          <w:color w:val="000000"/>
          <w:lang w:eastAsia="en-GB"/>
        </w:rPr>
        <w:t> </w:t>
      </w:r>
    </w:p>
    <w:p w14:paraId="50D5A0B4" w14:textId="77777777" w:rsidR="004461D6" w:rsidRPr="00E639A0" w:rsidRDefault="004461D6" w:rsidP="009F208C">
      <w:pPr>
        <w:ind w:left="360"/>
        <w:textAlignment w:val="baseline"/>
        <w:rPr>
          <w:rFonts w:cs="Arial"/>
          <w:color w:val="000000"/>
          <w:lang w:eastAsia="en-GB"/>
        </w:rPr>
      </w:pPr>
    </w:p>
    <w:p w14:paraId="702756B3" w14:textId="77777777" w:rsidR="004461D6" w:rsidRPr="00E639A0" w:rsidRDefault="004461D6" w:rsidP="009F208C">
      <w:pPr>
        <w:ind w:left="360"/>
        <w:textAlignment w:val="baseline"/>
        <w:rPr>
          <w:rFonts w:cs="Arial"/>
          <w:color w:val="000000"/>
          <w:lang w:eastAsia="en-GB"/>
        </w:rPr>
      </w:pPr>
    </w:p>
    <w:p w14:paraId="222F1990" w14:textId="77777777" w:rsidR="004461D6" w:rsidRPr="00E639A0" w:rsidRDefault="004461D6" w:rsidP="009F208C">
      <w:pPr>
        <w:ind w:left="360"/>
        <w:textAlignment w:val="baseline"/>
        <w:rPr>
          <w:rFonts w:cs="Arial"/>
          <w:color w:val="000000"/>
          <w:lang w:eastAsia="en-GB"/>
        </w:rPr>
      </w:pPr>
    </w:p>
    <w:p w14:paraId="547DF62D" w14:textId="77777777" w:rsidR="004461D6" w:rsidRPr="00E639A0" w:rsidRDefault="004461D6" w:rsidP="009F208C">
      <w:pPr>
        <w:ind w:left="360"/>
        <w:textAlignment w:val="baseline"/>
        <w:rPr>
          <w:rFonts w:cs="Arial"/>
          <w:color w:val="000000"/>
          <w:lang w:eastAsia="en-GB"/>
        </w:rPr>
      </w:pPr>
    </w:p>
    <w:p w14:paraId="4A15399F" w14:textId="570DD871" w:rsidR="009F208C" w:rsidRPr="00E639A0" w:rsidRDefault="009F208C" w:rsidP="009F208C">
      <w:pPr>
        <w:ind w:left="720"/>
        <w:textAlignment w:val="baseline"/>
        <w:rPr>
          <w:rFonts w:cs="Arial"/>
          <w:color w:val="000000"/>
          <w:lang w:eastAsia="en-GB"/>
        </w:rPr>
      </w:pPr>
      <w:r w:rsidRPr="00E639A0">
        <w:rPr>
          <w:rFonts w:cs="Arial"/>
          <w:b/>
          <w:bCs/>
          <w:color w:val="000000"/>
          <w:lang w:eastAsia="en-GB"/>
        </w:rPr>
        <w:t xml:space="preserve">Table </w:t>
      </w:r>
      <w:r w:rsidR="00325494" w:rsidRPr="00E639A0">
        <w:rPr>
          <w:rFonts w:cs="Arial"/>
          <w:b/>
          <w:bCs/>
          <w:color w:val="000000"/>
          <w:lang w:eastAsia="en-GB"/>
        </w:rPr>
        <w:t>7</w:t>
      </w:r>
      <w:r w:rsidRPr="00E639A0">
        <w:rPr>
          <w:rFonts w:cs="Arial"/>
          <w:b/>
          <w:bCs/>
          <w:color w:val="000000"/>
          <w:lang w:eastAsia="en-GB"/>
        </w:rPr>
        <w:t xml:space="preserve"> – Live births by age of mothers, England and Wales (2019) and Scotland (2020)</w:t>
      </w:r>
      <w:r w:rsidRPr="00E639A0">
        <w:rPr>
          <w:rFonts w:cs="Arial"/>
          <w:color w:val="000000"/>
          <w:lang w:eastAsia="en-GB"/>
        </w:rPr>
        <w:t> </w:t>
      </w:r>
    </w:p>
    <w:p w14:paraId="040C7DBE" w14:textId="77777777" w:rsidR="00436F12" w:rsidRPr="00E639A0" w:rsidRDefault="00436F12" w:rsidP="009F208C">
      <w:pPr>
        <w:ind w:left="720"/>
        <w:textAlignment w:val="baseline"/>
        <w:rPr>
          <w:rFonts w:cs="Arial"/>
          <w:color w:val="000000"/>
          <w:lang w:eastAsia="en-GB"/>
        </w:rPr>
      </w:pPr>
    </w:p>
    <w:tbl>
      <w:tblPr>
        <w:tblW w:w="0" w:type="dxa"/>
        <w:tblInd w:w="60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875"/>
        <w:gridCol w:w="2460"/>
        <w:gridCol w:w="1395"/>
      </w:tblGrid>
      <w:tr w:rsidR="009F208C" w:rsidRPr="00E639A0" w14:paraId="2CDA43F2" w14:textId="77777777" w:rsidTr="009F208C">
        <w:trPr>
          <w:trHeight w:val="300"/>
        </w:trPr>
        <w:tc>
          <w:tcPr>
            <w:tcW w:w="1875" w:type="dxa"/>
            <w:tcBorders>
              <w:top w:val="single" w:sz="6" w:space="0" w:color="auto"/>
              <w:left w:val="single" w:sz="6" w:space="0" w:color="auto"/>
              <w:bottom w:val="single" w:sz="6" w:space="0" w:color="auto"/>
              <w:right w:val="single" w:sz="6" w:space="0" w:color="auto"/>
            </w:tcBorders>
            <w:shd w:val="clear" w:color="auto" w:fill="FFFFFF"/>
            <w:vAlign w:val="bottom"/>
            <w:hideMark/>
          </w:tcPr>
          <w:p w14:paraId="2B5060E1" w14:textId="77777777" w:rsidR="009F208C" w:rsidRPr="00E639A0" w:rsidRDefault="009F208C" w:rsidP="009F208C">
            <w:pPr>
              <w:textAlignment w:val="baseline"/>
              <w:rPr>
                <w:rFonts w:cs="Arial"/>
                <w:lang w:eastAsia="en-GB"/>
              </w:rPr>
            </w:pPr>
            <w:r w:rsidRPr="00E639A0">
              <w:rPr>
                <w:rFonts w:cs="Arial"/>
                <w:b/>
                <w:bCs/>
                <w:color w:val="000000"/>
                <w:lang w:eastAsia="en-GB"/>
              </w:rPr>
              <w:t>Age Band</w:t>
            </w:r>
            <w:r w:rsidRPr="00E639A0">
              <w:rPr>
                <w:rFonts w:cs="Arial"/>
                <w:color w:val="000000"/>
                <w:lang w:eastAsia="en-GB"/>
              </w:rPr>
              <w:t> </w:t>
            </w:r>
          </w:p>
        </w:tc>
        <w:tc>
          <w:tcPr>
            <w:tcW w:w="2460" w:type="dxa"/>
            <w:tcBorders>
              <w:top w:val="single" w:sz="6" w:space="0" w:color="auto"/>
              <w:left w:val="nil"/>
              <w:bottom w:val="single" w:sz="6" w:space="0" w:color="auto"/>
              <w:right w:val="single" w:sz="6" w:space="0" w:color="auto"/>
            </w:tcBorders>
            <w:shd w:val="clear" w:color="auto" w:fill="FFFFFF"/>
            <w:vAlign w:val="bottom"/>
            <w:hideMark/>
          </w:tcPr>
          <w:p w14:paraId="45A16297" w14:textId="77777777" w:rsidR="009F208C" w:rsidRPr="00E639A0" w:rsidRDefault="009F208C" w:rsidP="009F208C">
            <w:pPr>
              <w:jc w:val="center"/>
              <w:textAlignment w:val="baseline"/>
              <w:rPr>
                <w:rFonts w:cs="Arial"/>
                <w:lang w:eastAsia="en-GB"/>
              </w:rPr>
            </w:pPr>
            <w:r w:rsidRPr="00E639A0">
              <w:rPr>
                <w:rFonts w:cs="Arial"/>
                <w:b/>
                <w:bCs/>
                <w:color w:val="000000"/>
                <w:lang w:eastAsia="en-GB"/>
              </w:rPr>
              <w:t>Live births (2019, 2020)*</w:t>
            </w:r>
            <w:r w:rsidRPr="00E639A0">
              <w:rPr>
                <w:rFonts w:cs="Arial"/>
                <w:color w:val="000000"/>
                <w:lang w:eastAsia="en-GB"/>
              </w:rPr>
              <w:t> </w:t>
            </w:r>
          </w:p>
        </w:tc>
        <w:tc>
          <w:tcPr>
            <w:tcW w:w="1395" w:type="dxa"/>
            <w:tcBorders>
              <w:top w:val="single" w:sz="6" w:space="0" w:color="auto"/>
              <w:left w:val="nil"/>
              <w:bottom w:val="single" w:sz="6" w:space="0" w:color="auto"/>
              <w:right w:val="single" w:sz="6" w:space="0" w:color="auto"/>
            </w:tcBorders>
            <w:shd w:val="clear" w:color="auto" w:fill="FFFFFF"/>
            <w:vAlign w:val="bottom"/>
            <w:hideMark/>
          </w:tcPr>
          <w:p w14:paraId="5B50264D" w14:textId="77777777" w:rsidR="009F208C" w:rsidRPr="00E639A0" w:rsidRDefault="009F208C" w:rsidP="009F208C">
            <w:pPr>
              <w:jc w:val="center"/>
              <w:textAlignment w:val="baseline"/>
              <w:rPr>
                <w:rFonts w:cs="Arial"/>
                <w:lang w:eastAsia="en-GB"/>
              </w:rPr>
            </w:pPr>
            <w:r w:rsidRPr="00E639A0">
              <w:rPr>
                <w:rFonts w:cs="Arial"/>
                <w:b/>
                <w:bCs/>
                <w:color w:val="000000"/>
                <w:lang w:eastAsia="en-GB"/>
              </w:rPr>
              <w:t>Percentage</w:t>
            </w:r>
            <w:r w:rsidRPr="00E639A0">
              <w:rPr>
                <w:rFonts w:cs="Arial"/>
                <w:color w:val="000000"/>
                <w:lang w:eastAsia="en-GB"/>
              </w:rPr>
              <w:t> </w:t>
            </w:r>
          </w:p>
        </w:tc>
      </w:tr>
      <w:tr w:rsidR="009F208C" w:rsidRPr="00E639A0" w14:paraId="6E8D40CE" w14:textId="77777777" w:rsidTr="009F208C">
        <w:trPr>
          <w:trHeight w:val="300"/>
        </w:trPr>
        <w:tc>
          <w:tcPr>
            <w:tcW w:w="1875" w:type="dxa"/>
            <w:tcBorders>
              <w:top w:val="nil"/>
              <w:left w:val="single" w:sz="6" w:space="0" w:color="auto"/>
              <w:bottom w:val="single" w:sz="6" w:space="0" w:color="auto"/>
              <w:right w:val="single" w:sz="6" w:space="0" w:color="auto"/>
            </w:tcBorders>
            <w:shd w:val="clear" w:color="auto" w:fill="FFFFFF"/>
            <w:vAlign w:val="bottom"/>
            <w:hideMark/>
          </w:tcPr>
          <w:p w14:paraId="4C6D6AF0" w14:textId="77777777" w:rsidR="009F208C" w:rsidRPr="00E639A0" w:rsidRDefault="009F208C" w:rsidP="009F208C">
            <w:pPr>
              <w:textAlignment w:val="baseline"/>
              <w:rPr>
                <w:rFonts w:cs="Arial"/>
                <w:lang w:eastAsia="en-GB"/>
              </w:rPr>
            </w:pPr>
            <w:r w:rsidRPr="00E639A0">
              <w:rPr>
                <w:rFonts w:cs="Arial"/>
                <w:lang w:eastAsia="en-GB"/>
              </w:rPr>
              <w:t>Under 20 </w:t>
            </w:r>
          </w:p>
        </w:tc>
        <w:tc>
          <w:tcPr>
            <w:tcW w:w="2460" w:type="dxa"/>
            <w:tcBorders>
              <w:top w:val="nil"/>
              <w:left w:val="nil"/>
              <w:bottom w:val="single" w:sz="6" w:space="0" w:color="auto"/>
              <w:right w:val="single" w:sz="6" w:space="0" w:color="auto"/>
            </w:tcBorders>
            <w:shd w:val="clear" w:color="auto" w:fill="FFFFFF"/>
            <w:vAlign w:val="bottom"/>
            <w:hideMark/>
          </w:tcPr>
          <w:p w14:paraId="1CAC52BB" w14:textId="77777777" w:rsidR="009F208C" w:rsidRPr="00E639A0" w:rsidRDefault="009F208C" w:rsidP="009F208C">
            <w:pPr>
              <w:jc w:val="right"/>
              <w:textAlignment w:val="baseline"/>
              <w:rPr>
                <w:rFonts w:cs="Arial"/>
                <w:lang w:eastAsia="en-GB"/>
              </w:rPr>
            </w:pPr>
            <w:r w:rsidRPr="00E639A0">
              <w:rPr>
                <w:rFonts w:cs="Arial"/>
                <w:color w:val="000000"/>
                <w:lang w:eastAsia="en-GB"/>
              </w:rPr>
              <w:t>19,001 </w:t>
            </w:r>
          </w:p>
        </w:tc>
        <w:tc>
          <w:tcPr>
            <w:tcW w:w="1395" w:type="dxa"/>
            <w:tcBorders>
              <w:top w:val="nil"/>
              <w:left w:val="nil"/>
              <w:bottom w:val="single" w:sz="6" w:space="0" w:color="auto"/>
              <w:right w:val="single" w:sz="6" w:space="0" w:color="auto"/>
            </w:tcBorders>
            <w:shd w:val="clear" w:color="auto" w:fill="FFFFFF"/>
            <w:vAlign w:val="bottom"/>
            <w:hideMark/>
          </w:tcPr>
          <w:p w14:paraId="19EE85BC" w14:textId="77777777" w:rsidR="009F208C" w:rsidRPr="00E639A0" w:rsidRDefault="009F208C" w:rsidP="009F208C">
            <w:pPr>
              <w:jc w:val="right"/>
              <w:textAlignment w:val="baseline"/>
              <w:rPr>
                <w:rFonts w:cs="Arial"/>
                <w:lang w:eastAsia="en-GB"/>
              </w:rPr>
            </w:pPr>
            <w:r w:rsidRPr="00E639A0">
              <w:rPr>
                <w:rFonts w:cs="Arial"/>
                <w:color w:val="000000"/>
                <w:lang w:eastAsia="en-GB"/>
              </w:rPr>
              <w:t>2.8% </w:t>
            </w:r>
          </w:p>
        </w:tc>
      </w:tr>
      <w:tr w:rsidR="009F208C" w:rsidRPr="00E639A0" w14:paraId="466CD350" w14:textId="77777777" w:rsidTr="009F208C">
        <w:trPr>
          <w:trHeight w:val="300"/>
        </w:trPr>
        <w:tc>
          <w:tcPr>
            <w:tcW w:w="1875" w:type="dxa"/>
            <w:tcBorders>
              <w:top w:val="nil"/>
              <w:left w:val="single" w:sz="6" w:space="0" w:color="auto"/>
              <w:bottom w:val="single" w:sz="6" w:space="0" w:color="auto"/>
              <w:right w:val="single" w:sz="6" w:space="0" w:color="auto"/>
            </w:tcBorders>
            <w:shd w:val="clear" w:color="auto" w:fill="FFFFFF"/>
            <w:vAlign w:val="bottom"/>
            <w:hideMark/>
          </w:tcPr>
          <w:p w14:paraId="3BFC11ED" w14:textId="77777777" w:rsidR="009F208C" w:rsidRPr="00E639A0" w:rsidRDefault="009F208C" w:rsidP="009F208C">
            <w:pPr>
              <w:textAlignment w:val="baseline"/>
              <w:rPr>
                <w:rFonts w:cs="Arial"/>
                <w:lang w:eastAsia="en-GB"/>
              </w:rPr>
            </w:pPr>
            <w:r w:rsidRPr="00E639A0">
              <w:rPr>
                <w:rFonts w:cs="Arial"/>
                <w:lang w:eastAsia="en-GB"/>
              </w:rPr>
              <w:t>20 to 24 </w:t>
            </w:r>
          </w:p>
        </w:tc>
        <w:tc>
          <w:tcPr>
            <w:tcW w:w="2460" w:type="dxa"/>
            <w:tcBorders>
              <w:top w:val="nil"/>
              <w:left w:val="nil"/>
              <w:bottom w:val="single" w:sz="6" w:space="0" w:color="auto"/>
              <w:right w:val="single" w:sz="6" w:space="0" w:color="auto"/>
            </w:tcBorders>
            <w:shd w:val="clear" w:color="auto" w:fill="FFFFFF"/>
            <w:vAlign w:val="bottom"/>
            <w:hideMark/>
          </w:tcPr>
          <w:p w14:paraId="50488AF0" w14:textId="77777777" w:rsidR="009F208C" w:rsidRPr="00E639A0" w:rsidRDefault="009F208C" w:rsidP="009F208C">
            <w:pPr>
              <w:jc w:val="right"/>
              <w:textAlignment w:val="baseline"/>
              <w:rPr>
                <w:rFonts w:cs="Arial"/>
                <w:lang w:eastAsia="en-GB"/>
              </w:rPr>
            </w:pPr>
            <w:r w:rsidRPr="00E639A0">
              <w:rPr>
                <w:rFonts w:cs="Arial"/>
                <w:color w:val="000000"/>
                <w:lang w:eastAsia="en-GB"/>
              </w:rPr>
              <w:t>86,756 </w:t>
            </w:r>
          </w:p>
        </w:tc>
        <w:tc>
          <w:tcPr>
            <w:tcW w:w="1395" w:type="dxa"/>
            <w:tcBorders>
              <w:top w:val="nil"/>
              <w:left w:val="nil"/>
              <w:bottom w:val="single" w:sz="6" w:space="0" w:color="auto"/>
              <w:right w:val="single" w:sz="6" w:space="0" w:color="auto"/>
            </w:tcBorders>
            <w:shd w:val="clear" w:color="auto" w:fill="FFFFFF"/>
            <w:vAlign w:val="bottom"/>
            <w:hideMark/>
          </w:tcPr>
          <w:p w14:paraId="0A06EADD" w14:textId="77777777" w:rsidR="009F208C" w:rsidRPr="00E639A0" w:rsidRDefault="009F208C" w:rsidP="009F208C">
            <w:pPr>
              <w:jc w:val="right"/>
              <w:textAlignment w:val="baseline"/>
              <w:rPr>
                <w:rFonts w:cs="Arial"/>
                <w:lang w:eastAsia="en-GB"/>
              </w:rPr>
            </w:pPr>
            <w:r w:rsidRPr="00E639A0">
              <w:rPr>
                <w:rFonts w:cs="Arial"/>
                <w:color w:val="000000"/>
                <w:lang w:eastAsia="en-GB"/>
              </w:rPr>
              <w:t>13.5% </w:t>
            </w:r>
          </w:p>
        </w:tc>
      </w:tr>
      <w:tr w:rsidR="009F208C" w:rsidRPr="00E639A0" w14:paraId="627B99AE" w14:textId="77777777" w:rsidTr="009F208C">
        <w:trPr>
          <w:trHeight w:val="300"/>
        </w:trPr>
        <w:tc>
          <w:tcPr>
            <w:tcW w:w="1875" w:type="dxa"/>
            <w:tcBorders>
              <w:top w:val="nil"/>
              <w:left w:val="single" w:sz="6" w:space="0" w:color="auto"/>
              <w:bottom w:val="single" w:sz="6" w:space="0" w:color="auto"/>
              <w:right w:val="single" w:sz="6" w:space="0" w:color="auto"/>
            </w:tcBorders>
            <w:shd w:val="clear" w:color="auto" w:fill="FFFFFF"/>
            <w:vAlign w:val="bottom"/>
            <w:hideMark/>
          </w:tcPr>
          <w:p w14:paraId="57F37249" w14:textId="77777777" w:rsidR="009F208C" w:rsidRPr="00E639A0" w:rsidRDefault="009F208C" w:rsidP="009F208C">
            <w:pPr>
              <w:textAlignment w:val="baseline"/>
              <w:rPr>
                <w:rFonts w:cs="Arial"/>
                <w:lang w:eastAsia="en-GB"/>
              </w:rPr>
            </w:pPr>
            <w:r w:rsidRPr="00E639A0">
              <w:rPr>
                <w:rFonts w:cs="Arial"/>
                <w:lang w:eastAsia="en-GB"/>
              </w:rPr>
              <w:t>25 to 29 </w:t>
            </w:r>
          </w:p>
        </w:tc>
        <w:tc>
          <w:tcPr>
            <w:tcW w:w="2460" w:type="dxa"/>
            <w:tcBorders>
              <w:top w:val="nil"/>
              <w:left w:val="nil"/>
              <w:bottom w:val="single" w:sz="6" w:space="0" w:color="auto"/>
              <w:right w:val="single" w:sz="6" w:space="0" w:color="auto"/>
            </w:tcBorders>
            <w:shd w:val="clear" w:color="auto" w:fill="FFFFFF"/>
            <w:vAlign w:val="bottom"/>
            <w:hideMark/>
          </w:tcPr>
          <w:p w14:paraId="31744CA3" w14:textId="77777777" w:rsidR="009F208C" w:rsidRPr="00E639A0" w:rsidRDefault="009F208C" w:rsidP="009F208C">
            <w:pPr>
              <w:jc w:val="right"/>
              <w:textAlignment w:val="baseline"/>
              <w:rPr>
                <w:rFonts w:cs="Arial"/>
                <w:lang w:eastAsia="en-GB"/>
              </w:rPr>
            </w:pPr>
            <w:r w:rsidRPr="00E639A0">
              <w:rPr>
                <w:rFonts w:cs="Arial"/>
                <w:color w:val="000000"/>
                <w:lang w:eastAsia="en-GB"/>
              </w:rPr>
              <w:t>186,502 </w:t>
            </w:r>
          </w:p>
        </w:tc>
        <w:tc>
          <w:tcPr>
            <w:tcW w:w="1395" w:type="dxa"/>
            <w:tcBorders>
              <w:top w:val="nil"/>
              <w:left w:val="nil"/>
              <w:bottom w:val="single" w:sz="6" w:space="0" w:color="auto"/>
              <w:right w:val="single" w:sz="6" w:space="0" w:color="auto"/>
            </w:tcBorders>
            <w:shd w:val="clear" w:color="auto" w:fill="FFFFFF"/>
            <w:vAlign w:val="bottom"/>
            <w:hideMark/>
          </w:tcPr>
          <w:p w14:paraId="55ACD531" w14:textId="77777777" w:rsidR="009F208C" w:rsidRPr="00E639A0" w:rsidRDefault="009F208C" w:rsidP="009F208C">
            <w:pPr>
              <w:jc w:val="right"/>
              <w:textAlignment w:val="baseline"/>
              <w:rPr>
                <w:rFonts w:cs="Arial"/>
                <w:lang w:eastAsia="en-GB"/>
              </w:rPr>
            </w:pPr>
            <w:r w:rsidRPr="00E639A0">
              <w:rPr>
                <w:rFonts w:cs="Arial"/>
                <w:color w:val="000000"/>
                <w:lang w:eastAsia="en-GB"/>
              </w:rPr>
              <w:t>27.1% </w:t>
            </w:r>
          </w:p>
        </w:tc>
      </w:tr>
      <w:tr w:rsidR="009F208C" w:rsidRPr="00E639A0" w14:paraId="34C6176D" w14:textId="77777777" w:rsidTr="009F208C">
        <w:trPr>
          <w:trHeight w:val="300"/>
        </w:trPr>
        <w:tc>
          <w:tcPr>
            <w:tcW w:w="1875" w:type="dxa"/>
            <w:tcBorders>
              <w:top w:val="nil"/>
              <w:left w:val="single" w:sz="6" w:space="0" w:color="auto"/>
              <w:bottom w:val="single" w:sz="6" w:space="0" w:color="auto"/>
              <w:right w:val="single" w:sz="6" w:space="0" w:color="auto"/>
            </w:tcBorders>
            <w:shd w:val="clear" w:color="auto" w:fill="FFFFFF"/>
            <w:vAlign w:val="bottom"/>
            <w:hideMark/>
          </w:tcPr>
          <w:p w14:paraId="3AC3A318" w14:textId="77777777" w:rsidR="009F208C" w:rsidRPr="00E639A0" w:rsidRDefault="009F208C" w:rsidP="009F208C">
            <w:pPr>
              <w:textAlignment w:val="baseline"/>
              <w:rPr>
                <w:rFonts w:cs="Arial"/>
                <w:lang w:eastAsia="en-GB"/>
              </w:rPr>
            </w:pPr>
            <w:r w:rsidRPr="00E639A0">
              <w:rPr>
                <w:rFonts w:cs="Arial"/>
                <w:lang w:eastAsia="en-GB"/>
              </w:rPr>
              <w:t>30 to 34 </w:t>
            </w:r>
          </w:p>
        </w:tc>
        <w:tc>
          <w:tcPr>
            <w:tcW w:w="2460" w:type="dxa"/>
            <w:tcBorders>
              <w:top w:val="nil"/>
              <w:left w:val="nil"/>
              <w:bottom w:val="single" w:sz="6" w:space="0" w:color="auto"/>
              <w:right w:val="single" w:sz="6" w:space="0" w:color="auto"/>
            </w:tcBorders>
            <w:shd w:val="clear" w:color="auto" w:fill="FFFFFF"/>
            <w:vAlign w:val="bottom"/>
            <w:hideMark/>
          </w:tcPr>
          <w:p w14:paraId="7E54A55C" w14:textId="77777777" w:rsidR="009F208C" w:rsidRPr="00E639A0" w:rsidRDefault="009F208C" w:rsidP="009F208C">
            <w:pPr>
              <w:jc w:val="right"/>
              <w:textAlignment w:val="baseline"/>
              <w:rPr>
                <w:rFonts w:cs="Arial"/>
                <w:lang w:eastAsia="en-GB"/>
              </w:rPr>
            </w:pPr>
            <w:r w:rsidRPr="00E639A0">
              <w:rPr>
                <w:rFonts w:cs="Arial"/>
                <w:color w:val="000000"/>
                <w:lang w:eastAsia="en-GB"/>
              </w:rPr>
              <w:t>225,620 </w:t>
            </w:r>
          </w:p>
        </w:tc>
        <w:tc>
          <w:tcPr>
            <w:tcW w:w="1395" w:type="dxa"/>
            <w:tcBorders>
              <w:top w:val="nil"/>
              <w:left w:val="nil"/>
              <w:bottom w:val="single" w:sz="6" w:space="0" w:color="auto"/>
              <w:right w:val="single" w:sz="6" w:space="0" w:color="auto"/>
            </w:tcBorders>
            <w:shd w:val="clear" w:color="auto" w:fill="FFFFFF"/>
            <w:vAlign w:val="bottom"/>
            <w:hideMark/>
          </w:tcPr>
          <w:p w14:paraId="1058ABDE" w14:textId="77777777" w:rsidR="009F208C" w:rsidRPr="00E639A0" w:rsidRDefault="009F208C" w:rsidP="009F208C">
            <w:pPr>
              <w:jc w:val="right"/>
              <w:textAlignment w:val="baseline"/>
              <w:rPr>
                <w:rFonts w:cs="Arial"/>
                <w:lang w:eastAsia="en-GB"/>
              </w:rPr>
            </w:pPr>
            <w:r w:rsidRPr="00E639A0">
              <w:rPr>
                <w:rFonts w:cs="Arial"/>
                <w:color w:val="000000"/>
                <w:lang w:eastAsia="en-GB"/>
              </w:rPr>
              <w:t>32.8% </w:t>
            </w:r>
          </w:p>
        </w:tc>
      </w:tr>
      <w:tr w:rsidR="009F208C" w:rsidRPr="00E639A0" w14:paraId="77DE6D4C" w14:textId="77777777" w:rsidTr="009F208C">
        <w:trPr>
          <w:trHeight w:val="300"/>
        </w:trPr>
        <w:tc>
          <w:tcPr>
            <w:tcW w:w="1875" w:type="dxa"/>
            <w:tcBorders>
              <w:top w:val="nil"/>
              <w:left w:val="single" w:sz="6" w:space="0" w:color="auto"/>
              <w:bottom w:val="single" w:sz="6" w:space="0" w:color="auto"/>
              <w:right w:val="single" w:sz="6" w:space="0" w:color="auto"/>
            </w:tcBorders>
            <w:shd w:val="clear" w:color="auto" w:fill="FFFFFF"/>
            <w:vAlign w:val="bottom"/>
            <w:hideMark/>
          </w:tcPr>
          <w:p w14:paraId="2E7D77C8" w14:textId="77777777" w:rsidR="009F208C" w:rsidRPr="00E639A0" w:rsidRDefault="009F208C" w:rsidP="009F208C">
            <w:pPr>
              <w:textAlignment w:val="baseline"/>
              <w:rPr>
                <w:rFonts w:cs="Arial"/>
                <w:lang w:eastAsia="en-GB"/>
              </w:rPr>
            </w:pPr>
            <w:r w:rsidRPr="00E639A0">
              <w:rPr>
                <w:rFonts w:cs="Arial"/>
                <w:lang w:eastAsia="en-GB"/>
              </w:rPr>
              <w:t>35 to 39 </w:t>
            </w:r>
          </w:p>
        </w:tc>
        <w:tc>
          <w:tcPr>
            <w:tcW w:w="2460" w:type="dxa"/>
            <w:tcBorders>
              <w:top w:val="nil"/>
              <w:left w:val="nil"/>
              <w:bottom w:val="single" w:sz="6" w:space="0" w:color="auto"/>
              <w:right w:val="single" w:sz="6" w:space="0" w:color="auto"/>
            </w:tcBorders>
            <w:shd w:val="clear" w:color="auto" w:fill="FFFFFF"/>
            <w:vAlign w:val="bottom"/>
            <w:hideMark/>
          </w:tcPr>
          <w:p w14:paraId="1E68FC90" w14:textId="77777777" w:rsidR="009F208C" w:rsidRPr="00E639A0" w:rsidRDefault="009F208C" w:rsidP="009F208C">
            <w:pPr>
              <w:jc w:val="right"/>
              <w:textAlignment w:val="baseline"/>
              <w:rPr>
                <w:rFonts w:cs="Arial"/>
                <w:lang w:eastAsia="en-GB"/>
              </w:rPr>
            </w:pPr>
            <w:r w:rsidRPr="00E639A0">
              <w:rPr>
                <w:rFonts w:cs="Arial"/>
                <w:color w:val="000000"/>
                <w:lang w:eastAsia="en-GB"/>
              </w:rPr>
              <w:t>131,388 </w:t>
            </w:r>
          </w:p>
        </w:tc>
        <w:tc>
          <w:tcPr>
            <w:tcW w:w="1395" w:type="dxa"/>
            <w:tcBorders>
              <w:top w:val="nil"/>
              <w:left w:val="nil"/>
              <w:bottom w:val="single" w:sz="6" w:space="0" w:color="auto"/>
              <w:right w:val="single" w:sz="6" w:space="0" w:color="auto"/>
            </w:tcBorders>
            <w:shd w:val="clear" w:color="auto" w:fill="FFFFFF"/>
            <w:vAlign w:val="bottom"/>
            <w:hideMark/>
          </w:tcPr>
          <w:p w14:paraId="3CADF009" w14:textId="77777777" w:rsidR="009F208C" w:rsidRPr="00E639A0" w:rsidRDefault="009F208C" w:rsidP="009F208C">
            <w:pPr>
              <w:jc w:val="right"/>
              <w:textAlignment w:val="baseline"/>
              <w:rPr>
                <w:rFonts w:cs="Arial"/>
                <w:lang w:eastAsia="en-GB"/>
              </w:rPr>
            </w:pPr>
            <w:r w:rsidRPr="00E639A0">
              <w:rPr>
                <w:rFonts w:cs="Arial"/>
                <w:color w:val="000000"/>
                <w:lang w:eastAsia="en-GB"/>
              </w:rPr>
              <w:t>19.1% </w:t>
            </w:r>
          </w:p>
        </w:tc>
      </w:tr>
      <w:tr w:rsidR="009F208C" w:rsidRPr="00E639A0" w14:paraId="6A42BA85" w14:textId="77777777" w:rsidTr="009F208C">
        <w:trPr>
          <w:trHeight w:val="300"/>
        </w:trPr>
        <w:tc>
          <w:tcPr>
            <w:tcW w:w="1875" w:type="dxa"/>
            <w:tcBorders>
              <w:top w:val="nil"/>
              <w:left w:val="single" w:sz="6" w:space="0" w:color="auto"/>
              <w:bottom w:val="single" w:sz="6" w:space="0" w:color="auto"/>
              <w:right w:val="single" w:sz="6" w:space="0" w:color="auto"/>
            </w:tcBorders>
            <w:shd w:val="clear" w:color="auto" w:fill="FFFFFF"/>
            <w:vAlign w:val="bottom"/>
            <w:hideMark/>
          </w:tcPr>
          <w:p w14:paraId="2B13E942" w14:textId="77777777" w:rsidR="009F208C" w:rsidRPr="00E639A0" w:rsidRDefault="009F208C" w:rsidP="009F208C">
            <w:pPr>
              <w:textAlignment w:val="baseline"/>
              <w:rPr>
                <w:rFonts w:cs="Arial"/>
                <w:lang w:eastAsia="en-GB"/>
              </w:rPr>
            </w:pPr>
            <w:r w:rsidRPr="00E639A0">
              <w:rPr>
                <w:rFonts w:cs="Arial"/>
                <w:lang w:eastAsia="en-GB"/>
              </w:rPr>
              <w:t>40 and over </w:t>
            </w:r>
          </w:p>
        </w:tc>
        <w:tc>
          <w:tcPr>
            <w:tcW w:w="2460" w:type="dxa"/>
            <w:tcBorders>
              <w:top w:val="nil"/>
              <w:left w:val="nil"/>
              <w:bottom w:val="single" w:sz="6" w:space="0" w:color="auto"/>
              <w:right w:val="single" w:sz="6" w:space="0" w:color="auto"/>
            </w:tcBorders>
            <w:shd w:val="clear" w:color="auto" w:fill="FFFFFF"/>
            <w:vAlign w:val="bottom"/>
            <w:hideMark/>
          </w:tcPr>
          <w:p w14:paraId="35E84B24" w14:textId="77777777" w:rsidR="009F208C" w:rsidRPr="00E639A0" w:rsidRDefault="009F208C" w:rsidP="009F208C">
            <w:pPr>
              <w:jc w:val="right"/>
              <w:textAlignment w:val="baseline"/>
              <w:rPr>
                <w:rFonts w:cs="Arial"/>
                <w:lang w:eastAsia="en-GB"/>
              </w:rPr>
            </w:pPr>
            <w:r w:rsidRPr="00E639A0">
              <w:rPr>
                <w:rFonts w:cs="Arial"/>
                <w:color w:val="000000"/>
                <w:lang w:eastAsia="en-GB"/>
              </w:rPr>
              <w:t>29,163 </w:t>
            </w:r>
          </w:p>
        </w:tc>
        <w:tc>
          <w:tcPr>
            <w:tcW w:w="1395" w:type="dxa"/>
            <w:tcBorders>
              <w:top w:val="nil"/>
              <w:left w:val="nil"/>
              <w:bottom w:val="single" w:sz="6" w:space="0" w:color="auto"/>
              <w:right w:val="single" w:sz="6" w:space="0" w:color="auto"/>
            </w:tcBorders>
            <w:shd w:val="clear" w:color="auto" w:fill="FFFFFF"/>
            <w:vAlign w:val="bottom"/>
            <w:hideMark/>
          </w:tcPr>
          <w:p w14:paraId="2B976677" w14:textId="77777777" w:rsidR="009F208C" w:rsidRPr="00E639A0" w:rsidRDefault="009F208C" w:rsidP="009F208C">
            <w:pPr>
              <w:jc w:val="right"/>
              <w:textAlignment w:val="baseline"/>
              <w:rPr>
                <w:rFonts w:cs="Arial"/>
                <w:lang w:eastAsia="en-GB"/>
              </w:rPr>
            </w:pPr>
            <w:r w:rsidRPr="00E639A0">
              <w:rPr>
                <w:rFonts w:cs="Arial"/>
                <w:color w:val="000000"/>
                <w:lang w:eastAsia="en-GB"/>
              </w:rPr>
              <w:t>4.6% </w:t>
            </w:r>
          </w:p>
        </w:tc>
      </w:tr>
    </w:tbl>
    <w:p w14:paraId="1CFA719C" w14:textId="77777777" w:rsidR="009F208C" w:rsidRPr="00E639A0" w:rsidRDefault="009F208C" w:rsidP="009F208C">
      <w:pPr>
        <w:jc w:val="both"/>
        <w:textAlignment w:val="baseline"/>
        <w:rPr>
          <w:rFonts w:cs="Arial"/>
          <w:b/>
          <w:bCs/>
          <w:i/>
          <w:iCs/>
          <w:color w:val="000000"/>
          <w:lang w:eastAsia="en-GB"/>
        </w:rPr>
      </w:pPr>
      <w:r w:rsidRPr="00E639A0">
        <w:rPr>
          <w:rFonts w:cs="Arial"/>
          <w:b/>
          <w:bCs/>
          <w:i/>
          <w:iCs/>
          <w:color w:val="000000"/>
          <w:lang w:eastAsia="en-GB"/>
        </w:rPr>
        <w:t> </w:t>
      </w:r>
    </w:p>
    <w:p w14:paraId="4EE539B9" w14:textId="77777777" w:rsidR="009F208C" w:rsidRPr="00E639A0" w:rsidRDefault="009F208C" w:rsidP="009F208C">
      <w:pPr>
        <w:ind w:left="270" w:hanging="270"/>
        <w:textAlignment w:val="baseline"/>
        <w:rPr>
          <w:rFonts w:cs="Arial"/>
          <w:color w:val="000000"/>
          <w:lang w:eastAsia="en-GB"/>
        </w:rPr>
      </w:pPr>
      <w:r w:rsidRPr="00E639A0">
        <w:rPr>
          <w:rFonts w:cs="Arial"/>
          <w:i/>
          <w:iCs/>
          <w:color w:val="000000"/>
          <w:lang w:eastAsia="en-GB"/>
        </w:rPr>
        <w:t>Pregnancy and Maternity</w:t>
      </w:r>
      <w:r w:rsidRPr="00E639A0">
        <w:rPr>
          <w:rFonts w:cs="Arial"/>
          <w:color w:val="000000"/>
          <w:lang w:eastAsia="en-GB"/>
        </w:rPr>
        <w:t> </w:t>
      </w:r>
    </w:p>
    <w:p w14:paraId="4AE4560F" w14:textId="3B50E3ED" w:rsidR="009F208C" w:rsidRPr="00E639A0" w:rsidRDefault="009F208C" w:rsidP="006C1E82">
      <w:pPr>
        <w:pStyle w:val="ListParagraph"/>
        <w:numPr>
          <w:ilvl w:val="0"/>
          <w:numId w:val="7"/>
        </w:numPr>
        <w:textAlignment w:val="baseline"/>
        <w:rPr>
          <w:rFonts w:cs="Arial"/>
          <w:color w:val="000000"/>
          <w:lang w:eastAsia="en-GB"/>
        </w:rPr>
      </w:pPr>
      <w:r w:rsidRPr="00E639A0">
        <w:rPr>
          <w:rFonts w:cs="Arial"/>
          <w:color w:val="000000"/>
          <w:lang w:eastAsia="en-GB"/>
        </w:rPr>
        <w:t>This policy has gender implications as it is primarily concerned with providing a sense of security to women before and after their pregnancy in the form of more robust employment protections. As stated previously, the policy aims to reduce the amount of discrimination towards pregnant women and mothers returning to the workplace.  </w:t>
      </w:r>
    </w:p>
    <w:p w14:paraId="0A7BD1AF" w14:textId="77777777" w:rsidR="004C7B7B" w:rsidRPr="00E639A0" w:rsidRDefault="004C7B7B" w:rsidP="00332DC0">
      <w:pPr>
        <w:pStyle w:val="ListParagraph"/>
        <w:textAlignment w:val="baseline"/>
        <w:rPr>
          <w:rFonts w:cs="Arial"/>
          <w:color w:val="000000"/>
          <w:lang w:eastAsia="en-GB"/>
        </w:rPr>
      </w:pPr>
    </w:p>
    <w:p w14:paraId="34C64DD9" w14:textId="77777777" w:rsidR="009F208C" w:rsidRPr="00E639A0" w:rsidRDefault="009F208C" w:rsidP="009F208C">
      <w:pPr>
        <w:ind w:left="270" w:hanging="270"/>
        <w:textAlignment w:val="baseline"/>
        <w:rPr>
          <w:rFonts w:cs="Arial"/>
          <w:color w:val="000000"/>
          <w:lang w:eastAsia="en-GB"/>
        </w:rPr>
      </w:pPr>
      <w:r w:rsidRPr="00E639A0">
        <w:rPr>
          <w:rFonts w:cs="Arial"/>
          <w:i/>
          <w:iCs/>
          <w:color w:val="000000"/>
          <w:lang w:eastAsia="en-GB"/>
        </w:rPr>
        <w:t>Remaining Characteristics</w:t>
      </w:r>
      <w:r w:rsidRPr="00E639A0">
        <w:rPr>
          <w:rFonts w:cs="Arial"/>
          <w:color w:val="000000"/>
          <w:lang w:eastAsia="en-GB"/>
        </w:rPr>
        <w:t> </w:t>
      </w:r>
    </w:p>
    <w:p w14:paraId="36A553DA" w14:textId="40486F0E" w:rsidR="009F208C" w:rsidRPr="00E639A0" w:rsidRDefault="009F208C" w:rsidP="00332DC0">
      <w:pPr>
        <w:pStyle w:val="ListParagraph"/>
        <w:numPr>
          <w:ilvl w:val="0"/>
          <w:numId w:val="7"/>
        </w:numPr>
        <w:textAlignment w:val="baseline"/>
        <w:rPr>
          <w:rFonts w:cs="Arial"/>
          <w:color w:val="000000"/>
          <w:lang w:eastAsia="en-GB"/>
        </w:rPr>
      </w:pPr>
      <w:r w:rsidRPr="00E639A0">
        <w:rPr>
          <w:rFonts w:cs="Arial"/>
          <w:color w:val="000000"/>
          <w:lang w:eastAsia="en-GB"/>
        </w:rPr>
        <w:t>The proposal is designed to have a positive impact on pregnant women and returning parents and therefore will benefit female and male employees falling into these groups. The policy covers those returning from Maternity, Adoption and Shared Parental Leave and therefore provides protection to fathers/partners and individuals in same sex relationships. We do not expect that stronger protections for pregnant women/returning parents to have a disproportionate effect on other groups. However, there may be some small negative impacts on other groups (i.e. those that are made redundant instead of returning parents in the ‘substitution’ scenario) or other workers if an employer attempts to deal with cost pressures by reducing worker benefits more generally (i.e. in the cost-offset scenario). The policy is unlikely to create barriers to equality in relation to an employee’s religion and belief, gender reassignment, sexual orientation, disability and race and their marriage/civil partnership status. </w:t>
      </w:r>
    </w:p>
    <w:p w14:paraId="05D517F5" w14:textId="77777777" w:rsidR="00FF7DC6" w:rsidRPr="00E639A0" w:rsidRDefault="00FF7DC6" w:rsidP="009F208C">
      <w:pPr>
        <w:textAlignment w:val="baseline"/>
        <w:rPr>
          <w:rFonts w:cs="Arial"/>
          <w:b/>
          <w:bCs/>
          <w:color w:val="000000"/>
          <w:lang w:eastAsia="en-GB"/>
        </w:rPr>
      </w:pPr>
    </w:p>
    <w:p w14:paraId="7F8E99C0" w14:textId="77777777" w:rsidR="009F208C" w:rsidRPr="00E639A0" w:rsidRDefault="009F208C" w:rsidP="009F208C">
      <w:pPr>
        <w:textAlignment w:val="baseline"/>
        <w:rPr>
          <w:rFonts w:cs="Arial"/>
          <w:color w:val="000000"/>
          <w:lang w:eastAsia="en-GB"/>
        </w:rPr>
      </w:pPr>
      <w:r w:rsidRPr="00E639A0">
        <w:rPr>
          <w:rFonts w:cs="Arial"/>
          <w:b/>
          <w:bCs/>
          <w:color w:val="000000"/>
          <w:lang w:eastAsia="en-GB"/>
        </w:rPr>
        <w:t>Family Test </w:t>
      </w:r>
      <w:r w:rsidRPr="00E639A0">
        <w:rPr>
          <w:rFonts w:cs="Arial"/>
          <w:color w:val="000000"/>
          <w:lang w:eastAsia="en-GB"/>
        </w:rPr>
        <w:t> </w:t>
      </w:r>
    </w:p>
    <w:p w14:paraId="1CAD4680" w14:textId="77777777" w:rsidR="009F208C" w:rsidRPr="00E639A0" w:rsidRDefault="009F208C" w:rsidP="00332DC0">
      <w:pPr>
        <w:numPr>
          <w:ilvl w:val="0"/>
          <w:numId w:val="7"/>
        </w:numPr>
        <w:textAlignment w:val="baseline"/>
        <w:rPr>
          <w:rFonts w:cs="Arial"/>
          <w:color w:val="000000"/>
          <w:lang w:eastAsia="en-GB"/>
        </w:rPr>
      </w:pPr>
      <w:r w:rsidRPr="00E639A0">
        <w:rPr>
          <w:rFonts w:cs="Arial"/>
          <w:color w:val="000000"/>
          <w:lang w:eastAsia="en-GB"/>
        </w:rPr>
        <w:t>Section 149 of the Equality Act 2010 requires BEIS to have due regard to promoting equality of opportunity, eliminating discrimination, and fostering good relations between groups. We consider that enhancing redundancy protections to pregnant women and new parents will provide a net benefit to families, through benefits arising from labour market retention.  </w:t>
      </w:r>
    </w:p>
    <w:p w14:paraId="749D4E4B" w14:textId="77777777" w:rsidR="0038397F" w:rsidRPr="00E639A0" w:rsidRDefault="0038397F" w:rsidP="0038397F">
      <w:pPr>
        <w:ind w:left="720"/>
        <w:textAlignment w:val="baseline"/>
        <w:rPr>
          <w:rFonts w:cs="Arial"/>
          <w:color w:val="000000"/>
          <w:lang w:eastAsia="en-GB"/>
        </w:rPr>
      </w:pPr>
    </w:p>
    <w:p w14:paraId="3E7657C5" w14:textId="77777777" w:rsidR="009F208C" w:rsidRPr="00E639A0" w:rsidRDefault="009F208C" w:rsidP="00332DC0">
      <w:pPr>
        <w:numPr>
          <w:ilvl w:val="0"/>
          <w:numId w:val="7"/>
        </w:numPr>
        <w:textAlignment w:val="baseline"/>
        <w:rPr>
          <w:rFonts w:cs="Arial"/>
          <w:color w:val="000000"/>
          <w:lang w:eastAsia="en-GB"/>
        </w:rPr>
      </w:pPr>
      <w:r w:rsidRPr="00E639A0">
        <w:rPr>
          <w:rFonts w:cs="Arial"/>
          <w:color w:val="000000"/>
          <w:lang w:eastAsia="en-GB"/>
        </w:rPr>
        <w:t>If a pregnant women/new parent avoids redundancy and remains employed, there will likely be positive effects on the individual’s happiness and well-being, and on their financial situation. These individuals will also avoid the additional time and mental pressures of finding a new job.  </w:t>
      </w:r>
    </w:p>
    <w:p w14:paraId="16E6E382" w14:textId="77777777" w:rsidR="0038397F" w:rsidRPr="00E639A0" w:rsidRDefault="0038397F" w:rsidP="0038397F">
      <w:pPr>
        <w:pStyle w:val="ListParagraph"/>
        <w:rPr>
          <w:rFonts w:cs="Arial"/>
          <w:color w:val="000000"/>
          <w:lang w:eastAsia="en-GB"/>
        </w:rPr>
      </w:pPr>
    </w:p>
    <w:p w14:paraId="5D11EE0A" w14:textId="6E9C621B" w:rsidR="009F208C" w:rsidRPr="00E639A0" w:rsidRDefault="009F208C" w:rsidP="00332DC0">
      <w:pPr>
        <w:numPr>
          <w:ilvl w:val="0"/>
          <w:numId w:val="7"/>
        </w:numPr>
        <w:textAlignment w:val="baseline"/>
        <w:rPr>
          <w:rFonts w:cs="Arial"/>
          <w:color w:val="000000"/>
          <w:lang w:eastAsia="en-GB"/>
        </w:rPr>
      </w:pPr>
      <w:r w:rsidRPr="00E639A0">
        <w:rPr>
          <w:rFonts w:cs="Arial"/>
          <w:color w:val="000000"/>
          <w:lang w:eastAsia="en-GB"/>
        </w:rPr>
        <w:t>Through these channels, we expect beneficial impacts on families. Poor maternal mental health is associated with less engaged parenting</w:t>
      </w:r>
      <w:r w:rsidR="0012619D" w:rsidRPr="00E639A0">
        <w:rPr>
          <w:rStyle w:val="FootnoteReference"/>
          <w:rFonts w:cs="Arial"/>
          <w:color w:val="000000"/>
          <w:sz w:val="24"/>
          <w:lang w:eastAsia="en-GB"/>
        </w:rPr>
        <w:footnoteReference w:id="49"/>
      </w:r>
      <w:r w:rsidRPr="00E639A0">
        <w:rPr>
          <w:rFonts w:cs="Arial"/>
          <w:color w:val="000000"/>
          <w:lang w:eastAsia="en-GB"/>
        </w:rPr>
        <w:t xml:space="preserve"> and poor child attachment</w:t>
      </w:r>
      <w:r w:rsidR="0012619D" w:rsidRPr="00E639A0">
        <w:rPr>
          <w:rStyle w:val="FootnoteReference"/>
          <w:rFonts w:cs="Arial"/>
          <w:color w:val="000000"/>
          <w:sz w:val="24"/>
          <w:lang w:eastAsia="en-GB"/>
        </w:rPr>
        <w:footnoteReference w:id="50"/>
      </w:r>
      <w:r w:rsidRPr="00E639A0">
        <w:rPr>
          <w:rFonts w:cs="Arial"/>
          <w:color w:val="000000"/>
          <w:lang w:eastAsia="en-GB"/>
        </w:rPr>
        <w:t xml:space="preserve">. Continuing to receive wages and contribute to the family financially benefits the family unit in the </w:t>
      </w:r>
      <w:r w:rsidR="0057586B" w:rsidRPr="00E639A0">
        <w:rPr>
          <w:rFonts w:cs="Arial"/>
          <w:color w:val="000000"/>
          <w:lang w:eastAsia="en-GB"/>
        </w:rPr>
        <w:t xml:space="preserve">ability to spend </w:t>
      </w:r>
      <w:r w:rsidRPr="00E639A0">
        <w:rPr>
          <w:rFonts w:cs="Arial"/>
          <w:color w:val="000000"/>
          <w:lang w:eastAsia="en-GB"/>
        </w:rPr>
        <w:t>on food, housing, bills, for example. Finding another job as a pregnant women or new parent would likely be highly stressful, time intensive and potentially damaging to morale and mental health. A parent in this state would likely have negative impacts on the family unit.   </w:t>
      </w:r>
    </w:p>
    <w:p w14:paraId="4B1ACC95" w14:textId="77777777" w:rsidR="00271116" w:rsidRPr="00E639A0" w:rsidRDefault="00271116" w:rsidP="00271116">
      <w:pPr>
        <w:pStyle w:val="ListParagraph"/>
        <w:rPr>
          <w:rFonts w:cs="Arial"/>
          <w:color w:val="000000"/>
          <w:lang w:eastAsia="en-GB"/>
        </w:rPr>
      </w:pPr>
    </w:p>
    <w:p w14:paraId="13E5EECB" w14:textId="45C11C6C" w:rsidR="009F208C" w:rsidRPr="00E639A0" w:rsidRDefault="009F208C" w:rsidP="00332DC0">
      <w:pPr>
        <w:numPr>
          <w:ilvl w:val="0"/>
          <w:numId w:val="7"/>
        </w:numPr>
        <w:textAlignment w:val="baseline"/>
        <w:rPr>
          <w:rFonts w:cs="Arial"/>
          <w:color w:val="000000"/>
          <w:lang w:eastAsia="en-GB"/>
        </w:rPr>
      </w:pPr>
      <w:r w:rsidRPr="00E639A0">
        <w:rPr>
          <w:rFonts w:cs="Arial"/>
          <w:color w:val="000000"/>
          <w:lang w:eastAsia="en-GB"/>
        </w:rPr>
        <w:t>For these reasons, we expect the policy to be beneficial to families who are going through key transitions such as getting married, fostering/adoption, bereavement, redundancy, onset of long-term health condition, and (most significantly) becoming parents. For families experiencing couple separation, or at risk of deterioration of relationship quality and breakdown, we expect the policy to have a substantial positive effect due to the financial pressures of going through a separation and being a single parent.   </w:t>
      </w:r>
    </w:p>
    <w:p w14:paraId="7706B091" w14:textId="77777777" w:rsidR="009F208C" w:rsidRPr="00E639A0" w:rsidRDefault="009F208C" w:rsidP="009F208C">
      <w:pPr>
        <w:ind w:left="270" w:hanging="270"/>
        <w:textAlignment w:val="baseline"/>
        <w:rPr>
          <w:rFonts w:cs="Arial"/>
          <w:color w:val="000000"/>
          <w:lang w:eastAsia="en-GB"/>
        </w:rPr>
      </w:pPr>
      <w:r w:rsidRPr="00E639A0">
        <w:rPr>
          <w:rFonts w:cs="Arial"/>
          <w:color w:val="000000"/>
          <w:lang w:eastAsia="en-GB"/>
        </w:rPr>
        <w:t> </w:t>
      </w:r>
    </w:p>
    <w:p w14:paraId="56B0AE2D" w14:textId="77777777" w:rsidR="009F208C" w:rsidRPr="00E639A0" w:rsidRDefault="009F208C" w:rsidP="009F208C">
      <w:pPr>
        <w:ind w:left="270" w:hanging="270"/>
        <w:textAlignment w:val="baseline"/>
        <w:rPr>
          <w:rFonts w:cs="Arial"/>
          <w:color w:val="000000"/>
          <w:lang w:eastAsia="en-GB"/>
        </w:rPr>
      </w:pPr>
      <w:r w:rsidRPr="00E639A0">
        <w:rPr>
          <w:rFonts w:cs="Arial"/>
          <w:b/>
          <w:bCs/>
          <w:color w:val="000000"/>
          <w:lang w:eastAsia="en-GB"/>
        </w:rPr>
        <w:t>Competition Assessment</w:t>
      </w:r>
      <w:r w:rsidRPr="00E639A0">
        <w:rPr>
          <w:rFonts w:cs="Arial"/>
          <w:color w:val="000000"/>
          <w:lang w:eastAsia="en-GB"/>
        </w:rPr>
        <w:t> </w:t>
      </w:r>
    </w:p>
    <w:p w14:paraId="5316C5CB" w14:textId="41564550" w:rsidR="009F208C" w:rsidRPr="00E639A0" w:rsidRDefault="009F208C" w:rsidP="00332DC0">
      <w:pPr>
        <w:ind w:firstLine="60"/>
        <w:textAlignment w:val="baseline"/>
        <w:rPr>
          <w:rFonts w:cs="Arial"/>
          <w:b/>
          <w:bCs/>
          <w:i/>
          <w:iCs/>
          <w:color w:val="000000"/>
          <w:lang w:eastAsia="en-GB"/>
        </w:rPr>
      </w:pPr>
    </w:p>
    <w:p w14:paraId="2BAEE798" w14:textId="77777777" w:rsidR="009F208C" w:rsidRPr="00E639A0" w:rsidRDefault="009F208C" w:rsidP="00332DC0">
      <w:pPr>
        <w:numPr>
          <w:ilvl w:val="0"/>
          <w:numId w:val="7"/>
        </w:numPr>
        <w:textAlignment w:val="baseline"/>
        <w:rPr>
          <w:rFonts w:cs="Arial"/>
          <w:color w:val="000000"/>
          <w:lang w:eastAsia="en-GB"/>
        </w:rPr>
      </w:pPr>
      <w:r w:rsidRPr="00E639A0">
        <w:rPr>
          <w:rFonts w:cs="Arial"/>
          <w:color w:val="000000"/>
          <w:lang w:eastAsia="en-GB"/>
        </w:rPr>
        <w:t>The option under discussion would apply to all employers and is unlikely to adversely affect the competitiveness of any particular sector given the relatively small number of businesses that will be affected. The policies are not expected to affect market structure, the ability of new firms to enter markets, or firm’s production decisions. </w:t>
      </w:r>
    </w:p>
    <w:p w14:paraId="51FDA299" w14:textId="77777777" w:rsidR="00781C90" w:rsidRPr="00E639A0" w:rsidRDefault="00781C90" w:rsidP="00072BE9">
      <w:pPr>
        <w:ind w:left="360"/>
        <w:textAlignment w:val="baseline"/>
        <w:rPr>
          <w:rFonts w:cs="Arial"/>
          <w:color w:val="000000"/>
          <w:lang w:eastAsia="en-GB"/>
        </w:rPr>
      </w:pPr>
    </w:p>
    <w:p w14:paraId="6FF78CCE" w14:textId="166D42BB" w:rsidR="009F208C" w:rsidRPr="00E639A0" w:rsidRDefault="009F208C" w:rsidP="00583C88">
      <w:pPr>
        <w:numPr>
          <w:ilvl w:val="0"/>
          <w:numId w:val="7"/>
        </w:numPr>
        <w:textAlignment w:val="baseline"/>
        <w:rPr>
          <w:rFonts w:cs="Arial"/>
          <w:color w:val="000000"/>
          <w:lang w:eastAsia="en-GB"/>
        </w:rPr>
      </w:pPr>
      <w:r w:rsidRPr="00E639A0">
        <w:rPr>
          <w:rFonts w:cs="Arial"/>
          <w:color w:val="000000"/>
          <w:lang w:eastAsia="en-GB"/>
        </w:rPr>
        <w:t>Using the competition filter test</w:t>
      </w:r>
      <w:r w:rsidR="004461D6" w:rsidRPr="00E639A0">
        <w:rPr>
          <w:rFonts w:cs="Arial"/>
          <w:color w:val="000000"/>
          <w:lang w:eastAsia="en-GB"/>
        </w:rPr>
        <w:t>,</w:t>
      </w:r>
      <w:r w:rsidRPr="00E639A0">
        <w:rPr>
          <w:rFonts w:cs="Arial"/>
          <w:color w:val="000000"/>
          <w:lang w:eastAsia="en-GB"/>
        </w:rPr>
        <w:t xml:space="preserve"> we find there is no need to conduct a detailed assessment of the impact of the proposals on competition. We do not expect the market share for products and services provided by either the private or public sector to be affected by the proposed policy. The changes would apply to all sectors of the economy and given the small number of cases of pregnancy/maternity </w:t>
      </w:r>
      <w:r w:rsidR="004461D6" w:rsidRPr="00E639A0">
        <w:rPr>
          <w:rFonts w:cs="Arial"/>
          <w:color w:val="000000"/>
          <w:lang w:eastAsia="en-GB"/>
        </w:rPr>
        <w:t>redundancy;</w:t>
      </w:r>
      <w:r w:rsidRPr="00E639A0">
        <w:rPr>
          <w:rFonts w:cs="Arial"/>
          <w:color w:val="000000"/>
          <w:lang w:eastAsia="en-GB"/>
        </w:rPr>
        <w:t xml:space="preserve"> the likelihood any given employer is expected to be low. </w:t>
      </w:r>
    </w:p>
    <w:p w14:paraId="5449C31F" w14:textId="77777777" w:rsidR="00583C88" w:rsidRPr="00E639A0" w:rsidRDefault="00583C88" w:rsidP="00332DC0">
      <w:pPr>
        <w:ind w:left="720"/>
        <w:textAlignment w:val="baseline"/>
        <w:rPr>
          <w:rFonts w:cs="Arial"/>
          <w:color w:val="000000"/>
          <w:lang w:eastAsia="en-GB"/>
        </w:rPr>
      </w:pPr>
    </w:p>
    <w:p w14:paraId="06E1ABD5" w14:textId="77777777" w:rsidR="009F208C" w:rsidRPr="00E639A0" w:rsidRDefault="009F208C" w:rsidP="009F208C">
      <w:pPr>
        <w:textAlignment w:val="baseline"/>
        <w:rPr>
          <w:rFonts w:cs="Arial"/>
          <w:color w:val="000000"/>
          <w:lang w:eastAsia="en-GB"/>
        </w:rPr>
      </w:pPr>
      <w:r w:rsidRPr="00E639A0">
        <w:rPr>
          <w:rFonts w:cs="Arial"/>
          <w:b/>
          <w:bCs/>
          <w:color w:val="000000"/>
          <w:lang w:eastAsia="en-GB"/>
        </w:rPr>
        <w:t>Monitoring and Evaluation</w:t>
      </w:r>
      <w:r w:rsidRPr="00E639A0">
        <w:rPr>
          <w:rFonts w:cs="Arial"/>
          <w:color w:val="000000"/>
          <w:lang w:eastAsia="en-GB"/>
        </w:rPr>
        <w:t> </w:t>
      </w:r>
    </w:p>
    <w:p w14:paraId="634352F7" w14:textId="77777777" w:rsidR="00072BE9" w:rsidRPr="00E639A0" w:rsidRDefault="00072BE9" w:rsidP="009F208C">
      <w:pPr>
        <w:textAlignment w:val="baseline"/>
        <w:rPr>
          <w:rFonts w:cs="Arial"/>
          <w:color w:val="000000"/>
          <w:lang w:eastAsia="en-GB"/>
        </w:rPr>
      </w:pPr>
    </w:p>
    <w:p w14:paraId="1A89BA8F" w14:textId="77777777" w:rsidR="009F208C" w:rsidRPr="00E639A0" w:rsidRDefault="009F208C" w:rsidP="00332DC0">
      <w:pPr>
        <w:numPr>
          <w:ilvl w:val="0"/>
          <w:numId w:val="7"/>
        </w:numPr>
        <w:jc w:val="both"/>
        <w:textAlignment w:val="baseline"/>
        <w:rPr>
          <w:rFonts w:cs="Arial"/>
          <w:color w:val="000000"/>
          <w:lang w:eastAsia="en-GB"/>
        </w:rPr>
      </w:pPr>
      <w:r w:rsidRPr="00E639A0">
        <w:rPr>
          <w:rFonts w:cs="Arial"/>
          <w:color w:val="000000"/>
          <w:lang w:eastAsia="en-GB"/>
        </w:rPr>
        <w:t>We will take a proportionate approach to undertaking a non-statutory Post Implementation Review (PIR) of this legislation in a period, no earlier, than 5 years following its introduction. This reflects the fact that the policy changes proposed simply extend existing legislation on the length of redundancy protection, which will be achieved through affirmative Statutory Instruments, rather than introduce any new legislation (beyond giving the Minister power to make changes in secondary legislation).  </w:t>
      </w:r>
    </w:p>
    <w:p w14:paraId="162E7D01" w14:textId="77777777" w:rsidR="004E4F2C" w:rsidRPr="00E639A0" w:rsidRDefault="004E4F2C" w:rsidP="004E4F2C">
      <w:pPr>
        <w:ind w:left="720"/>
        <w:jc w:val="both"/>
        <w:textAlignment w:val="baseline"/>
        <w:rPr>
          <w:rFonts w:cs="Arial"/>
          <w:color w:val="000000"/>
          <w:lang w:eastAsia="en-GB"/>
        </w:rPr>
      </w:pPr>
    </w:p>
    <w:p w14:paraId="30C6D1EC" w14:textId="77777777" w:rsidR="009F208C" w:rsidRPr="00E639A0" w:rsidRDefault="009F208C" w:rsidP="00332DC0">
      <w:pPr>
        <w:numPr>
          <w:ilvl w:val="0"/>
          <w:numId w:val="7"/>
        </w:numPr>
        <w:jc w:val="both"/>
        <w:textAlignment w:val="baseline"/>
        <w:rPr>
          <w:rFonts w:cs="Arial"/>
          <w:color w:val="000000"/>
          <w:lang w:eastAsia="en-GB"/>
        </w:rPr>
      </w:pPr>
      <w:r w:rsidRPr="00E639A0">
        <w:rPr>
          <w:rFonts w:cs="Arial"/>
          <w:color w:val="000000"/>
          <w:lang w:eastAsia="en-GB"/>
        </w:rPr>
        <w:t>The non-statutory PIR will seek to assess the following evaluation questions: </w:t>
      </w:r>
    </w:p>
    <w:p w14:paraId="567019A2" w14:textId="77777777" w:rsidR="009F208C" w:rsidRPr="00E639A0" w:rsidRDefault="009F208C" w:rsidP="00332DC0">
      <w:pPr>
        <w:pStyle w:val="ListParagraph"/>
        <w:numPr>
          <w:ilvl w:val="0"/>
          <w:numId w:val="142"/>
        </w:numPr>
        <w:jc w:val="both"/>
        <w:textAlignment w:val="baseline"/>
        <w:rPr>
          <w:rFonts w:cs="Arial"/>
          <w:lang w:eastAsia="en-GB"/>
        </w:rPr>
      </w:pPr>
      <w:r w:rsidRPr="00E639A0">
        <w:rPr>
          <w:rFonts w:cs="Arial"/>
          <w:lang w:eastAsia="en-GB"/>
        </w:rPr>
        <w:t>What is the scale of pregnancy and maternity discrimination (including redundancies) and, where possible, what extent have enhanced redundancy protections reduced the incidences of discrimination and redundancy. </w:t>
      </w:r>
    </w:p>
    <w:p w14:paraId="25943FF5" w14:textId="77777777" w:rsidR="009F208C" w:rsidRPr="00E639A0" w:rsidRDefault="009F208C" w:rsidP="00332DC0">
      <w:pPr>
        <w:pStyle w:val="ListParagraph"/>
        <w:numPr>
          <w:ilvl w:val="0"/>
          <w:numId w:val="142"/>
        </w:numPr>
        <w:jc w:val="both"/>
        <w:textAlignment w:val="baseline"/>
        <w:rPr>
          <w:rFonts w:cs="Arial"/>
          <w:lang w:eastAsia="en-GB"/>
        </w:rPr>
      </w:pPr>
      <w:r w:rsidRPr="00E639A0">
        <w:rPr>
          <w:rFonts w:cs="Arial"/>
          <w:lang w:eastAsia="en-GB"/>
        </w:rPr>
        <w:t>What is the level of awareness of rights in relation to pregnancy and maternity discrimination and how to exercise them among individuals, </w:t>
      </w:r>
    </w:p>
    <w:p w14:paraId="43666741" w14:textId="77777777" w:rsidR="009F208C" w:rsidRPr="00E639A0" w:rsidRDefault="009F208C" w:rsidP="00332DC0">
      <w:pPr>
        <w:pStyle w:val="ListParagraph"/>
        <w:numPr>
          <w:ilvl w:val="0"/>
          <w:numId w:val="142"/>
        </w:numPr>
        <w:jc w:val="both"/>
        <w:textAlignment w:val="baseline"/>
        <w:rPr>
          <w:rFonts w:cs="Arial"/>
          <w:lang w:eastAsia="en-GB"/>
        </w:rPr>
      </w:pPr>
      <w:r w:rsidRPr="00E639A0">
        <w:rPr>
          <w:rFonts w:cs="Arial"/>
          <w:lang w:eastAsia="en-GB"/>
        </w:rPr>
        <w:t>What is the level of business awareness of their obligations and whether this leads to a reduction in discriminatory behaviour. </w:t>
      </w:r>
    </w:p>
    <w:p w14:paraId="4A940CDE" w14:textId="25ADD758" w:rsidR="009F208C" w:rsidRPr="00E639A0" w:rsidRDefault="009F208C" w:rsidP="00332DC0">
      <w:pPr>
        <w:ind w:firstLine="60"/>
        <w:jc w:val="both"/>
        <w:textAlignment w:val="baseline"/>
        <w:rPr>
          <w:rFonts w:cs="Arial"/>
          <w:color w:val="000000"/>
          <w:lang w:eastAsia="en-GB"/>
        </w:rPr>
      </w:pPr>
    </w:p>
    <w:p w14:paraId="2CBE7BD6" w14:textId="3D9D30FB" w:rsidR="009F208C" w:rsidRPr="00E639A0" w:rsidRDefault="009F208C" w:rsidP="00583C88">
      <w:pPr>
        <w:numPr>
          <w:ilvl w:val="0"/>
          <w:numId w:val="7"/>
        </w:numPr>
        <w:jc w:val="both"/>
        <w:textAlignment w:val="baseline"/>
        <w:rPr>
          <w:rFonts w:cs="Arial"/>
          <w:color w:val="000000"/>
          <w:lang w:eastAsia="en-GB"/>
        </w:rPr>
      </w:pPr>
      <w:r w:rsidRPr="00E639A0">
        <w:rPr>
          <w:rFonts w:cs="Arial"/>
          <w:color w:val="000000"/>
          <w:lang w:eastAsia="en-GB"/>
        </w:rPr>
        <w:t>The Theory of Change below demonstrates how the extension of redundancy protection will lead to improved employment rates and reduced discrimination/redundancy issues for pregnant women and new mothers. This is the broad causal basis on which we will evaluate the impact and success of the policy. </w:t>
      </w:r>
    </w:p>
    <w:p w14:paraId="0981713F" w14:textId="0D6C55C7" w:rsidR="00F722BF" w:rsidRPr="00E639A0" w:rsidRDefault="00F722BF" w:rsidP="00F722BF">
      <w:pPr>
        <w:jc w:val="both"/>
        <w:textAlignment w:val="baseline"/>
        <w:rPr>
          <w:rFonts w:cs="Arial"/>
          <w:color w:val="000000"/>
          <w:lang w:eastAsia="en-GB"/>
        </w:rPr>
      </w:pPr>
    </w:p>
    <w:p w14:paraId="28CA0B5B" w14:textId="1906A648" w:rsidR="00F722BF" w:rsidRPr="00E639A0" w:rsidRDefault="00F722BF" w:rsidP="00F722BF">
      <w:pPr>
        <w:jc w:val="both"/>
        <w:textAlignment w:val="baseline"/>
        <w:rPr>
          <w:rFonts w:cs="Arial"/>
          <w:color w:val="000000"/>
          <w:lang w:eastAsia="en-GB"/>
        </w:rPr>
      </w:pPr>
    </w:p>
    <w:p w14:paraId="441E0496" w14:textId="1023631A" w:rsidR="00F722BF" w:rsidRPr="00E639A0" w:rsidRDefault="00F722BF" w:rsidP="00F722BF">
      <w:pPr>
        <w:jc w:val="both"/>
        <w:textAlignment w:val="baseline"/>
        <w:rPr>
          <w:rFonts w:cs="Arial"/>
          <w:color w:val="000000"/>
          <w:lang w:eastAsia="en-GB"/>
        </w:rPr>
      </w:pPr>
      <w:r w:rsidRPr="00E639A0">
        <w:rPr>
          <w:rFonts w:cs="Arial"/>
          <w:noProof/>
          <w:color w:val="000000"/>
          <w:lang w:eastAsia="en-GB"/>
        </w:rPr>
        <mc:AlternateContent>
          <mc:Choice Requires="wpg">
            <w:drawing>
              <wp:anchor distT="0" distB="0" distL="114300" distR="114300" simplePos="0" relativeHeight="251658249" behindDoc="0" locked="0" layoutInCell="1" allowOverlap="1" wp14:anchorId="6AC91658" wp14:editId="79EB3F72">
                <wp:simplePos x="0" y="0"/>
                <wp:positionH relativeFrom="margin">
                  <wp:posOffset>361315</wp:posOffset>
                </wp:positionH>
                <wp:positionV relativeFrom="paragraph">
                  <wp:posOffset>91440</wp:posOffset>
                </wp:positionV>
                <wp:extent cx="5998845" cy="3936365"/>
                <wp:effectExtent l="0" t="0" r="20955" b="26035"/>
                <wp:wrapNone/>
                <wp:docPr id="1282246853" name="Group 29"/>
                <wp:cNvGraphicFramePr/>
                <a:graphic xmlns:a="http://schemas.openxmlformats.org/drawingml/2006/main">
                  <a:graphicData uri="http://schemas.microsoft.com/office/word/2010/wordprocessingGroup">
                    <wpg:wgp>
                      <wpg:cNvGrpSpPr/>
                      <wpg:grpSpPr>
                        <a:xfrm>
                          <a:off x="0" y="0"/>
                          <a:ext cx="5998845" cy="3936365"/>
                          <a:chOff x="0" y="193997"/>
                          <a:chExt cx="6536055" cy="3224209"/>
                        </a:xfrm>
                      </wpg:grpSpPr>
                      <wpg:grpSp>
                        <wpg:cNvPr id="1282246854" name="Group 1282246854"/>
                        <wpg:cNvGrpSpPr/>
                        <wpg:grpSpPr>
                          <a:xfrm>
                            <a:off x="9524" y="193997"/>
                            <a:ext cx="6500102" cy="2925896"/>
                            <a:chOff x="9524" y="194166"/>
                            <a:chExt cx="7090409" cy="2928444"/>
                          </a:xfrm>
                        </wpg:grpSpPr>
                        <wps:wsp>
                          <wps:cNvPr id="1282246855" name="Text Box 2"/>
                          <wps:cNvSpPr txBox="1">
                            <a:spLocks noChangeArrowheads="1"/>
                          </wps:cNvSpPr>
                          <wps:spPr bwMode="auto">
                            <a:xfrm>
                              <a:off x="9524" y="2126118"/>
                              <a:ext cx="1447798" cy="996492"/>
                            </a:xfrm>
                            <a:prstGeom prst="rect">
                              <a:avLst/>
                            </a:prstGeom>
                            <a:solidFill>
                              <a:schemeClr val="accent1">
                                <a:lumMod val="40000"/>
                                <a:lumOff val="60000"/>
                              </a:schemeClr>
                            </a:solidFill>
                            <a:ln w="9525">
                              <a:solidFill>
                                <a:srgbClr val="000000"/>
                              </a:solidFill>
                              <a:miter lim="800000"/>
                              <a:headEnd/>
                              <a:tailEnd/>
                            </a:ln>
                          </wps:spPr>
                          <wps:txbx>
                            <w:txbxContent>
                              <w:p w14:paraId="1F0037D5" w14:textId="77777777" w:rsidR="00FE7A30" w:rsidRDefault="00FE7A30" w:rsidP="00FE7A30">
                                <w:pPr>
                                  <w:rPr>
                                    <w:color w:val="000000" w:themeColor="text1"/>
                                    <w:kern w:val="24"/>
                                    <w:sz w:val="19"/>
                                    <w:szCs w:val="19"/>
                                  </w:rPr>
                                </w:pPr>
                                <w:r>
                                  <w:rPr>
                                    <w:color w:val="000000" w:themeColor="text1"/>
                                    <w:kern w:val="24"/>
                                    <w:sz w:val="19"/>
                                    <w:szCs w:val="19"/>
                                  </w:rPr>
                                  <w:t>Introduce legislation to extend the period of redundancy protection for pregnant women and returning parents.</w:t>
                                </w:r>
                              </w:p>
                            </w:txbxContent>
                          </wps:txbx>
                          <wps:bodyPr rot="0" vert="horz" wrap="square" lIns="91440" tIns="45720" rIns="91440" bIns="45720" anchor="t" anchorCtr="0">
                            <a:noAutofit/>
                          </wps:bodyPr>
                        </wps:wsp>
                        <wps:wsp>
                          <wps:cNvPr id="1282246856" name="Text Box 2"/>
                          <wps:cNvSpPr txBox="1">
                            <a:spLocks noChangeArrowheads="1"/>
                          </wps:cNvSpPr>
                          <wps:spPr bwMode="auto">
                            <a:xfrm>
                              <a:off x="1847311" y="194166"/>
                              <a:ext cx="1447798" cy="2901508"/>
                            </a:xfrm>
                            <a:prstGeom prst="rect">
                              <a:avLst/>
                            </a:prstGeom>
                            <a:solidFill>
                              <a:schemeClr val="accent3">
                                <a:lumMod val="40000"/>
                                <a:lumOff val="60000"/>
                              </a:schemeClr>
                            </a:solidFill>
                            <a:ln w="9525">
                              <a:solidFill>
                                <a:srgbClr val="000000"/>
                              </a:solidFill>
                              <a:miter lim="800000"/>
                              <a:headEnd/>
                              <a:tailEnd/>
                            </a:ln>
                          </wps:spPr>
                          <wps:txbx>
                            <w:txbxContent>
                              <w:p w14:paraId="666AAFE2" w14:textId="77777777" w:rsidR="00FE7A30" w:rsidRDefault="00FE7A30" w:rsidP="00FE7A30">
                                <w:pPr>
                                  <w:rPr>
                                    <w:color w:val="000000" w:themeColor="text1"/>
                                    <w:kern w:val="24"/>
                                    <w:sz w:val="19"/>
                                    <w:szCs w:val="19"/>
                                  </w:rPr>
                                </w:pPr>
                                <w:r>
                                  <w:rPr>
                                    <w:color w:val="000000" w:themeColor="text1"/>
                                    <w:kern w:val="24"/>
                                    <w:sz w:val="19"/>
                                    <w:szCs w:val="19"/>
                                  </w:rPr>
                                  <w:t>Employers may:</w:t>
                                </w:r>
                              </w:p>
                              <w:p w14:paraId="25EA5236" w14:textId="77777777" w:rsidR="00FE7A30" w:rsidRDefault="00FE7A30" w:rsidP="00FE7A30">
                                <w:pPr>
                                  <w:ind w:left="288" w:hanging="288"/>
                                  <w:rPr>
                                    <w:color w:val="000000" w:themeColor="text1"/>
                                    <w:kern w:val="24"/>
                                    <w:sz w:val="19"/>
                                    <w:szCs w:val="19"/>
                                  </w:rPr>
                                </w:pPr>
                                <w:r>
                                  <w:rPr>
                                    <w:color w:val="000000" w:themeColor="text1"/>
                                    <w:kern w:val="24"/>
                                    <w:sz w:val="19"/>
                                    <w:szCs w:val="19"/>
                                  </w:rPr>
                                  <w:t>avoid making pregnant women and returning parents redundant entirely.</w:t>
                                </w:r>
                              </w:p>
                              <w:p w14:paraId="2960A4AE" w14:textId="77777777" w:rsidR="00FE7A30" w:rsidRDefault="00FE7A30" w:rsidP="00FE7A30">
                                <w:pPr>
                                  <w:ind w:left="288" w:hanging="288"/>
                                  <w:rPr>
                                    <w:color w:val="000000" w:themeColor="text1"/>
                                    <w:kern w:val="24"/>
                                    <w:sz w:val="19"/>
                                    <w:szCs w:val="19"/>
                                  </w:rPr>
                                </w:pPr>
                                <w:r>
                                  <w:rPr>
                                    <w:color w:val="000000" w:themeColor="text1"/>
                                    <w:kern w:val="24"/>
                                    <w:sz w:val="19"/>
                                    <w:szCs w:val="19"/>
                                  </w:rPr>
                                  <w:t>Offer suitable alternative role if they do select for redundancy.</w:t>
                                </w:r>
                              </w:p>
                              <w:p w14:paraId="7B9A707D" w14:textId="77777777" w:rsidR="00FE7A30" w:rsidRDefault="00FE7A30" w:rsidP="00FE7A30">
                                <w:pPr>
                                  <w:ind w:left="288" w:hanging="288"/>
                                  <w:rPr>
                                    <w:color w:val="000000" w:themeColor="text1"/>
                                    <w:kern w:val="24"/>
                                    <w:sz w:val="19"/>
                                    <w:szCs w:val="19"/>
                                  </w:rPr>
                                </w:pPr>
                                <w:r>
                                  <w:rPr>
                                    <w:color w:val="000000" w:themeColor="text1"/>
                                    <w:kern w:val="24"/>
                                    <w:sz w:val="19"/>
                                    <w:szCs w:val="19"/>
                                  </w:rPr>
                                  <w:t>Absorb costs of keeping pregnant women/returning mother employed (cost-offset)</w:t>
                                </w:r>
                              </w:p>
                              <w:p w14:paraId="6EDA5DF9" w14:textId="77777777" w:rsidR="00FE7A30" w:rsidRDefault="00FE7A30" w:rsidP="00FE7A30">
                                <w:pPr>
                                  <w:ind w:left="288" w:hanging="288"/>
                                  <w:rPr>
                                    <w:color w:val="000000" w:themeColor="text1"/>
                                    <w:kern w:val="24"/>
                                    <w:sz w:val="19"/>
                                    <w:szCs w:val="19"/>
                                  </w:rPr>
                                </w:pPr>
                                <w:r>
                                  <w:rPr>
                                    <w:color w:val="000000" w:themeColor="text1"/>
                                    <w:kern w:val="24"/>
                                    <w:sz w:val="19"/>
                                    <w:szCs w:val="19"/>
                                  </w:rPr>
                                  <w:t>Make another employee  redundant instead (subsitution)</w:t>
                                </w:r>
                              </w:p>
                            </w:txbxContent>
                          </wps:txbx>
                          <wps:bodyPr rot="0" vert="horz" wrap="square" lIns="91440" tIns="45720" rIns="91440" bIns="45720" anchor="t" anchorCtr="0">
                            <a:noAutofit/>
                          </wps:bodyPr>
                        </wps:wsp>
                        <wps:wsp>
                          <wps:cNvPr id="1282246857" name="Text Box 2"/>
                          <wps:cNvSpPr txBox="1">
                            <a:spLocks noChangeArrowheads="1"/>
                          </wps:cNvSpPr>
                          <wps:spPr bwMode="auto">
                            <a:xfrm>
                              <a:off x="3786489" y="1541503"/>
                              <a:ext cx="1447800" cy="970251"/>
                            </a:xfrm>
                            <a:prstGeom prst="rect">
                              <a:avLst/>
                            </a:prstGeom>
                            <a:solidFill>
                              <a:schemeClr val="accent2">
                                <a:lumMod val="60000"/>
                                <a:lumOff val="40000"/>
                              </a:schemeClr>
                            </a:solidFill>
                            <a:ln w="9525">
                              <a:solidFill>
                                <a:srgbClr val="000000"/>
                              </a:solidFill>
                              <a:miter lim="800000"/>
                              <a:headEnd/>
                              <a:tailEnd/>
                            </a:ln>
                          </wps:spPr>
                          <wps:txbx>
                            <w:txbxContent>
                              <w:p w14:paraId="4A540F52" w14:textId="77777777" w:rsidR="00FE7A30" w:rsidRDefault="00FE7A30" w:rsidP="00FE7A30">
                                <w:pPr>
                                  <w:rPr>
                                    <w:color w:val="000000" w:themeColor="text1"/>
                                    <w:kern w:val="24"/>
                                    <w:sz w:val="19"/>
                                    <w:szCs w:val="19"/>
                                  </w:rPr>
                                </w:pPr>
                                <w:r>
                                  <w:rPr>
                                    <w:color w:val="000000" w:themeColor="text1"/>
                                    <w:kern w:val="24"/>
                                    <w:sz w:val="19"/>
                                    <w:szCs w:val="19"/>
                                  </w:rPr>
                                  <w:t>Fewer Employment Tribunal complaints related to pregnancy and maternity discrimination</w:t>
                                </w:r>
                              </w:p>
                            </w:txbxContent>
                          </wps:txbx>
                          <wps:bodyPr rot="0" vert="horz" wrap="square" lIns="91440" tIns="45720" rIns="91440" bIns="45720" anchor="t" anchorCtr="0">
                            <a:noAutofit/>
                          </wps:bodyPr>
                        </wps:wsp>
                        <wps:wsp>
                          <wps:cNvPr id="1282246858" name="Text Box 2"/>
                          <wps:cNvSpPr txBox="1">
                            <a:spLocks noChangeArrowheads="1"/>
                          </wps:cNvSpPr>
                          <wps:spPr bwMode="auto">
                            <a:xfrm>
                              <a:off x="5652133" y="600789"/>
                              <a:ext cx="1447800" cy="812046"/>
                            </a:xfrm>
                            <a:prstGeom prst="rect">
                              <a:avLst/>
                            </a:prstGeom>
                            <a:solidFill>
                              <a:schemeClr val="accent4">
                                <a:lumMod val="20000"/>
                                <a:lumOff val="80000"/>
                              </a:schemeClr>
                            </a:solidFill>
                            <a:ln w="9525">
                              <a:solidFill>
                                <a:srgbClr val="000000"/>
                              </a:solidFill>
                              <a:miter lim="800000"/>
                              <a:headEnd/>
                              <a:tailEnd/>
                            </a:ln>
                          </wps:spPr>
                          <wps:txbx>
                            <w:txbxContent>
                              <w:p w14:paraId="15DC8BFE" w14:textId="77777777" w:rsidR="00FE7A30" w:rsidRDefault="00FE7A30" w:rsidP="00FE7A30">
                                <w:pPr>
                                  <w:rPr>
                                    <w:color w:val="000000" w:themeColor="text1"/>
                                    <w:kern w:val="24"/>
                                    <w:sz w:val="19"/>
                                    <w:szCs w:val="19"/>
                                  </w:rPr>
                                </w:pPr>
                                <w:r>
                                  <w:rPr>
                                    <w:color w:val="000000" w:themeColor="text1"/>
                                    <w:kern w:val="24"/>
                                    <w:sz w:val="19"/>
                                    <w:szCs w:val="19"/>
                                  </w:rPr>
                                  <w:t>Improved wellbeing and job security for pregnant women/new parents</w:t>
                                </w:r>
                              </w:p>
                            </w:txbxContent>
                          </wps:txbx>
                          <wps:bodyPr rot="0" vert="horz" wrap="square" lIns="91440" tIns="45720" rIns="91440" bIns="45720" anchor="t" anchorCtr="0">
                            <a:noAutofit/>
                          </wps:bodyPr>
                        </wps:wsp>
                        <wps:wsp>
                          <wps:cNvPr id="1282246859" name="Text Box 2"/>
                          <wps:cNvSpPr txBox="1">
                            <a:spLocks noChangeArrowheads="1"/>
                          </wps:cNvSpPr>
                          <wps:spPr bwMode="auto">
                            <a:xfrm>
                              <a:off x="5652133" y="1499585"/>
                              <a:ext cx="1446277" cy="708214"/>
                            </a:xfrm>
                            <a:prstGeom prst="rect">
                              <a:avLst/>
                            </a:prstGeom>
                            <a:solidFill>
                              <a:schemeClr val="accent4">
                                <a:lumMod val="20000"/>
                                <a:lumOff val="80000"/>
                              </a:schemeClr>
                            </a:solidFill>
                            <a:ln w="9525">
                              <a:solidFill>
                                <a:srgbClr val="000000"/>
                              </a:solidFill>
                              <a:miter lim="800000"/>
                              <a:headEnd/>
                              <a:tailEnd/>
                            </a:ln>
                          </wps:spPr>
                          <wps:txbx>
                            <w:txbxContent>
                              <w:p w14:paraId="374BF1D0" w14:textId="77777777" w:rsidR="00FE7A30" w:rsidRDefault="00FE7A30" w:rsidP="00FE7A30">
                                <w:pPr>
                                  <w:rPr>
                                    <w:color w:val="000000" w:themeColor="text1"/>
                                    <w:kern w:val="24"/>
                                    <w:sz w:val="19"/>
                                    <w:szCs w:val="19"/>
                                  </w:rPr>
                                </w:pPr>
                                <w:r>
                                  <w:rPr>
                                    <w:color w:val="000000" w:themeColor="text1"/>
                                    <w:kern w:val="24"/>
                                    <w:sz w:val="19"/>
                                    <w:szCs w:val="19"/>
                                  </w:rPr>
                                  <w:t>Improved employment rates for pregnant women/returning parents</w:t>
                                </w:r>
                              </w:p>
                            </w:txbxContent>
                          </wps:txbx>
                          <wps:bodyPr rot="0" vert="horz" wrap="square" lIns="91440" tIns="45720" rIns="91440" bIns="45720" anchor="t" anchorCtr="0">
                            <a:noAutofit/>
                          </wps:bodyPr>
                        </wps:wsp>
                        <wps:wsp>
                          <wps:cNvPr id="1282246860" name="Text Box 2"/>
                          <wps:cNvSpPr txBox="1">
                            <a:spLocks noChangeArrowheads="1"/>
                          </wps:cNvSpPr>
                          <wps:spPr bwMode="auto">
                            <a:xfrm>
                              <a:off x="3786862" y="729458"/>
                              <a:ext cx="1447800" cy="718071"/>
                            </a:xfrm>
                            <a:prstGeom prst="rect">
                              <a:avLst/>
                            </a:prstGeom>
                            <a:solidFill>
                              <a:schemeClr val="accent2">
                                <a:lumMod val="60000"/>
                                <a:lumOff val="40000"/>
                              </a:schemeClr>
                            </a:solidFill>
                            <a:ln w="9525">
                              <a:solidFill>
                                <a:srgbClr val="000000"/>
                              </a:solidFill>
                              <a:miter lim="800000"/>
                              <a:headEnd/>
                              <a:tailEnd/>
                            </a:ln>
                          </wps:spPr>
                          <wps:txbx>
                            <w:txbxContent>
                              <w:p w14:paraId="496E98BE" w14:textId="77777777" w:rsidR="00FE7A30" w:rsidRDefault="00FE7A30" w:rsidP="00FE7A30">
                                <w:pPr>
                                  <w:rPr>
                                    <w:color w:val="000000" w:themeColor="text1"/>
                                    <w:kern w:val="24"/>
                                    <w:sz w:val="19"/>
                                    <w:szCs w:val="19"/>
                                  </w:rPr>
                                </w:pPr>
                                <w:r>
                                  <w:rPr>
                                    <w:color w:val="000000" w:themeColor="text1"/>
                                    <w:kern w:val="24"/>
                                    <w:sz w:val="19"/>
                                    <w:szCs w:val="19"/>
                                  </w:rPr>
                                  <w:t>Fewer redundancies involving pregnant women and new  parents.</w:t>
                                </w:r>
                              </w:p>
                            </w:txbxContent>
                          </wps:txbx>
                          <wps:bodyPr rot="0" vert="horz" wrap="square" lIns="91440" tIns="45720" rIns="91440" bIns="45720" anchor="t" anchorCtr="0">
                            <a:noAutofit/>
                          </wps:bodyPr>
                        </wps:wsp>
                      </wpg:grpSp>
                      <wps:wsp>
                        <wps:cNvPr id="1282246861" name="Text Box 2"/>
                        <wps:cNvSpPr txBox="1">
                          <a:spLocks noChangeArrowheads="1"/>
                        </wps:cNvSpPr>
                        <wps:spPr bwMode="auto">
                          <a:xfrm>
                            <a:off x="6985" y="3173096"/>
                            <a:ext cx="1320800" cy="238125"/>
                          </a:xfrm>
                          <a:prstGeom prst="rect">
                            <a:avLst/>
                          </a:prstGeom>
                          <a:solidFill>
                            <a:schemeClr val="accent1">
                              <a:lumMod val="40000"/>
                              <a:lumOff val="60000"/>
                            </a:schemeClr>
                          </a:solidFill>
                          <a:ln w="9525">
                            <a:solidFill>
                              <a:srgbClr val="000000"/>
                            </a:solidFill>
                            <a:miter lim="800000"/>
                            <a:headEnd/>
                            <a:tailEnd/>
                          </a:ln>
                        </wps:spPr>
                        <wps:txbx>
                          <w:txbxContent>
                            <w:p w14:paraId="50E5D7E8" w14:textId="77777777" w:rsidR="00FE7A30" w:rsidRDefault="00FE7A30" w:rsidP="00FE7A30">
                              <w:pPr>
                                <w:jc w:val="center"/>
                                <w:rPr>
                                  <w:b/>
                                  <w:color w:val="000000" w:themeColor="text1"/>
                                  <w:kern w:val="24"/>
                                  <w:sz w:val="19"/>
                                  <w:szCs w:val="19"/>
                                </w:rPr>
                              </w:pPr>
                              <w:r>
                                <w:rPr>
                                  <w:b/>
                                  <w:color w:val="000000" w:themeColor="text1"/>
                                  <w:kern w:val="24"/>
                                  <w:sz w:val="19"/>
                                  <w:szCs w:val="19"/>
                                </w:rPr>
                                <w:t>Inputs/Activities</w:t>
                              </w:r>
                            </w:p>
                          </w:txbxContent>
                        </wps:txbx>
                        <wps:bodyPr rot="0" vert="horz" wrap="square" lIns="91440" tIns="45720" rIns="91440" bIns="45720" anchor="t" anchorCtr="0">
                          <a:noAutofit/>
                        </wps:bodyPr>
                      </wps:wsp>
                      <wps:wsp>
                        <wps:cNvPr id="1282246862" name="Text Box 2"/>
                        <wps:cNvSpPr txBox="1">
                          <a:spLocks noChangeArrowheads="1"/>
                        </wps:cNvSpPr>
                        <wps:spPr bwMode="auto">
                          <a:xfrm>
                            <a:off x="1716405" y="3179446"/>
                            <a:ext cx="1290955" cy="238125"/>
                          </a:xfrm>
                          <a:prstGeom prst="rect">
                            <a:avLst/>
                          </a:prstGeom>
                          <a:solidFill>
                            <a:schemeClr val="accent3">
                              <a:lumMod val="40000"/>
                              <a:lumOff val="60000"/>
                            </a:schemeClr>
                          </a:solidFill>
                          <a:ln w="9525">
                            <a:solidFill>
                              <a:srgbClr val="000000"/>
                            </a:solidFill>
                            <a:miter lim="800000"/>
                            <a:headEnd/>
                            <a:tailEnd/>
                          </a:ln>
                        </wps:spPr>
                        <wps:txbx>
                          <w:txbxContent>
                            <w:p w14:paraId="299B3097" w14:textId="77777777" w:rsidR="00FE7A30" w:rsidRDefault="00FE7A30" w:rsidP="00FE7A30">
                              <w:pPr>
                                <w:jc w:val="center"/>
                                <w:rPr>
                                  <w:b/>
                                  <w:color w:val="000000" w:themeColor="text1"/>
                                  <w:kern w:val="24"/>
                                  <w:sz w:val="19"/>
                                  <w:szCs w:val="19"/>
                                </w:rPr>
                              </w:pPr>
                              <w:r>
                                <w:rPr>
                                  <w:b/>
                                  <w:color w:val="000000" w:themeColor="text1"/>
                                  <w:kern w:val="24"/>
                                  <w:sz w:val="19"/>
                                  <w:szCs w:val="19"/>
                                </w:rPr>
                                <w:t>Outputs</w:t>
                              </w:r>
                            </w:p>
                          </w:txbxContent>
                        </wps:txbx>
                        <wps:bodyPr rot="0" vert="horz" wrap="square" lIns="91440" tIns="45720" rIns="91440" bIns="45720" anchor="t" anchorCtr="0">
                          <a:noAutofit/>
                        </wps:bodyPr>
                      </wps:wsp>
                      <wps:wsp>
                        <wps:cNvPr id="1282246863" name="Text Box 2"/>
                        <wps:cNvSpPr txBox="1">
                          <a:spLocks noChangeArrowheads="1"/>
                        </wps:cNvSpPr>
                        <wps:spPr bwMode="auto">
                          <a:xfrm>
                            <a:off x="3465830" y="3180081"/>
                            <a:ext cx="1327150" cy="238125"/>
                          </a:xfrm>
                          <a:prstGeom prst="rect">
                            <a:avLst/>
                          </a:prstGeom>
                          <a:solidFill>
                            <a:schemeClr val="accent2">
                              <a:lumMod val="60000"/>
                              <a:lumOff val="40000"/>
                            </a:schemeClr>
                          </a:solidFill>
                          <a:ln w="9525">
                            <a:solidFill>
                              <a:srgbClr val="000000"/>
                            </a:solidFill>
                            <a:miter lim="800000"/>
                            <a:headEnd/>
                            <a:tailEnd/>
                          </a:ln>
                        </wps:spPr>
                        <wps:txbx>
                          <w:txbxContent>
                            <w:p w14:paraId="479AC9E8" w14:textId="77777777" w:rsidR="00FE7A30" w:rsidRDefault="00FE7A30" w:rsidP="00FE7A30">
                              <w:pPr>
                                <w:jc w:val="center"/>
                                <w:rPr>
                                  <w:b/>
                                  <w:color w:val="000000" w:themeColor="text1"/>
                                  <w:kern w:val="24"/>
                                  <w:sz w:val="19"/>
                                  <w:szCs w:val="19"/>
                                </w:rPr>
                              </w:pPr>
                              <w:r>
                                <w:rPr>
                                  <w:b/>
                                  <w:color w:val="000000" w:themeColor="text1"/>
                                  <w:kern w:val="24"/>
                                  <w:sz w:val="19"/>
                                  <w:szCs w:val="19"/>
                                </w:rPr>
                                <w:t>Outcomes</w:t>
                              </w:r>
                            </w:p>
                          </w:txbxContent>
                        </wps:txbx>
                        <wps:bodyPr rot="0" vert="horz" wrap="square" lIns="91440" tIns="45720" rIns="91440" bIns="45720" anchor="t" anchorCtr="0">
                          <a:noAutofit/>
                        </wps:bodyPr>
                      </wps:wsp>
                      <wps:wsp>
                        <wps:cNvPr id="1282246864" name="Text Box 2"/>
                        <wps:cNvSpPr txBox="1">
                          <a:spLocks noChangeArrowheads="1"/>
                        </wps:cNvSpPr>
                        <wps:spPr bwMode="auto">
                          <a:xfrm>
                            <a:off x="5208905" y="3180081"/>
                            <a:ext cx="1327150" cy="238125"/>
                          </a:xfrm>
                          <a:prstGeom prst="rect">
                            <a:avLst/>
                          </a:prstGeom>
                          <a:solidFill>
                            <a:schemeClr val="accent4">
                              <a:lumMod val="20000"/>
                              <a:lumOff val="80000"/>
                            </a:schemeClr>
                          </a:solidFill>
                          <a:ln w="9525">
                            <a:solidFill>
                              <a:srgbClr val="000000"/>
                            </a:solidFill>
                            <a:miter lim="800000"/>
                            <a:headEnd/>
                            <a:tailEnd/>
                          </a:ln>
                        </wps:spPr>
                        <wps:txbx>
                          <w:txbxContent>
                            <w:p w14:paraId="0262B213" w14:textId="77777777" w:rsidR="00FE7A30" w:rsidRDefault="00FE7A30" w:rsidP="00FE7A30">
                              <w:pPr>
                                <w:jc w:val="center"/>
                                <w:rPr>
                                  <w:b/>
                                  <w:color w:val="000000" w:themeColor="text1"/>
                                  <w:kern w:val="24"/>
                                  <w:sz w:val="19"/>
                                  <w:szCs w:val="19"/>
                                </w:rPr>
                              </w:pPr>
                              <w:r>
                                <w:rPr>
                                  <w:b/>
                                  <w:color w:val="000000" w:themeColor="text1"/>
                                  <w:kern w:val="24"/>
                                  <w:sz w:val="19"/>
                                  <w:szCs w:val="19"/>
                                </w:rPr>
                                <w:t>Impacts</w:t>
                              </w:r>
                            </w:p>
                          </w:txbxContent>
                        </wps:txbx>
                        <wps:bodyPr rot="0" vert="horz" wrap="square" lIns="91440" tIns="45720" rIns="91440" bIns="45720" anchor="t" anchorCtr="0">
                          <a:noAutofit/>
                        </wps:bodyPr>
                      </wps:wsp>
                      <wps:wsp>
                        <wps:cNvPr id="1282246868" name="Arrow: Right 1282246868"/>
                        <wps:cNvSpPr/>
                        <wps:spPr>
                          <a:xfrm>
                            <a:off x="1382395" y="3230246"/>
                            <a:ext cx="263525" cy="123825"/>
                          </a:xfrm>
                          <a:prstGeom prst="rightArrow">
                            <a:avLst/>
                          </a:prstGeom>
                          <a:solidFill>
                            <a:schemeClr val="accent1">
                              <a:lumMod val="60000"/>
                              <a:lumOff val="4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2246869" name="Arrow: Right 1282246869"/>
                        <wps:cNvSpPr/>
                        <wps:spPr>
                          <a:xfrm>
                            <a:off x="3112135" y="3228976"/>
                            <a:ext cx="263525" cy="123825"/>
                          </a:xfrm>
                          <a:prstGeom prst="rightArrow">
                            <a:avLst/>
                          </a:prstGeom>
                          <a:solidFill>
                            <a:schemeClr val="accent1">
                              <a:lumMod val="60000"/>
                              <a:lumOff val="4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2246870" name="Arrow: Right 1282246870"/>
                        <wps:cNvSpPr/>
                        <wps:spPr>
                          <a:xfrm>
                            <a:off x="4875530" y="3247391"/>
                            <a:ext cx="263525" cy="123825"/>
                          </a:xfrm>
                          <a:prstGeom prst="rightArrow">
                            <a:avLst/>
                          </a:prstGeom>
                          <a:solidFill>
                            <a:schemeClr val="accent1">
                              <a:lumMod val="60000"/>
                              <a:lumOff val="40000"/>
                            </a:schemeClr>
                          </a:solid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82246871" name="Text Box 2"/>
                        <wps:cNvSpPr txBox="1">
                          <a:spLocks noChangeArrowheads="1"/>
                        </wps:cNvSpPr>
                        <wps:spPr bwMode="auto">
                          <a:xfrm>
                            <a:off x="0" y="1411606"/>
                            <a:ext cx="1327150" cy="669925"/>
                          </a:xfrm>
                          <a:prstGeom prst="rect">
                            <a:avLst/>
                          </a:prstGeom>
                          <a:solidFill>
                            <a:schemeClr val="accent1">
                              <a:lumMod val="40000"/>
                              <a:lumOff val="60000"/>
                            </a:schemeClr>
                          </a:solidFill>
                          <a:ln w="9525">
                            <a:solidFill>
                              <a:srgbClr val="000000"/>
                            </a:solidFill>
                            <a:miter lim="800000"/>
                            <a:headEnd/>
                            <a:tailEnd/>
                          </a:ln>
                        </wps:spPr>
                        <wps:txbx>
                          <w:txbxContent>
                            <w:p w14:paraId="4BE39CB8" w14:textId="77777777" w:rsidR="00FE7A30" w:rsidRDefault="00FE7A30" w:rsidP="00FE7A30">
                              <w:pPr>
                                <w:rPr>
                                  <w:color w:val="000000" w:themeColor="text1"/>
                                  <w:kern w:val="24"/>
                                  <w:sz w:val="19"/>
                                  <w:szCs w:val="19"/>
                                </w:rPr>
                              </w:pPr>
                              <w:r>
                                <w:rPr>
                                  <w:color w:val="000000" w:themeColor="text1"/>
                                  <w:kern w:val="24"/>
                                  <w:sz w:val="19"/>
                                  <w:szCs w:val="19"/>
                                </w:rPr>
                                <w:t>Increased awareness of rights and employer obligations.</w:t>
                              </w:r>
                            </w:p>
                          </w:txbxContent>
                        </wps:txbx>
                        <wps:bodyPr rot="0" vert="horz" wrap="square" lIns="91440" tIns="45720" rIns="91440" bIns="45720" anchor="t" anchorCtr="0">
                          <a:noAutofit/>
                        </wps:bodyPr>
                      </wps:wsp>
                      <wps:wsp>
                        <wps:cNvPr id="1282246872" name="Text Box 2"/>
                        <wps:cNvSpPr txBox="1">
                          <a:spLocks noChangeArrowheads="1"/>
                        </wps:cNvSpPr>
                        <wps:spPr bwMode="auto">
                          <a:xfrm>
                            <a:off x="5182361" y="2286564"/>
                            <a:ext cx="1327150" cy="833329"/>
                          </a:xfrm>
                          <a:prstGeom prst="rect">
                            <a:avLst/>
                          </a:prstGeom>
                          <a:solidFill>
                            <a:schemeClr val="accent4">
                              <a:lumMod val="20000"/>
                              <a:lumOff val="80000"/>
                            </a:schemeClr>
                          </a:solidFill>
                          <a:ln w="9525">
                            <a:solidFill>
                              <a:srgbClr val="000000"/>
                            </a:solidFill>
                            <a:miter lim="800000"/>
                            <a:headEnd/>
                            <a:tailEnd/>
                          </a:ln>
                        </wps:spPr>
                        <wps:txbx>
                          <w:txbxContent>
                            <w:p w14:paraId="7DB9D7FE" w14:textId="77777777" w:rsidR="00FE7A30" w:rsidRDefault="00FE7A30" w:rsidP="00FE7A30">
                              <w:pPr>
                                <w:rPr>
                                  <w:color w:val="000000" w:themeColor="text1"/>
                                  <w:kern w:val="24"/>
                                  <w:sz w:val="19"/>
                                  <w:szCs w:val="19"/>
                                </w:rPr>
                              </w:pPr>
                              <w:r>
                                <w:rPr>
                                  <w:color w:val="000000" w:themeColor="text1"/>
                                  <w:kern w:val="24"/>
                                  <w:sz w:val="19"/>
                                  <w:szCs w:val="19"/>
                                </w:rPr>
                                <w:t>Less discrimination and unfair treatment involving pregnant women/new parents</w:t>
                              </w:r>
                            </w:p>
                          </w:txbxContent>
                        </wps:txbx>
                        <wps:bodyPr rot="0" vert="horz" wrap="square" lIns="91440" tIns="45720" rIns="91440" bIns="45720" anchor="t" anchorCtr="0">
                          <a:noAutofit/>
                        </wps:bodyPr>
                      </wps:wsp>
                      <wps:wsp>
                        <wps:cNvPr id="1282246873" name="Text Box 2"/>
                        <wps:cNvSpPr txBox="1">
                          <a:spLocks noChangeArrowheads="1"/>
                        </wps:cNvSpPr>
                        <wps:spPr bwMode="auto">
                          <a:xfrm>
                            <a:off x="3467979" y="2624951"/>
                            <a:ext cx="1327150" cy="506235"/>
                          </a:xfrm>
                          <a:prstGeom prst="rect">
                            <a:avLst/>
                          </a:prstGeom>
                          <a:solidFill>
                            <a:schemeClr val="accent2">
                              <a:lumMod val="60000"/>
                              <a:lumOff val="40000"/>
                            </a:schemeClr>
                          </a:solidFill>
                          <a:ln w="9525">
                            <a:solidFill>
                              <a:srgbClr val="000000"/>
                            </a:solidFill>
                            <a:miter lim="800000"/>
                            <a:headEnd/>
                            <a:tailEnd/>
                          </a:ln>
                        </wps:spPr>
                        <wps:txbx>
                          <w:txbxContent>
                            <w:p w14:paraId="62A5909A" w14:textId="77777777" w:rsidR="00FE7A30" w:rsidRDefault="00FE7A30" w:rsidP="00FE7A30">
                              <w:pPr>
                                <w:rPr>
                                  <w:color w:val="000000" w:themeColor="text1"/>
                                  <w:kern w:val="24"/>
                                  <w:sz w:val="19"/>
                                  <w:szCs w:val="19"/>
                                </w:rPr>
                              </w:pPr>
                              <w:r>
                                <w:rPr>
                                  <w:color w:val="000000" w:themeColor="text1"/>
                                  <w:kern w:val="24"/>
                                  <w:sz w:val="19"/>
                                  <w:szCs w:val="19"/>
                                </w:rPr>
                                <w:t>Greater clarity for employers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6AC91658" id="Group 29" o:spid="_x0000_s1033" style="position:absolute;left:0;text-align:left;margin-left:28.45pt;margin-top:7.2pt;width:472.35pt;height:309.95pt;z-index:251658249;mso-position-horizontal-relative:margin;mso-position-vertical-relative:text;mso-width-relative:margin;mso-height-relative:margin" coordorigin=",1939" coordsize="65360,32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uQqwYAAG44AAAOAAAAZHJzL2Uyb0RvYy54bWzsW1tv2zYUfh+w/yDofbVIiZRo1Cmy9IIB&#10;WVe0HfrMyJItTBI1iomd/vodkhItO+51SaZ6yoOjCy+Hh/zOXU+fbavSu8lkW4h64aMnge9ldSqW&#10;Rb1a+H++f/lL4nut4vWSl6LOFv5t1vrPzn7+6emmmWdYrEW5zKQHg9TtfNMs/LVSzXw2a9N1VvH2&#10;iWiyGl7mQlZcwa1czZaSb2D0qpzhIKCzjZDLRoo0a1t4+ty+9M/M+HmepeqPPG8z5ZULH2hT5lea&#10;3yv9Ozt7yucryZt1kXZk8O+gouJFDZO6oZ5zxb1rWdwZqipSKVqRqyepqGYiz4s0M2uA1aDgYDWv&#10;pLhuzFpW882qcWwC1h7w6buHTV/fvJLNu+aNBE5smhXwwtzptWxzWen/QKW3NSy7dSzLtspL4SFh&#10;LEki4nspvAtZSENKLFPTNXB+1w+xkLG4f/Wi605JSAPSd8c4wgHTbWb97LM9mtyNpRWIfyO9YgkH&#10;DyfQmSYk8r2aV3DQDO+8wfNufd+wYEYwDAfrGtLeL5ySADYM24VjhknCaL+6buGD/hGi7m2/9jhg&#10;QQTLNayDEZIoij67dkBIuzsE7b87BO/WvMnM2WrnR/gIW2L5+F4v+Fex9bCmbdOY1vq8eGoLj4E5&#10;5ty3zaVI/2q9Wlyseb3KzqUUm3XGl0AmMqsadLXjtHqQq83vYgnbxa+VMAMdHDrHQ4wwRSixLO43&#10;AUVRHDMQMfr0MUYjZqh0p4fPG9mqV5moPH2x8CUIBDMNv7lslT1ofRN91FtRFsuXRVmaGy2EsotS&#10;ejccxAdP06xWdrnldQV02+dRAH+WLnis9940p/1joMaIMz2SOdl7k5S1twHaCSaWj3sEyNWVm14P&#10;Z+fRAw6bVYUCGVoW1cJPXCM+19x/US9hkXyueFHaa+hc1kCG3g69A3Yv1PZqa4BkEKrfXYnlLeyP&#10;FFZkgoiHi7WQH31vA+Jy4bd/X3OZ+V75Ww17zGArtHw1NxGJMdzI4Zur4RtepzDUwle+Zy8vlJHJ&#10;mtRanMNZyAuzOztKOpIBAZbix4MCHQkUUBLFIUKdRNpJlKNgwCxAJDBweUg0hObQniwaDP92Z3BC&#10;Q0LikaAhjBMaJaA9tX4mERz28K5uAHHY6YY4wMTqod6yeADdgO+gwSkBkLoD3eBUxg+lG4xlNqFh&#10;aG6C6TEKM4lQglEYGjTAmYsBGEbvD3WDA0OCcBAZc/QhVUN0Bwzgrx0zlIzNosn9ocCAjMk3oWGI&#10;BpDGo0MDihgjSeeTDuBAcQyqTPsNcZBgtO95PYBuOHU4GOU6wWEABwq2xyjgoE2lhEKoQh92zCJy&#10;xIt2yiFGSRBPlpLTVN/lRSMXLBmzG72LrT2yS03BiR0FMigDzaBhEaI4DPoAntMSIQ4cLnAIZpNR&#10;Iw9pNJ14dAkZH23SEkMtAXJ5FFhAMaJR4ODAIusi8LmDA8SUWB+rfxw4nHh4yVqdExyGcAAfdhRw&#10;CCNKkhBMOKMdQA0kxigawCHEMUSduvTNo2iHE48vIaNeJzgM4eDymf9xHo6AKcScdhgHHE7dpTYh&#10;ugkOQzi4eKvJL8+9t8VqrVyWn7p8DWS0XU1Dn+fcBf67ggYUJjhkncWDwwAKCPajppiGOi9rokQI&#10;LJ4v2v+aGkOZiX3eY475PvIICMcQfv1Slltte+d/kGMGl+dI0rhVt2Wmxyvrt1kO6WOoBrAqyuW7&#10;72bO2zVfZvYxVFDsEtp9rt2Egc2AeuQcUvFu7K7SoG+5P7aNH3ftddfMVP+4zt3KP9fZ9TAzi1q5&#10;zlVRC2lZtz9ACfUA3cy2fZ9Zt6w5At62SV8WUItwyVv1hksoNgIT4n6z6/V1dSGgYAG8bJjNXMIc&#10;UpX9ZS5F9QHqps51Th9e9en4VMn+pkvIe1B5lWbn56YZVCw1XF3W75q0L/vQtRPvtx+4bLoCCwXe&#10;wmvRF5fw+QEGbFvN37Gl+akLXh8XLS759VWiBfL0kI/pRQtOWDyJFn8SLVk+iRb5vxMtMYhY69Me&#10;FS3wGlSIVhVfJVqiJCakd0wxlASxA8d0slq6Cr7JapmsFjDeT9lqgUzdOMJlIOIgUIYihGhwYOqg&#10;YaCMUga10p3N3Nf69hW4U5Hu1xXpoqlK97DwPx5LGoUgCCroBCfAAeOEEmpKSz4RN07CMMT7XzxM&#10;tSffWrNuvwo44mvfr1vde8k/QtF6PKI0SsxiW6aLKY6YrcL9BBxIQDF4zTai8mDa4dTTKC5UMfri&#10;E/iozcT7ug/w9Fdzw3sTTNt9Jnj2DwAAAP//AwBQSwMEFAAGAAgAAAAhAGrv0TrgAAAACgEAAA8A&#10;AABkcnMvZG93bnJldi54bWxMj0FLw0AQhe+C/2EZwZvdjUmDxmxKKeqpCLaCeJsm0yQ0Oxuy2yT9&#10;925PenzzHu99k69m04mRBtda1hAtFAji0lYt1xq+9m8PTyCcR66ws0waLuRgVdze5JhVduJPGne+&#10;FqGEXYYaGu/7TEpXNmTQLWxPHLyjHQz6IIdaVgNOodx08lGpVBpsOSw02NOmofK0OxsN7xNO6zh6&#10;Hben4+bys19+fG8j0vr+bl6/gPA0+78wXPEDOhSB6WDPXDnRaVimzyEZ7kkC4uorFaUgDhrSOIlB&#10;Frn8/0LxCwAA//8DAFBLAQItABQABgAIAAAAIQC2gziS/gAAAOEBAAATAAAAAAAAAAAAAAAAAAAA&#10;AABbQ29udGVudF9UeXBlc10ueG1sUEsBAi0AFAAGAAgAAAAhADj9If/WAAAAlAEAAAsAAAAAAAAA&#10;AAAAAAAALwEAAF9yZWxzLy5yZWxzUEsBAi0AFAAGAAgAAAAhAL6kW5CrBgAAbjgAAA4AAAAAAAAA&#10;AAAAAAAALgIAAGRycy9lMm9Eb2MueG1sUEsBAi0AFAAGAAgAAAAhAGrv0TrgAAAACgEAAA8AAAAA&#10;AAAAAAAAAAAABQkAAGRycy9kb3ducmV2LnhtbFBLBQYAAAAABAAEAPMAAAASCgAAAAA=&#10;">
                <v:group id="Group 1282246854" o:spid="_x0000_s1034" style="position:absolute;left:95;top:1939;width:65001;height:29259" coordorigin="95,1941" coordsize="70904,29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EypEyAAAAOMAAAAPAAAAZHJzL2Rvd25yZXYueG1sRE9La8JA&#10;EL4X+h+WKXirm8QHIXUVkVp6EKFaKL0N2TEJZmdDdk3iv3cFweN871msBlOLjlpXWVYQjyMQxLnV&#10;FRcKfo/b9xSE88gaa8uk4EoOVsvXlwVm2vb8Q93BFyKEsMtQQel9k0np8pIMurFtiAN3sq1BH862&#10;kLrFPoSbWiZRNJcGKw4NJTa0KSk/Hy5GwVeP/XoSf3a782lz/T/O9n+7mJQavQ3rDxCeBv8UP9zf&#10;OsxP0iSZztPZFO4/BQDk8gYAAP//AwBQSwECLQAUAAYACAAAACEA2+H2y+4AAACFAQAAEwAAAAAA&#10;AAAAAAAAAAAAAAAAW0NvbnRlbnRfVHlwZXNdLnhtbFBLAQItABQABgAIAAAAIQBa9CxbvwAAABUB&#10;AAALAAAAAAAAAAAAAAAAAB8BAABfcmVscy8ucmVsc1BLAQItABQABgAIAAAAIQBFEypEyAAAAOMA&#10;AAAPAAAAAAAAAAAAAAAAAAcCAABkcnMvZG93bnJldi54bWxQSwUGAAAAAAMAAwC3AAAA/AIAAAAA&#10;">
                  <v:shape id="_x0000_s1035" type="#_x0000_t202" style="position:absolute;left:95;top:21261;width:14478;height:99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6fjezAAAAOMAAAAPAAAAZHJzL2Rvd25yZXYueG1sRI/RasJA&#10;EEXfC/7DMoIvpW6M1YboKkUI1IdS1H7ANDsmMdnZNLvV6Nd3CwUfZ+69Z+4s171pxJk6V1lWMBlH&#10;IIhzqysuFHwesqcEhPPIGhvLpOBKDtarwcMSU20vvKPz3hciQNilqKD0vk2ldHlJBt3YtsRBO9rO&#10;oA9jV0jd4SXATSPjKJpLgxWHCyW2tCkpr/c/JlDq+vr4Ijmb5tvpLdudvj/ev1Cp0bB/XYDw1Pu7&#10;+T/9pkP9OInj53kym8HfT2EBcvULAAD//wMAUEsBAi0AFAAGAAgAAAAhANvh9svuAAAAhQEAABMA&#10;AAAAAAAAAAAAAAAAAAAAAFtDb250ZW50X1R5cGVzXS54bWxQSwECLQAUAAYACAAAACEAWvQsW78A&#10;AAAVAQAACwAAAAAAAAAAAAAAAAAfAQAAX3JlbHMvLnJlbHNQSwECLQAUAAYACAAAACEAgun43swA&#10;AADjAAAADwAAAAAAAAAAAAAAAAAHAgAAZHJzL2Rvd25yZXYueG1sUEsFBgAAAAADAAMAtwAAAAAD&#10;AAAAAA==&#10;" fillcolor="#b8cce4 [1300]">
                    <v:textbox>
                      <w:txbxContent>
                        <w:p w14:paraId="1F0037D5" w14:textId="77777777" w:rsidR="00FE7A30" w:rsidRDefault="00FE7A30" w:rsidP="00FE7A30">
                          <w:pPr>
                            <w:rPr>
                              <w:color w:val="000000" w:themeColor="text1"/>
                              <w:kern w:val="24"/>
                              <w:sz w:val="19"/>
                              <w:szCs w:val="19"/>
                            </w:rPr>
                          </w:pPr>
                          <w:r>
                            <w:rPr>
                              <w:color w:val="000000" w:themeColor="text1"/>
                              <w:kern w:val="24"/>
                              <w:sz w:val="19"/>
                              <w:szCs w:val="19"/>
                            </w:rPr>
                            <w:t>Introduce legislation to extend the period of redundancy protection for pregnant women and returning parents.</w:t>
                          </w:r>
                        </w:p>
                      </w:txbxContent>
                    </v:textbox>
                  </v:shape>
                  <v:shape id="_x0000_s1036" type="#_x0000_t202" style="position:absolute;left:18473;top:1941;width:14478;height:290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wRgyAAAAOMAAAAPAAAAZHJzL2Rvd25yZXYueG1sRE9fS8Mw&#10;EH8X/A7hBN9canSl1mVDRXFPG1ZBfDuasy02l5JkXd2nNwNhj/f7f4vVZHsxkg+dYw3XswwEce1M&#10;x42Gj/eXqwJEiMgGe8ek4ZcCrJbnZwssjdvzG41VbEQK4VCihjbGoZQy1C1ZDDM3ECfu23mLMZ2+&#10;kcbjPoXbXqosy6XFjlNDiwM9tVT/VDurwfjw+Oxu5muVV4dX+bXd3H2OO60vL6aHexCRpngS/7vX&#10;Js1XhVK3eTHP4fhTAkAu/wAAAP//AwBQSwECLQAUAAYACAAAACEA2+H2y+4AAACFAQAAEwAAAAAA&#10;AAAAAAAAAAAAAAAAW0NvbnRlbnRfVHlwZXNdLnhtbFBLAQItABQABgAIAAAAIQBa9CxbvwAAABUB&#10;AAALAAAAAAAAAAAAAAAAAB8BAABfcmVscy8ucmVsc1BLAQItABQABgAIAAAAIQA9GwRgyAAAAOMA&#10;AAAPAAAAAAAAAAAAAAAAAAcCAABkcnMvZG93bnJldi54bWxQSwUGAAAAAAMAAwC3AAAA/AIAAAAA&#10;" fillcolor="#d6e3bc [1302]">
                    <v:textbox>
                      <w:txbxContent>
                        <w:p w14:paraId="666AAFE2" w14:textId="77777777" w:rsidR="00FE7A30" w:rsidRDefault="00FE7A30" w:rsidP="00FE7A30">
                          <w:pPr>
                            <w:rPr>
                              <w:color w:val="000000" w:themeColor="text1"/>
                              <w:kern w:val="24"/>
                              <w:sz w:val="19"/>
                              <w:szCs w:val="19"/>
                            </w:rPr>
                          </w:pPr>
                          <w:r>
                            <w:rPr>
                              <w:color w:val="000000" w:themeColor="text1"/>
                              <w:kern w:val="24"/>
                              <w:sz w:val="19"/>
                              <w:szCs w:val="19"/>
                            </w:rPr>
                            <w:t>Employers may:</w:t>
                          </w:r>
                        </w:p>
                        <w:p w14:paraId="25EA5236" w14:textId="77777777" w:rsidR="00FE7A30" w:rsidRDefault="00FE7A30" w:rsidP="00FE7A30">
                          <w:pPr>
                            <w:ind w:left="288" w:hanging="288"/>
                            <w:rPr>
                              <w:color w:val="000000" w:themeColor="text1"/>
                              <w:kern w:val="24"/>
                              <w:sz w:val="19"/>
                              <w:szCs w:val="19"/>
                            </w:rPr>
                          </w:pPr>
                          <w:r>
                            <w:rPr>
                              <w:color w:val="000000" w:themeColor="text1"/>
                              <w:kern w:val="24"/>
                              <w:sz w:val="19"/>
                              <w:szCs w:val="19"/>
                            </w:rPr>
                            <w:t>avoid making pregnant women and returning parents redundant entirely.</w:t>
                          </w:r>
                        </w:p>
                        <w:p w14:paraId="2960A4AE" w14:textId="77777777" w:rsidR="00FE7A30" w:rsidRDefault="00FE7A30" w:rsidP="00FE7A30">
                          <w:pPr>
                            <w:ind w:left="288" w:hanging="288"/>
                            <w:rPr>
                              <w:color w:val="000000" w:themeColor="text1"/>
                              <w:kern w:val="24"/>
                              <w:sz w:val="19"/>
                              <w:szCs w:val="19"/>
                            </w:rPr>
                          </w:pPr>
                          <w:r>
                            <w:rPr>
                              <w:color w:val="000000" w:themeColor="text1"/>
                              <w:kern w:val="24"/>
                              <w:sz w:val="19"/>
                              <w:szCs w:val="19"/>
                            </w:rPr>
                            <w:t>Offer suitable alternative role if they do select for redundancy.</w:t>
                          </w:r>
                        </w:p>
                        <w:p w14:paraId="7B9A707D" w14:textId="77777777" w:rsidR="00FE7A30" w:rsidRDefault="00FE7A30" w:rsidP="00FE7A30">
                          <w:pPr>
                            <w:ind w:left="288" w:hanging="288"/>
                            <w:rPr>
                              <w:color w:val="000000" w:themeColor="text1"/>
                              <w:kern w:val="24"/>
                              <w:sz w:val="19"/>
                              <w:szCs w:val="19"/>
                            </w:rPr>
                          </w:pPr>
                          <w:r>
                            <w:rPr>
                              <w:color w:val="000000" w:themeColor="text1"/>
                              <w:kern w:val="24"/>
                              <w:sz w:val="19"/>
                              <w:szCs w:val="19"/>
                            </w:rPr>
                            <w:t>Absorb costs of keeping pregnant women/returning mother employed (cost-offset)</w:t>
                          </w:r>
                        </w:p>
                        <w:p w14:paraId="6EDA5DF9" w14:textId="77777777" w:rsidR="00FE7A30" w:rsidRDefault="00FE7A30" w:rsidP="00FE7A30">
                          <w:pPr>
                            <w:ind w:left="288" w:hanging="288"/>
                            <w:rPr>
                              <w:color w:val="000000" w:themeColor="text1"/>
                              <w:kern w:val="24"/>
                              <w:sz w:val="19"/>
                              <w:szCs w:val="19"/>
                            </w:rPr>
                          </w:pPr>
                          <w:r>
                            <w:rPr>
                              <w:color w:val="000000" w:themeColor="text1"/>
                              <w:kern w:val="24"/>
                              <w:sz w:val="19"/>
                              <w:szCs w:val="19"/>
                            </w:rPr>
                            <w:t>Make another employee  redundant instead (subsitution)</w:t>
                          </w:r>
                        </w:p>
                      </w:txbxContent>
                    </v:textbox>
                  </v:shape>
                  <v:shape id="_x0000_s1037" type="#_x0000_t202" style="position:absolute;left:37864;top:15415;width:14478;height:9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xYs4yQAAAOMAAAAPAAAAZHJzL2Rvd25yZXYueG1sRE9La8JA&#10;EL4L/Q/LFHqRummoNk1dRQpqL1I09T7NTpNgdjZkN4/+e7cg9Djfe5br0dSip9ZVlhU8zSIQxLnV&#10;FRcKvrLtYwLCeWSNtWVS8EsO1qu7yRJTbQc+Un/yhQgh7FJUUHrfpFK6vCSDbmYb4sD92NagD2db&#10;SN3iEMJNLeMoWkiDFYeGEht6Lym/nDqjYDck532ffW7Ol+77OMisO7xGU6Ue7sfNGwhPo/8X39wf&#10;OsyPkzh+XiTzF/j7KQAgV1cAAAD//wMAUEsBAi0AFAAGAAgAAAAhANvh9svuAAAAhQEAABMAAAAA&#10;AAAAAAAAAAAAAAAAAFtDb250ZW50X1R5cGVzXS54bWxQSwECLQAUAAYACAAAACEAWvQsW78AAAAV&#10;AQAACwAAAAAAAAAAAAAAAAAfAQAAX3JlbHMvLnJlbHNQSwECLQAUAAYACAAAACEA78WLOMkAAADj&#10;AAAADwAAAAAAAAAAAAAAAAAHAgAAZHJzL2Rvd25yZXYueG1sUEsFBgAAAAADAAMAtwAAAP0CAAAA&#10;AA==&#10;" fillcolor="#d99594 [1941]">
                    <v:textbox>
                      <w:txbxContent>
                        <w:p w14:paraId="4A540F52" w14:textId="77777777" w:rsidR="00FE7A30" w:rsidRDefault="00FE7A30" w:rsidP="00FE7A30">
                          <w:pPr>
                            <w:rPr>
                              <w:color w:val="000000" w:themeColor="text1"/>
                              <w:kern w:val="24"/>
                              <w:sz w:val="19"/>
                              <w:szCs w:val="19"/>
                            </w:rPr>
                          </w:pPr>
                          <w:r>
                            <w:rPr>
                              <w:color w:val="000000" w:themeColor="text1"/>
                              <w:kern w:val="24"/>
                              <w:sz w:val="19"/>
                              <w:szCs w:val="19"/>
                            </w:rPr>
                            <w:t>Fewer Employment Tribunal complaints related to pregnancy and maternity discrimination</w:t>
                          </w:r>
                        </w:p>
                      </w:txbxContent>
                    </v:textbox>
                  </v:shape>
                  <v:shape id="_x0000_s1038" type="#_x0000_t202" style="position:absolute;left:56521;top:6007;width:14478;height:81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yhzyQAAAOMAAAAPAAAAZHJzL2Rvd25yZXYueG1sRI9BS8NA&#10;EIXvgv9hGcGb3RhsCLHbUhShJ8FYPA/ZaZI2O5vurkn8985B8Djz3rz3zWa3uEFNFGLv2cDjKgNF&#10;3Hjbc2vg+Pn2UIKKCdni4JkM/FCE3fb2ZoOV9TN/0FSnVkkIxwoNdCmNldax6chhXPmRWLSTDw6T&#10;jKHVNuAs4W7QeZYV2mHP0tDhSC8dNZf62xmY5sMrnv31ul/Cui7OPRVfzbsx93fL/hlUoiX9m/+u&#10;D1bw8zLPn4pyLdDykyxAb38BAAD//wMAUEsBAi0AFAAGAAgAAAAhANvh9svuAAAAhQEAABMAAAAA&#10;AAAAAAAAAAAAAAAAAFtDb250ZW50X1R5cGVzXS54bWxQSwECLQAUAAYACAAAACEAWvQsW78AAAAV&#10;AQAACwAAAAAAAAAAAAAAAAAfAQAAX3JlbHMvLnJlbHNQSwECLQAUAAYACAAAACEApgsoc8kAAADj&#10;AAAADwAAAAAAAAAAAAAAAAAHAgAAZHJzL2Rvd25yZXYueG1sUEsFBgAAAAADAAMAtwAAAP0CAAAA&#10;AA==&#10;" fillcolor="#e5dfec [663]">
                    <v:textbox>
                      <w:txbxContent>
                        <w:p w14:paraId="15DC8BFE" w14:textId="77777777" w:rsidR="00FE7A30" w:rsidRDefault="00FE7A30" w:rsidP="00FE7A30">
                          <w:pPr>
                            <w:rPr>
                              <w:color w:val="000000" w:themeColor="text1"/>
                              <w:kern w:val="24"/>
                              <w:sz w:val="19"/>
                              <w:szCs w:val="19"/>
                            </w:rPr>
                          </w:pPr>
                          <w:r>
                            <w:rPr>
                              <w:color w:val="000000" w:themeColor="text1"/>
                              <w:kern w:val="24"/>
                              <w:sz w:val="19"/>
                              <w:szCs w:val="19"/>
                            </w:rPr>
                            <w:t>Improved wellbeing and job security for pregnant women/new parents</w:t>
                          </w:r>
                        </w:p>
                      </w:txbxContent>
                    </v:textbox>
                  </v:shape>
                  <v:shape id="_x0000_s1039" type="#_x0000_t202" style="position:absolute;left:56521;top:14995;width:14463;height:7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43oxgAAAOMAAAAPAAAAZHJzL2Rvd25yZXYueG1sRE9fa8Iw&#10;EH8X9h3CDfam6cosXWcUmQx8GljHno/m1tY1l5rEtvv2iyD4eL//t9pMphMDOd9aVvC8SEAQV1a3&#10;XCv4On7McxA+IGvsLJOCP/KwWT/MVlhoO/KBhjLUIoawL1BBE0JfSOmrhgz6he2JI/djncEQT1dL&#10;7XCM4aaTaZJk0mDLsaHBnt4bqn7Li1EwjPsdnuz5vJ3cssxOLWXf1adST4/T9g1EoCncxTf3Xsf5&#10;aZ6mL1m+fIXrTxEAuf4HAAD//wMAUEsBAi0AFAAGAAgAAAAhANvh9svuAAAAhQEAABMAAAAAAAAA&#10;AAAAAAAAAAAAAFtDb250ZW50X1R5cGVzXS54bWxQSwECLQAUAAYACAAAACEAWvQsW78AAAAVAQAA&#10;CwAAAAAAAAAAAAAAAAAfAQAAX3JlbHMvLnJlbHNQSwECLQAUAAYACAAAACEAyUeN6MYAAADjAAAA&#10;DwAAAAAAAAAAAAAAAAAHAgAAZHJzL2Rvd25yZXYueG1sUEsFBgAAAAADAAMAtwAAAPoCAAAAAA==&#10;" fillcolor="#e5dfec [663]">
                    <v:textbox>
                      <w:txbxContent>
                        <w:p w14:paraId="374BF1D0" w14:textId="77777777" w:rsidR="00FE7A30" w:rsidRDefault="00FE7A30" w:rsidP="00FE7A30">
                          <w:pPr>
                            <w:rPr>
                              <w:color w:val="000000" w:themeColor="text1"/>
                              <w:kern w:val="24"/>
                              <w:sz w:val="19"/>
                              <w:szCs w:val="19"/>
                            </w:rPr>
                          </w:pPr>
                          <w:r>
                            <w:rPr>
                              <w:color w:val="000000" w:themeColor="text1"/>
                              <w:kern w:val="24"/>
                              <w:sz w:val="19"/>
                              <w:szCs w:val="19"/>
                            </w:rPr>
                            <w:t>Improved employment rates for pregnant women/returning parents</w:t>
                          </w:r>
                        </w:p>
                      </w:txbxContent>
                    </v:textbox>
                  </v:shape>
                  <v:shape id="_x0000_s1040" type="#_x0000_t202" style="position:absolute;left:37868;top:7294;width:14478;height:7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NnxywAAAOMAAAAPAAAAZHJzL2Rvd25yZXYueG1sRI/NS8NA&#10;EMXvgv/DMoIXsRuDhJh2W4rgx0Wkjb2P2WkSmp0N2c2H/71zEDzOzJv33m+zW1ynJhpC69nAwyoB&#10;RVx523Jt4Kt8uc9BhYhssfNMBn4owG57fbXBwvqZDzQdY63EhEOBBpoY+0LrUDXkMKx8Tyy3sx8c&#10;RhmHWtsBZzF3nU6TJNMOW5aEBnt6bqi6HEdn4HXOT29T+bk/Xcbvw6zL8eMpuTPm9mbZr0FFWuK/&#10;+O/73Ur9NE/TxyzPhEKYZAF6+wsAAP//AwBQSwECLQAUAAYACAAAACEA2+H2y+4AAACFAQAAEwAA&#10;AAAAAAAAAAAAAAAAAAAAW0NvbnRlbnRfVHlwZXNdLnhtbFBLAQItABQABgAIAAAAIQBa9CxbvwAA&#10;ABUBAAALAAAAAAAAAAAAAAAAAB8BAABfcmVscy8ucmVsc1BLAQItABQABgAIAAAAIQCuQNnxywAA&#10;AOMAAAAPAAAAAAAAAAAAAAAAAAcCAABkcnMvZG93bnJldi54bWxQSwUGAAAAAAMAAwC3AAAA/wIA&#10;AAAA&#10;" fillcolor="#d99594 [1941]">
                    <v:textbox>
                      <w:txbxContent>
                        <w:p w14:paraId="496E98BE" w14:textId="77777777" w:rsidR="00FE7A30" w:rsidRDefault="00FE7A30" w:rsidP="00FE7A30">
                          <w:pPr>
                            <w:rPr>
                              <w:color w:val="000000" w:themeColor="text1"/>
                              <w:kern w:val="24"/>
                              <w:sz w:val="19"/>
                              <w:szCs w:val="19"/>
                            </w:rPr>
                          </w:pPr>
                          <w:r>
                            <w:rPr>
                              <w:color w:val="000000" w:themeColor="text1"/>
                              <w:kern w:val="24"/>
                              <w:sz w:val="19"/>
                              <w:szCs w:val="19"/>
                            </w:rPr>
                            <w:t>Fewer redundancies involving pregnant women and new  parents.</w:t>
                          </w:r>
                        </w:p>
                      </w:txbxContent>
                    </v:textbox>
                  </v:shape>
                </v:group>
                <v:shape id="_x0000_s1041" type="#_x0000_t202" style="position:absolute;left:69;top:31730;width:13208;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jRgzAAAAOMAAAAPAAAAZHJzL2Rvd25yZXYueG1sRI/RasJA&#10;EEXfhf7DMgVfRDfGkobUVYoQ0IdStP2AMTtN0mRnY3bV2K/vFoQ+ztx7z9xZrgfTigv1rrasYD6L&#10;QBAXVtdcKvj8yKcpCOeRNbaWScGNHKxXD6MlZtpeeU+Xgy9FgLDLUEHlfZdJ6YqKDLqZ7YiD9mV7&#10;gz6MfSl1j9cAN62MoyiRBmsOFyrsaFNR0RzOJlCa5jZ5lpwvit3iJ99/n97fjqjU+HF4fQHhafD/&#10;5nt6q0P9OI3jpyRN5vD3U1iAXP0CAAD//wMAUEsBAi0AFAAGAAgAAAAhANvh9svuAAAAhQEAABMA&#10;AAAAAAAAAAAAAAAAAAAAAFtDb250ZW50X1R5cGVzXS54bWxQSwECLQAUAAYACAAAACEAWvQsW78A&#10;AAAVAQAACwAAAAAAAAAAAAAAAAAfAQAAX3JlbHMvLnJlbHNQSwECLQAUAAYACAAAACEAM740YMwA&#10;AADjAAAADwAAAAAAAAAAAAAAAAAHAgAAZHJzL2Rvd25yZXYueG1sUEsFBgAAAAADAAMAtwAAAAAD&#10;AAAAAA==&#10;" fillcolor="#b8cce4 [1300]">
                  <v:textbox>
                    <w:txbxContent>
                      <w:p w14:paraId="50E5D7E8" w14:textId="77777777" w:rsidR="00FE7A30" w:rsidRDefault="00FE7A30" w:rsidP="00FE7A30">
                        <w:pPr>
                          <w:jc w:val="center"/>
                          <w:rPr>
                            <w:b/>
                            <w:color w:val="000000" w:themeColor="text1"/>
                            <w:kern w:val="24"/>
                            <w:sz w:val="19"/>
                            <w:szCs w:val="19"/>
                          </w:rPr>
                        </w:pPr>
                        <w:r>
                          <w:rPr>
                            <w:b/>
                            <w:color w:val="000000" w:themeColor="text1"/>
                            <w:kern w:val="24"/>
                            <w:sz w:val="19"/>
                            <w:szCs w:val="19"/>
                          </w:rPr>
                          <w:t>Inputs/Activities</w:t>
                        </w:r>
                      </w:p>
                    </w:txbxContent>
                  </v:textbox>
                </v:shape>
                <v:shape id="_x0000_s1042" type="#_x0000_t202" style="position:absolute;left:17164;top:31794;width:12909;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MjeyAAAAOMAAAAPAAAAZHJzL2Rvd25yZXYueG1sRE9fS8Mw&#10;EH8X9h3CDXxzqVFLV5eNKYp7UqzC8O1ozrasuZQk66qf3giCj/f7f6vNZHsxkg+dYw2XiwwEce1M&#10;x42G97fHiwJEiMgGe8ek4YsCbNazsxWWxp34lcYqNiKFcChRQxvjUEoZ6pYshoUbiBP36bzFmE7f&#10;SOPxlMJtL1WW5dJix6mhxYHuW6oP1dFqMD7cPbirm53Kq+8n+fHyvNyPR63P59P2FkSkKf6L/9w7&#10;k+arQqnrvMgV/P6UAJDrHwAAAP//AwBQSwECLQAUAAYACAAAACEA2+H2y+4AAACFAQAAEwAAAAAA&#10;AAAAAAAAAAAAAAAAW0NvbnRlbnRfVHlwZXNdLnhtbFBLAQItABQABgAIAAAAIQBa9CxbvwAAABUB&#10;AAALAAAAAAAAAAAAAAAAAB8BAABfcmVscy8ucmVsc1BLAQItABQABgAIAAAAIQCMTMjeyAAAAOMA&#10;AAAPAAAAAAAAAAAAAAAAAAcCAABkcnMvZG93bnJldi54bWxQSwUGAAAAAAMAAwC3AAAA/AIAAAAA&#10;" fillcolor="#d6e3bc [1302]">
                  <v:textbox>
                    <w:txbxContent>
                      <w:p w14:paraId="299B3097" w14:textId="77777777" w:rsidR="00FE7A30" w:rsidRDefault="00FE7A30" w:rsidP="00FE7A30">
                        <w:pPr>
                          <w:jc w:val="center"/>
                          <w:rPr>
                            <w:b/>
                            <w:color w:val="000000" w:themeColor="text1"/>
                            <w:kern w:val="24"/>
                            <w:sz w:val="19"/>
                            <w:szCs w:val="19"/>
                          </w:rPr>
                        </w:pPr>
                        <w:r>
                          <w:rPr>
                            <w:b/>
                            <w:color w:val="000000" w:themeColor="text1"/>
                            <w:kern w:val="24"/>
                            <w:sz w:val="19"/>
                            <w:szCs w:val="19"/>
                          </w:rPr>
                          <w:t>Outputs</w:t>
                        </w:r>
                      </w:p>
                    </w:txbxContent>
                  </v:textbox>
                </v:shape>
                <v:shape id="_x0000_s1043" type="#_x0000_t202" style="position:absolute;left:34658;top:31800;width:13271;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kkeGyAAAAOMAAAAPAAAAZHJzL2Rvd25yZXYueG1sRE9LS8NA&#10;EL4X/A/LCF6K3RglxNhtKYLaSylt7H3MjklodjZkNw//fbcg9Djfe5bryTRioM7VlhU8LSIQxIXV&#10;NZcKvvOPxxSE88gaG8uk4I8crFd3syVm2o58oOHoSxFC2GWooPK+zaR0RUUG3cK2xIH7tZ1BH86u&#10;lLrDMYSbRsZRlEiDNYeGClt6r6g4H3uj4HNMT19Dvt+czv3PYZR5v3uN5ko93E+bNxCeJn8T/7u3&#10;OsyP0zh+SdLkGa4/BQDk6gIAAP//AwBQSwECLQAUAAYACAAAACEA2+H2y+4AAACFAQAAEwAAAAAA&#10;AAAAAAAAAAAAAAAAW0NvbnRlbnRfVHlwZXNdLnhtbFBLAQItABQABgAIAAAAIQBa9CxbvwAAABUB&#10;AAALAAAAAAAAAAAAAAAAAB8BAABfcmVscy8ucmVsc1BLAQItABQABgAIAAAAIQBekkeGyAAAAOMA&#10;AAAPAAAAAAAAAAAAAAAAAAcCAABkcnMvZG93bnJldi54bWxQSwUGAAAAAAMAAwC3AAAA/AIAAAAA&#10;" fillcolor="#d99594 [1941]">
                  <v:textbox>
                    <w:txbxContent>
                      <w:p w14:paraId="479AC9E8" w14:textId="77777777" w:rsidR="00FE7A30" w:rsidRDefault="00FE7A30" w:rsidP="00FE7A30">
                        <w:pPr>
                          <w:jc w:val="center"/>
                          <w:rPr>
                            <w:b/>
                            <w:color w:val="000000" w:themeColor="text1"/>
                            <w:kern w:val="24"/>
                            <w:sz w:val="19"/>
                            <w:szCs w:val="19"/>
                          </w:rPr>
                        </w:pPr>
                        <w:r>
                          <w:rPr>
                            <w:b/>
                            <w:color w:val="000000" w:themeColor="text1"/>
                            <w:kern w:val="24"/>
                            <w:sz w:val="19"/>
                            <w:szCs w:val="19"/>
                          </w:rPr>
                          <w:t>Outcomes</w:t>
                        </w:r>
                      </w:p>
                    </w:txbxContent>
                  </v:textbox>
                </v:shape>
                <v:shape id="_x0000_s1044" type="#_x0000_t202" style="position:absolute;left:52089;top:31800;width:13271;height:23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KujLxgAAAOMAAAAPAAAAZHJzL2Rvd25yZXYueG1sRE9fS8Mw&#10;EH8X/A7hhL25dGWGUpeNsSHsSbCKz0dztt2aS5fEtvv2RhB8vN//2+xm24uRfOgca1gtMxDEtTMd&#10;Nxo+3l8eCxAhIhvsHZOGGwXYbe/vNlgaN/EbjVVsRArhUKKGNsahlDLULVkMSzcQJ+7LeYsxnb6R&#10;xuOUwm0v8yxT0mLHqaHFgQ4t1Zfq22oYp9MRz+563c/+qVLnjtRn/ar14mHeP4OINMd/8Z/7ZNL8&#10;vMjztSrUGn5/SgDI7Q8AAAD//wMAUEsBAi0AFAAGAAgAAAAhANvh9svuAAAAhQEAABMAAAAAAAAA&#10;AAAAAAAAAAAAAFtDb250ZW50X1R5cGVzXS54bWxQSwECLQAUAAYACAAAACEAWvQsW78AAAAVAQAA&#10;CwAAAAAAAAAAAAAAAAAfAQAAX3JlbHMvLnJlbHNQSwECLQAUAAYACAAAACEA6Sroy8YAAADjAAAA&#10;DwAAAAAAAAAAAAAAAAAHAgAAZHJzL2Rvd25yZXYueG1sUEsFBgAAAAADAAMAtwAAAPoCAAAAAA==&#10;" fillcolor="#e5dfec [663]">
                  <v:textbox>
                    <w:txbxContent>
                      <w:p w14:paraId="0262B213" w14:textId="77777777" w:rsidR="00FE7A30" w:rsidRDefault="00FE7A30" w:rsidP="00FE7A30">
                        <w:pPr>
                          <w:jc w:val="center"/>
                          <w:rPr>
                            <w:b/>
                            <w:color w:val="000000" w:themeColor="text1"/>
                            <w:kern w:val="24"/>
                            <w:sz w:val="19"/>
                            <w:szCs w:val="19"/>
                          </w:rPr>
                        </w:pPr>
                        <w:r>
                          <w:rPr>
                            <w:b/>
                            <w:color w:val="000000" w:themeColor="text1"/>
                            <w:kern w:val="24"/>
                            <w:sz w:val="19"/>
                            <w:szCs w:val="19"/>
                          </w:rPr>
                          <w:t>Impacts</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82246868" o:spid="_x0000_s1045" type="#_x0000_t13" style="position:absolute;left:13823;top:32302;width:2636;height:1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F/2ywAAAOMAAAAPAAAAZHJzL2Rvd25yZXYueG1sRI9BSwMx&#10;EIXvgv8hjOBF2qxBlmVtWoogSEHEtojH6WbcjW4mIYnd9d+bg+Bx5r1575vVZnajOFNM1rOG22UF&#10;grjzxnKv4Xh4XDQgUkY2OHomDT+UYLO+vFhha/zEr3Te516UEE4tahhyDq2UqRvIYVr6QFy0Dx8d&#10;5jLGXpqIUwl3o1RVVUuHlkvDgIEeBuq+9t9Ow+ElhekzJLur37annbI+Pt+8a319NW/vQWSa87/5&#10;7/rJFHzVKHVXN3WBLj+VBcj1LwAAAP//AwBQSwECLQAUAAYACAAAACEA2+H2y+4AAACFAQAAEwAA&#10;AAAAAAAAAAAAAAAAAAAAW0NvbnRlbnRfVHlwZXNdLnhtbFBLAQItABQABgAIAAAAIQBa9CxbvwAA&#10;ABUBAAALAAAAAAAAAAAAAAAAAB8BAABfcmVscy8ucmVsc1BLAQItABQABgAIAAAAIQCGtF/2ywAA&#10;AOMAAAAPAAAAAAAAAAAAAAAAAAcCAABkcnMvZG93bnJldi54bWxQSwUGAAAAAAMAAwC3AAAA/wIA&#10;AAAA&#10;" adj="16525" fillcolor="#95b3d7 [1940]" strokecolor="black [3213]" strokeweight="1pt"/>
                <v:shape id="Arrow: Right 1282246869" o:spid="_x0000_s1046" type="#_x0000_t13" style="position:absolute;left:31121;top:32289;width:2635;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ptxwAAAOMAAAAPAAAAZHJzL2Rvd25yZXYueG1sRE9fS8Mw&#10;EH8X/A7hBF/EpQYptS4bQxBkIOIm4uPZnG20uYQkrvXbG2Hg4/3+33I9u1EcKCbrWcPVogJB3Hlj&#10;udfwsr+/bECkjGxw9EwafijBenV6ssTW+Imf6bDLvSghnFrUMOQcWilTN5DDtPCBuHAfPjrM5Yy9&#10;NBGnEu5Gqaqqlg4tl4YBA90N1H3tvp2G/VMK02dIdlu/bt63yvr4ePGm9fnZvLkFkWnO/+Kj+8GU&#10;+apR6rpu6hv4+6kAIFe/AAAA//8DAFBLAQItABQABgAIAAAAIQDb4fbL7gAAAIUBAAATAAAAAAAA&#10;AAAAAAAAAAAAAABbQ29udGVudF9UeXBlc10ueG1sUEsBAi0AFAAGAAgAAAAhAFr0LFu/AAAAFQEA&#10;AAsAAAAAAAAAAAAAAAAAHwEAAF9yZWxzLy5yZWxzUEsBAi0AFAAGAAgAAAAhAOn4+m3HAAAA4wAA&#10;AA8AAAAAAAAAAAAAAAAABwIAAGRycy9kb3ducmV2LnhtbFBLBQYAAAAAAwADALcAAAD7AgAAAAA=&#10;" adj="16525" fillcolor="#95b3d7 [1940]" strokecolor="black [3213]" strokeweight="1pt"/>
                <v:shape id="Arrow: Right 1282246870" o:spid="_x0000_s1047" type="#_x0000_t13" style="position:absolute;left:48755;top:32473;width:2635;height:12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8UtywAAAOMAAAAPAAAAZHJzL2Rvd25yZXYueG1sRI9BSwMx&#10;EIXvgv8hjOBF2qxB1mVtWoogSEHEVqTHcTPuRjeTkMTu+u/NQfA4M2/ee99qM7tRnCgm61nD9bIC&#10;Qdx5Y7nX8Hp4WDQgUkY2OHomDT+UYLM+P1tha/zEL3Ta514UE04tahhyDq2UqRvIYVr6QFxuHz46&#10;zGWMvTQRp2LuRqmqqpYOLZeEAQPdD9R97b+dhsNzCtNnSHZXv23fd8r6+HR11PryYt7egcg053/x&#10;3/ejKfVVo9RN3dwWisJUFiDXvwAAAP//AwBQSwECLQAUAAYACAAAACEA2+H2y+4AAACFAQAAEwAA&#10;AAAAAAAAAAAAAAAAAAAAW0NvbnRlbnRfVHlwZXNdLnhtbFBLAQItABQABgAIAAAAIQBa9CxbvwAA&#10;ABUBAAALAAAAAAAAAAAAAAAAAB8BAABfcmVscy8ucmVsc1BLAQItABQABgAIAAAAIQD9G8UtywAA&#10;AOMAAAAPAAAAAAAAAAAAAAAAAAcCAABkcnMvZG93bnJldi54bWxQSwUGAAAAAAMAAwC3AAAA/wIA&#10;AAAA&#10;" adj="16525" fillcolor="#95b3d7 [1940]" strokecolor="black [3213]" strokeweight="1pt"/>
                <v:shape id="_x0000_s1048" type="#_x0000_t202" style="position:absolute;top:14116;width:13271;height:66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6K9zAAAAOMAAAAPAAAAZHJzL2Rvd25yZXYueG1sRI/RasJA&#10;EEXfC/7DMoW+FN0YRUPqKiIE2gcRbT9gzE6TNNnZmN1q9OtdodDHmXvvmTuLVW8acabOVZYVjEcR&#10;COLc6ooLBV+f2TAB4TyyxsYyKbiSg9Vy8LTAVNsL7+l88IUIEHYpKii9b1MpXV6SQTeyLXHQvm1n&#10;0IexK6Tu8BLgppFxFM2kwYrDhRJb2pSU14dfEyh1fX2dS84m+cfklu1/TrvtEZV6ee7XbyA89f7f&#10;/Jd+16F+nMTxdJbMx/D4KSxALu8AAAD//wMAUEsBAi0AFAAGAAgAAAAhANvh9svuAAAAhQEAABMA&#10;AAAAAAAAAAAAAAAAAAAAAFtDb250ZW50X1R5cGVzXS54bWxQSwECLQAUAAYACAAAACEAWvQsW78A&#10;AAAVAQAACwAAAAAAAAAAAAAAAAAfAQAAX3JlbHMvLnJlbHNQSwECLQAUAAYACAAAACEAtmeivcwA&#10;AADjAAAADwAAAAAAAAAAAAAAAAAHAgAAZHJzL2Rvd25yZXYueG1sUEsFBgAAAAADAAMAtwAAAAAD&#10;AAAAAA==&#10;" fillcolor="#b8cce4 [1300]">
                  <v:textbox>
                    <w:txbxContent>
                      <w:p w14:paraId="4BE39CB8" w14:textId="77777777" w:rsidR="00FE7A30" w:rsidRDefault="00FE7A30" w:rsidP="00FE7A30">
                        <w:pPr>
                          <w:rPr>
                            <w:color w:val="000000" w:themeColor="text1"/>
                            <w:kern w:val="24"/>
                            <w:sz w:val="19"/>
                            <w:szCs w:val="19"/>
                          </w:rPr>
                        </w:pPr>
                        <w:r>
                          <w:rPr>
                            <w:color w:val="000000" w:themeColor="text1"/>
                            <w:kern w:val="24"/>
                            <w:sz w:val="19"/>
                            <w:szCs w:val="19"/>
                          </w:rPr>
                          <w:t>Increased awareness of rights and employer obligations.</w:t>
                        </w:r>
                      </w:p>
                    </w:txbxContent>
                  </v:textbox>
                </v:shape>
                <v:shape id="_x0000_s1049" type="#_x0000_t202" style="position:absolute;left:51823;top:22865;width:13272;height:83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kP5xgAAAOMAAAAPAAAAZHJzL2Rvd25yZXYueG1sRE9fS8Mw&#10;EH8X9h3CDXxz6YLWUpeNoQz2JFjF56M5227NpUuytn57Iwg+3u//bXaz7cVIPnSONaxXGQji2pmO&#10;Gw0f74e7AkSIyAZ7x6ThmwLstoubDZbGTfxGYxUbkUI4lKihjXEopQx1SxbDyg3Eifty3mJMp2+k&#10;8TilcNtLlWW5tNhxamhxoOeW6nN1tRrG6fiCJ3e57Gf/UOWnjvLP+lXr2+W8fwIRaY7/4j/30aT5&#10;qlDqPi8eFfz+lACQ2x8AAAD//wMAUEsBAi0AFAAGAAgAAAAhANvh9svuAAAAhQEAABMAAAAAAAAA&#10;AAAAAAAAAAAAAFtDb250ZW50X1R5cGVzXS54bWxQSwECLQAUAAYACAAAACEAWvQsW78AAAAVAQAA&#10;CwAAAAAAAAAAAAAAAAAfAQAAX3JlbHMvLnJlbHNQSwECLQAUAAYACAAAACEAjFZD+cYAAADjAAAA&#10;DwAAAAAAAAAAAAAAAAAHAgAAZHJzL2Rvd25yZXYueG1sUEsFBgAAAAADAAMAtwAAAPoCAAAAAA==&#10;" fillcolor="#e5dfec [663]">
                  <v:textbox>
                    <w:txbxContent>
                      <w:p w14:paraId="7DB9D7FE" w14:textId="77777777" w:rsidR="00FE7A30" w:rsidRDefault="00FE7A30" w:rsidP="00FE7A30">
                        <w:pPr>
                          <w:rPr>
                            <w:color w:val="000000" w:themeColor="text1"/>
                            <w:kern w:val="24"/>
                            <w:sz w:val="19"/>
                            <w:szCs w:val="19"/>
                          </w:rPr>
                        </w:pPr>
                        <w:r>
                          <w:rPr>
                            <w:color w:val="000000" w:themeColor="text1"/>
                            <w:kern w:val="24"/>
                            <w:sz w:val="19"/>
                            <w:szCs w:val="19"/>
                          </w:rPr>
                          <w:t>Less discrimination and unfair treatment involving pregnant women/new parents</w:t>
                        </w:r>
                      </w:p>
                    </w:txbxContent>
                  </v:textbox>
                </v:shape>
                <v:shape id="_x0000_s1050" type="#_x0000_t202" style="position:absolute;left:34679;top:26249;width:13272;height:50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9FbyQAAAOMAAAAPAAAAZHJzL2Rvd25yZXYueG1sRE9La8JA&#10;EL4L/Q/LFHqRumkqNk1dRQpqL1I09T7NTpNgdjZkN4/+e7cg9Djfe5br0dSip9ZVlhU8zSIQxLnV&#10;FRcKvrLtYwLCeWSNtWVS8EsO1qu7yRJTbQc+Un/yhQgh7FJUUHrfpFK6vCSDbmYb4sD92NagD2db&#10;SN3iEMJNLeMoWkiDFYeGEht6Lym/nDqjYDck532ffW7Ol+77OMisO7xGU6Ue7sfNGwhPo/8X39wf&#10;OsyPkzieL5KXZ/j7KQAgV1cAAAD//wMAUEsBAi0AFAAGAAgAAAAhANvh9svuAAAAhQEAABMAAAAA&#10;AAAAAAAAAAAAAAAAAFtDb250ZW50X1R5cGVzXS54bWxQSwECLQAUAAYACAAAACEAWvQsW78AAAAV&#10;AQAACwAAAAAAAAAAAAAAAAAfAQAAX3JlbHMvLnJlbHNQSwECLQAUAAYACAAAACEA20vRW8kAAADj&#10;AAAADwAAAAAAAAAAAAAAAAAHAgAAZHJzL2Rvd25yZXYueG1sUEsFBgAAAAADAAMAtwAAAP0CAAAA&#10;AA==&#10;" fillcolor="#d99594 [1941]">
                  <v:textbox>
                    <w:txbxContent>
                      <w:p w14:paraId="62A5909A" w14:textId="77777777" w:rsidR="00FE7A30" w:rsidRDefault="00FE7A30" w:rsidP="00FE7A30">
                        <w:pPr>
                          <w:rPr>
                            <w:color w:val="000000" w:themeColor="text1"/>
                            <w:kern w:val="24"/>
                            <w:sz w:val="19"/>
                            <w:szCs w:val="19"/>
                          </w:rPr>
                        </w:pPr>
                        <w:r>
                          <w:rPr>
                            <w:color w:val="000000" w:themeColor="text1"/>
                            <w:kern w:val="24"/>
                            <w:sz w:val="19"/>
                            <w:szCs w:val="19"/>
                          </w:rPr>
                          <w:t>Greater clarity for employers</w:t>
                        </w:r>
                      </w:p>
                    </w:txbxContent>
                  </v:textbox>
                </v:shape>
                <w10:wrap anchorx="margin"/>
              </v:group>
            </w:pict>
          </mc:Fallback>
        </mc:AlternateContent>
      </w:r>
    </w:p>
    <w:p w14:paraId="54F7E18B" w14:textId="68964EC7" w:rsidR="00F722BF" w:rsidRPr="00E639A0" w:rsidRDefault="00F722BF" w:rsidP="00F722BF">
      <w:pPr>
        <w:jc w:val="both"/>
        <w:textAlignment w:val="baseline"/>
        <w:rPr>
          <w:rFonts w:cs="Arial"/>
          <w:color w:val="000000"/>
          <w:lang w:eastAsia="en-GB"/>
        </w:rPr>
      </w:pPr>
    </w:p>
    <w:p w14:paraId="0D95EC07" w14:textId="77777777" w:rsidR="00F722BF" w:rsidRPr="00E639A0" w:rsidRDefault="00F722BF" w:rsidP="00F722BF">
      <w:pPr>
        <w:jc w:val="both"/>
        <w:textAlignment w:val="baseline"/>
        <w:rPr>
          <w:rFonts w:cs="Arial"/>
          <w:color w:val="000000"/>
          <w:lang w:eastAsia="en-GB"/>
        </w:rPr>
      </w:pPr>
    </w:p>
    <w:p w14:paraId="69FFA0A5" w14:textId="77777777" w:rsidR="00F722BF" w:rsidRPr="00E639A0" w:rsidRDefault="00F722BF" w:rsidP="00F722BF">
      <w:pPr>
        <w:jc w:val="both"/>
        <w:textAlignment w:val="baseline"/>
        <w:rPr>
          <w:rFonts w:cs="Arial"/>
          <w:color w:val="000000"/>
          <w:lang w:eastAsia="en-GB"/>
        </w:rPr>
      </w:pPr>
    </w:p>
    <w:p w14:paraId="221B6182" w14:textId="77777777" w:rsidR="004A012F" w:rsidRPr="00E639A0" w:rsidRDefault="004A012F" w:rsidP="004A012F">
      <w:pPr>
        <w:jc w:val="both"/>
        <w:textAlignment w:val="baseline"/>
        <w:rPr>
          <w:rFonts w:cs="Arial"/>
          <w:color w:val="000000"/>
          <w:lang w:eastAsia="en-GB"/>
        </w:rPr>
      </w:pPr>
    </w:p>
    <w:p w14:paraId="1B0AA715" w14:textId="77777777" w:rsidR="004A012F" w:rsidRPr="00E639A0" w:rsidRDefault="004A012F" w:rsidP="004A012F">
      <w:pPr>
        <w:jc w:val="both"/>
        <w:textAlignment w:val="baseline"/>
        <w:rPr>
          <w:rFonts w:cs="Arial"/>
          <w:color w:val="000000"/>
          <w:lang w:eastAsia="en-GB"/>
        </w:rPr>
      </w:pPr>
    </w:p>
    <w:p w14:paraId="29B8F4E2" w14:textId="583650E2" w:rsidR="00FE7A30" w:rsidRPr="00E639A0" w:rsidRDefault="00FE7A30" w:rsidP="00332DC0">
      <w:pPr>
        <w:jc w:val="both"/>
        <w:textAlignment w:val="baseline"/>
        <w:rPr>
          <w:rFonts w:cs="Arial"/>
          <w:color w:val="000000"/>
          <w:lang w:eastAsia="en-GB"/>
        </w:rPr>
      </w:pPr>
    </w:p>
    <w:p w14:paraId="43788C31" w14:textId="77777777" w:rsidR="00FE7A30" w:rsidRPr="00E639A0" w:rsidRDefault="00FE7A30" w:rsidP="00332DC0">
      <w:pPr>
        <w:jc w:val="both"/>
        <w:textAlignment w:val="baseline"/>
        <w:rPr>
          <w:rFonts w:cs="Arial"/>
          <w:color w:val="000000"/>
          <w:lang w:eastAsia="en-GB"/>
        </w:rPr>
      </w:pPr>
    </w:p>
    <w:p w14:paraId="5B677968" w14:textId="77777777" w:rsidR="00FE7A30" w:rsidRPr="00E639A0" w:rsidRDefault="00FE7A30" w:rsidP="00332DC0">
      <w:pPr>
        <w:jc w:val="both"/>
        <w:textAlignment w:val="baseline"/>
        <w:rPr>
          <w:rFonts w:cs="Arial"/>
          <w:color w:val="000000"/>
          <w:lang w:eastAsia="en-GB"/>
        </w:rPr>
      </w:pPr>
    </w:p>
    <w:p w14:paraId="1FAAEC3A" w14:textId="1B91FB5B" w:rsidR="00FE7A30" w:rsidRPr="00E639A0" w:rsidRDefault="00FE7A30" w:rsidP="00332DC0">
      <w:pPr>
        <w:jc w:val="both"/>
        <w:textAlignment w:val="baseline"/>
        <w:rPr>
          <w:rFonts w:cs="Arial"/>
          <w:color w:val="000000"/>
          <w:lang w:eastAsia="en-GB"/>
        </w:rPr>
      </w:pPr>
    </w:p>
    <w:p w14:paraId="440E1FEA" w14:textId="77777777" w:rsidR="00FE7A30" w:rsidRPr="00E639A0" w:rsidRDefault="00FE7A30" w:rsidP="00332DC0">
      <w:pPr>
        <w:jc w:val="both"/>
        <w:textAlignment w:val="baseline"/>
        <w:rPr>
          <w:rFonts w:cs="Arial"/>
          <w:color w:val="000000"/>
          <w:lang w:eastAsia="en-GB"/>
        </w:rPr>
      </w:pPr>
    </w:p>
    <w:p w14:paraId="14E3342A" w14:textId="77777777" w:rsidR="00FE7A30" w:rsidRPr="00E639A0" w:rsidRDefault="00FE7A30" w:rsidP="00332DC0">
      <w:pPr>
        <w:jc w:val="both"/>
        <w:textAlignment w:val="baseline"/>
        <w:rPr>
          <w:rFonts w:cs="Arial"/>
          <w:color w:val="000000"/>
          <w:lang w:eastAsia="en-GB"/>
        </w:rPr>
      </w:pPr>
    </w:p>
    <w:p w14:paraId="31BC2148" w14:textId="77777777" w:rsidR="00FE7A30" w:rsidRPr="00E639A0" w:rsidRDefault="00FE7A30" w:rsidP="00332DC0">
      <w:pPr>
        <w:jc w:val="both"/>
        <w:textAlignment w:val="baseline"/>
        <w:rPr>
          <w:rFonts w:cs="Arial"/>
          <w:color w:val="000000"/>
          <w:lang w:eastAsia="en-GB"/>
        </w:rPr>
      </w:pPr>
    </w:p>
    <w:p w14:paraId="037BBA6B" w14:textId="77777777" w:rsidR="00FE7A30" w:rsidRPr="00E639A0" w:rsidRDefault="00FE7A30" w:rsidP="00332DC0">
      <w:pPr>
        <w:jc w:val="both"/>
        <w:textAlignment w:val="baseline"/>
        <w:rPr>
          <w:rFonts w:cs="Arial"/>
          <w:color w:val="000000"/>
          <w:lang w:eastAsia="en-GB"/>
        </w:rPr>
      </w:pPr>
    </w:p>
    <w:p w14:paraId="1311BC32" w14:textId="77777777" w:rsidR="00FE7A30" w:rsidRPr="00E639A0" w:rsidRDefault="00FE7A30" w:rsidP="00332DC0">
      <w:pPr>
        <w:jc w:val="both"/>
        <w:textAlignment w:val="baseline"/>
        <w:rPr>
          <w:rFonts w:cs="Arial"/>
          <w:color w:val="000000"/>
          <w:lang w:eastAsia="en-GB"/>
        </w:rPr>
      </w:pPr>
    </w:p>
    <w:p w14:paraId="0DBAA2CF" w14:textId="5DCCC28C" w:rsidR="009F208C" w:rsidRPr="00E639A0" w:rsidRDefault="009F208C" w:rsidP="009F208C">
      <w:pPr>
        <w:textAlignment w:val="baseline"/>
        <w:rPr>
          <w:rFonts w:cs="Arial"/>
          <w:color w:val="000000"/>
          <w:lang w:eastAsia="en-GB"/>
        </w:rPr>
      </w:pPr>
    </w:p>
    <w:p w14:paraId="4C04A46F" w14:textId="154E8909" w:rsidR="009F208C" w:rsidRPr="00E639A0" w:rsidRDefault="001821D2" w:rsidP="00332DC0">
      <w:pPr>
        <w:pStyle w:val="ListParagraph"/>
        <w:numPr>
          <w:ilvl w:val="0"/>
          <w:numId w:val="7"/>
        </w:numPr>
        <w:textAlignment w:val="baseline"/>
        <w:rPr>
          <w:rFonts w:cs="Arial"/>
          <w:color w:val="000000"/>
          <w:lang w:eastAsia="en-GB"/>
        </w:rPr>
      </w:pPr>
      <w:r w:rsidRPr="00E639A0">
        <w:rPr>
          <w:rFonts w:cs="Arial"/>
          <w:color w:val="000000"/>
          <w:lang w:eastAsia="en-GB"/>
        </w:rPr>
        <w:t xml:space="preserve"> </w:t>
      </w:r>
      <w:r w:rsidR="009F208C" w:rsidRPr="00E639A0">
        <w:rPr>
          <w:rFonts w:cs="Arial"/>
          <w:color w:val="000000"/>
          <w:lang w:eastAsia="en-GB"/>
        </w:rPr>
        <w:t>In addition, there are already existing research/review plans in place with respect to pregnancy and maternity discrimination. There is a Ministerial commitment to undertake research (last done in 2014/15) to help review the impact of Government intervention. This research is expected to take place in advance of when any statutory review would be due. </w:t>
      </w:r>
    </w:p>
    <w:p w14:paraId="10876963" w14:textId="77777777" w:rsidR="00F97C78" w:rsidRPr="00E639A0" w:rsidRDefault="00F97C78" w:rsidP="00F97C78">
      <w:pPr>
        <w:pStyle w:val="ListParagraph"/>
        <w:textAlignment w:val="baseline"/>
        <w:rPr>
          <w:rFonts w:cs="Arial"/>
          <w:color w:val="000000"/>
          <w:lang w:eastAsia="en-GB"/>
        </w:rPr>
      </w:pPr>
    </w:p>
    <w:p w14:paraId="692509DE" w14:textId="77777777" w:rsidR="009F208C" w:rsidRPr="00E639A0" w:rsidRDefault="009F208C" w:rsidP="00332DC0">
      <w:pPr>
        <w:numPr>
          <w:ilvl w:val="0"/>
          <w:numId w:val="7"/>
        </w:numPr>
        <w:jc w:val="both"/>
        <w:textAlignment w:val="baseline"/>
        <w:rPr>
          <w:rFonts w:cs="Arial"/>
          <w:color w:val="000000"/>
          <w:lang w:eastAsia="en-GB"/>
        </w:rPr>
      </w:pPr>
      <w:r w:rsidRPr="00E639A0">
        <w:rPr>
          <w:rFonts w:cs="Arial"/>
          <w:color w:val="000000"/>
          <w:lang w:eastAsia="en-GB"/>
        </w:rPr>
        <w:t>The Government has already accepted the WESC and EHRC recommendation to monitor mothers’ experience of their treatment in the workplace. A review of the policy will be conducted once sufficient time has elapsed for affected parties to respond to the extension of redundancy protections and for the effects of the policy to bite. </w:t>
      </w:r>
    </w:p>
    <w:p w14:paraId="4F0223C9" w14:textId="77777777" w:rsidR="00F97C78" w:rsidRPr="00E639A0" w:rsidRDefault="00F97C78" w:rsidP="00F97C78">
      <w:pPr>
        <w:pStyle w:val="ListParagraph"/>
        <w:rPr>
          <w:rFonts w:cs="Arial"/>
          <w:color w:val="000000"/>
          <w:lang w:eastAsia="en-GB"/>
        </w:rPr>
      </w:pPr>
    </w:p>
    <w:p w14:paraId="4CF877CB" w14:textId="77777777" w:rsidR="009F208C" w:rsidRPr="00E639A0" w:rsidRDefault="009F208C" w:rsidP="00332DC0">
      <w:pPr>
        <w:numPr>
          <w:ilvl w:val="0"/>
          <w:numId w:val="7"/>
        </w:numPr>
        <w:jc w:val="both"/>
        <w:textAlignment w:val="baseline"/>
        <w:rPr>
          <w:rFonts w:cs="Arial"/>
          <w:color w:val="000000"/>
          <w:lang w:eastAsia="en-GB"/>
        </w:rPr>
      </w:pPr>
      <w:r w:rsidRPr="00E639A0">
        <w:rPr>
          <w:rFonts w:cs="Arial"/>
          <w:color w:val="000000"/>
          <w:lang w:eastAsia="en-GB"/>
        </w:rPr>
        <w:t>The Government has committed to seeking to undertake research into pregnancy and maternity-related discrimination and disadvantage among mothers and employers in Great Britain following the detailed BIS/EHRC research in 2014-15. The new research will support evaluation of the policy and the scale of discrimination faced by pregnant women and new parents. </w:t>
      </w:r>
    </w:p>
    <w:p w14:paraId="2A0C089C" w14:textId="77777777" w:rsidR="00F97C78" w:rsidRPr="00E639A0" w:rsidRDefault="00F97C78" w:rsidP="00F97C78">
      <w:pPr>
        <w:pStyle w:val="ListParagraph"/>
        <w:rPr>
          <w:rFonts w:cs="Arial"/>
          <w:color w:val="000000"/>
          <w:lang w:eastAsia="en-GB"/>
        </w:rPr>
      </w:pPr>
    </w:p>
    <w:p w14:paraId="0EDBCD2E" w14:textId="77777777" w:rsidR="004461D6" w:rsidRPr="00E639A0" w:rsidRDefault="004461D6" w:rsidP="00F97C78">
      <w:pPr>
        <w:pStyle w:val="ListParagraph"/>
        <w:rPr>
          <w:rFonts w:cs="Arial"/>
          <w:color w:val="000000"/>
          <w:lang w:eastAsia="en-GB"/>
        </w:rPr>
      </w:pPr>
    </w:p>
    <w:p w14:paraId="3EB1E478" w14:textId="77777777" w:rsidR="004461D6" w:rsidRPr="00E639A0" w:rsidRDefault="004461D6" w:rsidP="00F97C78">
      <w:pPr>
        <w:pStyle w:val="ListParagraph"/>
        <w:rPr>
          <w:rFonts w:cs="Arial"/>
          <w:color w:val="000000"/>
          <w:lang w:eastAsia="en-GB"/>
        </w:rPr>
      </w:pPr>
    </w:p>
    <w:p w14:paraId="35C643CA" w14:textId="77777777" w:rsidR="004461D6" w:rsidRPr="00E639A0" w:rsidRDefault="004461D6" w:rsidP="00F97C78">
      <w:pPr>
        <w:pStyle w:val="ListParagraph"/>
        <w:rPr>
          <w:rFonts w:cs="Arial"/>
          <w:color w:val="000000"/>
          <w:lang w:eastAsia="en-GB"/>
        </w:rPr>
      </w:pPr>
    </w:p>
    <w:p w14:paraId="73188108" w14:textId="77777777" w:rsidR="009F208C" w:rsidRPr="00E639A0" w:rsidRDefault="009F208C" w:rsidP="00332DC0">
      <w:pPr>
        <w:numPr>
          <w:ilvl w:val="0"/>
          <w:numId w:val="7"/>
        </w:numPr>
        <w:jc w:val="both"/>
        <w:textAlignment w:val="baseline"/>
        <w:rPr>
          <w:rFonts w:cs="Arial"/>
          <w:color w:val="000000"/>
          <w:lang w:eastAsia="en-GB"/>
        </w:rPr>
      </w:pPr>
      <w:r w:rsidRPr="00E639A0">
        <w:rPr>
          <w:rFonts w:cs="Arial"/>
          <w:color w:val="000000"/>
          <w:lang w:eastAsia="en-GB"/>
        </w:rPr>
        <w:t>The research will seek to provide an understanding of: </w:t>
      </w:r>
    </w:p>
    <w:p w14:paraId="0E1B0B64" w14:textId="77777777" w:rsidR="009F208C" w:rsidRPr="00E639A0" w:rsidRDefault="009F208C" w:rsidP="00995CC8">
      <w:pPr>
        <w:pStyle w:val="ListParagraph"/>
        <w:numPr>
          <w:ilvl w:val="0"/>
          <w:numId w:val="152"/>
        </w:numPr>
        <w:textAlignment w:val="baseline"/>
        <w:rPr>
          <w:rFonts w:cs="Arial"/>
          <w:color w:val="000000"/>
          <w:lang w:eastAsia="en-GB"/>
        </w:rPr>
      </w:pPr>
      <w:r w:rsidRPr="00E639A0">
        <w:rPr>
          <w:rFonts w:cs="Arial"/>
          <w:color w:val="000000"/>
          <w:lang w:eastAsia="en-GB"/>
        </w:rPr>
        <w:t>The incidence and types of pregnancy and maternity-related discrimination and disadvantage in Great Britain; </w:t>
      </w:r>
    </w:p>
    <w:p w14:paraId="3E90BBFE" w14:textId="77777777" w:rsidR="009F208C" w:rsidRPr="00E639A0" w:rsidRDefault="009F208C" w:rsidP="00995CC8">
      <w:pPr>
        <w:pStyle w:val="ListParagraph"/>
        <w:numPr>
          <w:ilvl w:val="0"/>
          <w:numId w:val="152"/>
        </w:numPr>
        <w:textAlignment w:val="baseline"/>
        <w:rPr>
          <w:rFonts w:cs="Arial"/>
          <w:color w:val="000000"/>
          <w:lang w:eastAsia="en-GB"/>
        </w:rPr>
      </w:pPr>
      <w:r w:rsidRPr="00E639A0">
        <w:rPr>
          <w:rFonts w:cs="Arial"/>
          <w:color w:val="000000"/>
          <w:lang w:eastAsia="en-GB"/>
        </w:rPr>
        <w:t>Awareness of maternity rights, advice, support and employer responsibilities related to pregnancy, during maternity leave and on return to work among mothers and employers;  </w:t>
      </w:r>
    </w:p>
    <w:p w14:paraId="5188CFBF" w14:textId="77777777" w:rsidR="009F208C" w:rsidRPr="00E639A0" w:rsidRDefault="009F208C" w:rsidP="00995CC8">
      <w:pPr>
        <w:pStyle w:val="ListParagraph"/>
        <w:numPr>
          <w:ilvl w:val="0"/>
          <w:numId w:val="152"/>
        </w:numPr>
        <w:textAlignment w:val="baseline"/>
        <w:rPr>
          <w:rFonts w:cs="Arial"/>
          <w:color w:val="000000"/>
          <w:lang w:eastAsia="en-GB"/>
        </w:rPr>
      </w:pPr>
      <w:r w:rsidRPr="00E639A0">
        <w:rPr>
          <w:rFonts w:cs="Arial"/>
          <w:color w:val="000000"/>
          <w:lang w:eastAsia="en-GB"/>
        </w:rPr>
        <w:t>Employer attitudes and workplace practice in relation to women who are pregnant, on maternity leave and on return to work. </w:t>
      </w:r>
    </w:p>
    <w:p w14:paraId="57F9B3E6" w14:textId="77777777" w:rsidR="00F97C78" w:rsidRPr="00E639A0" w:rsidRDefault="00F97C78" w:rsidP="00F97C78">
      <w:pPr>
        <w:pStyle w:val="ListParagraph"/>
        <w:ind w:left="1080"/>
        <w:textAlignment w:val="baseline"/>
        <w:rPr>
          <w:rFonts w:cs="Arial"/>
          <w:color w:val="000000"/>
          <w:lang w:eastAsia="en-GB"/>
        </w:rPr>
      </w:pPr>
    </w:p>
    <w:p w14:paraId="0896AF60" w14:textId="77777777" w:rsidR="009F208C" w:rsidRPr="00E639A0" w:rsidRDefault="009F208C" w:rsidP="00332DC0">
      <w:pPr>
        <w:pStyle w:val="ListParagraph"/>
        <w:numPr>
          <w:ilvl w:val="0"/>
          <w:numId w:val="7"/>
        </w:numPr>
        <w:textAlignment w:val="baseline"/>
        <w:rPr>
          <w:rFonts w:cs="Arial"/>
          <w:color w:val="000000"/>
          <w:lang w:eastAsia="en-GB"/>
        </w:rPr>
      </w:pPr>
      <w:r w:rsidRPr="00E639A0">
        <w:rPr>
          <w:rFonts w:cs="Arial"/>
          <w:color w:val="000000"/>
          <w:lang w:eastAsia="en-GB"/>
        </w:rPr>
        <w:t>The Government will continue to monitor evidence of pregnancy and maternity-related discrimination and disadvantage among mothers and employers in Great Britain using quarterly Employment Tribunal (ET) statistics which estimate the number of ET complaints and disposals received under the ‘Sex Discrimination’ and ‘Suffer a detriment and/or dismissal on grounds of pregnancy, child birth or maternity’ jurisdictions, over time. This data provides a high-level picture of complaints that result in Employment Tribunals but does not capture all instances of pregnancy and maternity discrimination. </w:t>
      </w:r>
    </w:p>
    <w:p w14:paraId="7CD711B8" w14:textId="77777777" w:rsidR="00F97C78" w:rsidRPr="00E639A0" w:rsidRDefault="00F97C78" w:rsidP="00F97C78">
      <w:pPr>
        <w:pStyle w:val="ListParagraph"/>
        <w:textAlignment w:val="baseline"/>
        <w:rPr>
          <w:rFonts w:cs="Arial"/>
          <w:color w:val="000000"/>
          <w:lang w:eastAsia="en-GB"/>
        </w:rPr>
      </w:pPr>
    </w:p>
    <w:p w14:paraId="17D2B950" w14:textId="77777777" w:rsidR="009F208C" w:rsidRPr="00E639A0" w:rsidRDefault="009F208C" w:rsidP="00332DC0">
      <w:pPr>
        <w:pStyle w:val="ListParagraph"/>
        <w:numPr>
          <w:ilvl w:val="0"/>
          <w:numId w:val="7"/>
        </w:numPr>
        <w:textAlignment w:val="baseline"/>
        <w:rPr>
          <w:rFonts w:cs="Arial"/>
          <w:color w:val="000000"/>
          <w:lang w:eastAsia="en-GB"/>
        </w:rPr>
      </w:pPr>
      <w:r w:rsidRPr="00E639A0">
        <w:rPr>
          <w:rFonts w:cs="Arial"/>
          <w:color w:val="000000"/>
          <w:lang w:eastAsia="en-GB"/>
        </w:rPr>
        <w:t>We are exploring the potential of using HMRC administrative PAYE data to identify employees in receipt of Statutory Maternity Pay and the rate in which they change jobs or leave the labour market entirely in comparison to other employees. This could provide a high-level picture of how mothers are faring in the labour market. </w:t>
      </w:r>
    </w:p>
    <w:p w14:paraId="0B2628F8" w14:textId="77777777" w:rsidR="00F97C78" w:rsidRPr="00E639A0" w:rsidRDefault="00F97C78" w:rsidP="00F97C78">
      <w:pPr>
        <w:pStyle w:val="ListParagraph"/>
        <w:rPr>
          <w:rFonts w:cs="Arial"/>
          <w:color w:val="000000"/>
          <w:lang w:eastAsia="en-GB"/>
        </w:rPr>
      </w:pPr>
    </w:p>
    <w:p w14:paraId="0A1BF7D3" w14:textId="5EEA43D5" w:rsidR="009F208C" w:rsidRPr="00E639A0" w:rsidRDefault="009F208C" w:rsidP="00332DC0">
      <w:pPr>
        <w:pStyle w:val="ListParagraph"/>
        <w:numPr>
          <w:ilvl w:val="0"/>
          <w:numId w:val="7"/>
        </w:numPr>
        <w:textAlignment w:val="baseline"/>
        <w:rPr>
          <w:rFonts w:cs="Arial"/>
          <w:color w:val="000000"/>
          <w:lang w:eastAsia="en-GB"/>
        </w:rPr>
      </w:pPr>
      <w:r w:rsidRPr="00E639A0">
        <w:rPr>
          <w:rFonts w:cs="Arial"/>
          <w:color w:val="000000"/>
          <w:lang w:eastAsia="en-GB"/>
        </w:rPr>
        <w:t xml:space="preserve">We recently undertook a large parental rights survey in 2018/19 (part of a series dating back to the 1970s) and some of the evidence on unfair treatment at work has informed the policy development. We do not currently have a confirmed timetable to repeat this survey, however it typically operates in 5-10 year cycles. A future parents survey will take the opportunity to collect new data on whether individuals experienced unfair treatment, </w:t>
      </w:r>
      <w:r w:rsidR="004461D6" w:rsidRPr="00E639A0">
        <w:rPr>
          <w:rFonts w:cs="Arial"/>
          <w:color w:val="000000"/>
          <w:lang w:eastAsia="en-GB"/>
        </w:rPr>
        <w:t>discrimination,</w:t>
      </w:r>
      <w:r w:rsidRPr="00E639A0">
        <w:rPr>
          <w:rFonts w:cs="Arial"/>
          <w:color w:val="000000"/>
          <w:lang w:eastAsia="en-GB"/>
        </w:rPr>
        <w:t xml:space="preserve"> and redundancy situation. </w:t>
      </w:r>
    </w:p>
    <w:p w14:paraId="51588CBC" w14:textId="77777777" w:rsidR="00F97C78" w:rsidRPr="00E639A0" w:rsidRDefault="00F97C78" w:rsidP="00F97C78">
      <w:pPr>
        <w:pStyle w:val="ListParagraph"/>
        <w:rPr>
          <w:rFonts w:cs="Arial"/>
          <w:color w:val="000000"/>
          <w:lang w:eastAsia="en-GB"/>
        </w:rPr>
      </w:pPr>
    </w:p>
    <w:p w14:paraId="6DFF113F" w14:textId="4C278247" w:rsidR="009F208C" w:rsidRPr="00E639A0" w:rsidRDefault="009F208C" w:rsidP="00332DC0">
      <w:pPr>
        <w:pStyle w:val="ListParagraph"/>
        <w:numPr>
          <w:ilvl w:val="0"/>
          <w:numId w:val="7"/>
        </w:numPr>
        <w:textAlignment w:val="baseline"/>
        <w:rPr>
          <w:rFonts w:cs="Arial"/>
          <w:color w:val="000000"/>
          <w:lang w:eastAsia="en-GB"/>
        </w:rPr>
      </w:pPr>
      <w:r w:rsidRPr="00E639A0">
        <w:rPr>
          <w:rFonts w:cs="Arial"/>
          <w:color w:val="000000"/>
          <w:lang w:eastAsia="en-GB"/>
        </w:rPr>
        <w:t>Finally</w:t>
      </w:r>
      <w:r w:rsidR="004461D6" w:rsidRPr="00E639A0">
        <w:rPr>
          <w:rFonts w:cs="Arial"/>
          <w:color w:val="000000"/>
          <w:lang w:eastAsia="en-GB"/>
        </w:rPr>
        <w:t>,</w:t>
      </w:r>
      <w:r w:rsidRPr="00E639A0">
        <w:rPr>
          <w:rFonts w:cs="Arial"/>
          <w:color w:val="000000"/>
          <w:lang w:eastAsia="en-GB"/>
        </w:rPr>
        <w:t xml:space="preserve"> the Government will continue to engage stakeholders to understand the impact of this legislation. Employer and groups representing parents can provide a valuable source of information in relation to awareness, complexity, </w:t>
      </w:r>
      <w:r w:rsidR="004461D6" w:rsidRPr="00E639A0">
        <w:rPr>
          <w:rFonts w:cs="Arial"/>
          <w:color w:val="000000"/>
          <w:lang w:eastAsia="en-GB"/>
        </w:rPr>
        <w:t>attitudes,</w:t>
      </w:r>
      <w:r w:rsidRPr="00E639A0">
        <w:rPr>
          <w:rFonts w:cs="Arial"/>
          <w:color w:val="000000"/>
          <w:lang w:eastAsia="en-GB"/>
        </w:rPr>
        <w:t xml:space="preserve"> and impact. In particular, we will be better able to test the scale of transitional and annual costs that business face. Discussions with stakeholders informed the assumptions underpinning these costs in this impact assessment, and further engagement post-implementation is the most accurate way to monitor and evaluate this impact. </w:t>
      </w:r>
    </w:p>
    <w:p w14:paraId="6D45958B" w14:textId="77777777" w:rsidR="009F208C" w:rsidRPr="00E639A0" w:rsidRDefault="009F208C" w:rsidP="009F208C">
      <w:pPr>
        <w:textAlignment w:val="baseline"/>
        <w:rPr>
          <w:rFonts w:cs="Arial"/>
          <w:color w:val="000000"/>
          <w:lang w:eastAsia="en-GB"/>
        </w:rPr>
      </w:pPr>
      <w:r w:rsidRPr="00E639A0">
        <w:rPr>
          <w:rFonts w:cs="Arial"/>
          <w:color w:val="000000"/>
          <w:lang w:eastAsia="en-GB"/>
        </w:rPr>
        <w:t> </w:t>
      </w:r>
    </w:p>
    <w:p w14:paraId="2186F8D9" w14:textId="77777777" w:rsidR="009F208C" w:rsidRPr="00E639A0" w:rsidRDefault="009F208C" w:rsidP="009F208C">
      <w:pPr>
        <w:textAlignment w:val="baseline"/>
        <w:rPr>
          <w:rFonts w:cs="Arial"/>
          <w:color w:val="000000"/>
          <w:lang w:eastAsia="en-GB"/>
        </w:rPr>
      </w:pPr>
      <w:r w:rsidRPr="00E639A0">
        <w:rPr>
          <w:rFonts w:cs="Arial"/>
          <w:color w:val="000000"/>
          <w:lang w:eastAsia="en-GB"/>
        </w:rPr>
        <w:t> </w:t>
      </w:r>
    </w:p>
    <w:p w14:paraId="52056057" w14:textId="77777777" w:rsidR="009F208C" w:rsidRPr="00E639A0" w:rsidRDefault="009F208C" w:rsidP="009F208C">
      <w:pPr>
        <w:textAlignment w:val="baseline"/>
        <w:rPr>
          <w:rFonts w:cs="Arial"/>
          <w:color w:val="000000"/>
          <w:lang w:eastAsia="en-GB"/>
        </w:rPr>
      </w:pPr>
      <w:r w:rsidRPr="00E639A0">
        <w:rPr>
          <w:rFonts w:cs="Arial"/>
          <w:color w:val="000000"/>
          <w:lang w:eastAsia="en-GB"/>
        </w:rPr>
        <w:t> </w:t>
      </w:r>
    </w:p>
    <w:p w14:paraId="334DDCB2" w14:textId="3907D3E1" w:rsidR="00FE7A30" w:rsidRPr="00E639A0" w:rsidRDefault="009F208C" w:rsidP="009F208C">
      <w:pPr>
        <w:textAlignment w:val="baseline"/>
        <w:rPr>
          <w:rFonts w:cs="Arial"/>
          <w:color w:val="000000"/>
          <w:lang w:eastAsia="en-GB"/>
        </w:rPr>
      </w:pPr>
      <w:r w:rsidRPr="00E639A0">
        <w:rPr>
          <w:rFonts w:cs="Arial"/>
          <w:color w:val="000000"/>
          <w:lang w:eastAsia="en-GB"/>
        </w:rPr>
        <w:t> </w:t>
      </w:r>
    </w:p>
    <w:p w14:paraId="75B75139" w14:textId="68717594" w:rsidR="004A6E7B" w:rsidRPr="00E639A0" w:rsidRDefault="004A6E7B" w:rsidP="004C0310">
      <w:pPr>
        <w:pStyle w:val="EBBullet"/>
        <w:keepNext/>
        <w:numPr>
          <w:ilvl w:val="0"/>
          <w:numId w:val="0"/>
        </w:numPr>
        <w:tabs>
          <w:tab w:val="left" w:pos="720"/>
        </w:tabs>
        <w:ind w:left="284" w:hanging="284"/>
        <w:rPr>
          <w:b/>
          <w:sz w:val="24"/>
          <w:szCs w:val="24"/>
        </w:rPr>
      </w:pPr>
      <w:r w:rsidRPr="00E639A0">
        <w:rPr>
          <w:b/>
          <w:sz w:val="24"/>
          <w:szCs w:val="24"/>
        </w:rPr>
        <w:t xml:space="preserve">Annex A – </w:t>
      </w:r>
      <w:r w:rsidR="007D0EB8" w:rsidRPr="00E639A0">
        <w:rPr>
          <w:b/>
          <w:sz w:val="24"/>
          <w:szCs w:val="24"/>
        </w:rPr>
        <w:t>Scenarios</w:t>
      </w:r>
      <w:r w:rsidR="00671283" w:rsidRPr="00E639A0">
        <w:rPr>
          <w:b/>
          <w:sz w:val="24"/>
          <w:szCs w:val="24"/>
        </w:rPr>
        <w:t xml:space="preserve"> for </w:t>
      </w:r>
      <w:r w:rsidR="004461D6" w:rsidRPr="00E639A0">
        <w:rPr>
          <w:b/>
          <w:color w:val="auto"/>
          <w:sz w:val="24"/>
          <w:szCs w:val="24"/>
        </w:rPr>
        <w:t>sensitivity</w:t>
      </w:r>
      <w:r w:rsidR="00671283" w:rsidRPr="00E639A0">
        <w:rPr>
          <w:b/>
          <w:color w:val="auto"/>
          <w:sz w:val="24"/>
          <w:szCs w:val="24"/>
        </w:rPr>
        <w:t xml:space="preserve"> analysis</w:t>
      </w:r>
    </w:p>
    <w:p w14:paraId="3ABDC731" w14:textId="3C4BB23A" w:rsidR="007D0EB8" w:rsidRPr="00E639A0" w:rsidRDefault="007D0EB8" w:rsidP="004A6E7B">
      <w:pPr>
        <w:pStyle w:val="EBBodyPara"/>
        <w:numPr>
          <w:ilvl w:val="0"/>
          <w:numId w:val="7"/>
        </w:numPr>
        <w:rPr>
          <w:sz w:val="24"/>
          <w:szCs w:val="24"/>
        </w:rPr>
      </w:pPr>
      <w:r w:rsidRPr="00E639A0">
        <w:rPr>
          <w:sz w:val="24"/>
          <w:szCs w:val="24"/>
        </w:rPr>
        <w:t>To model additional illustrative costs and benefits (</w:t>
      </w:r>
      <w:r w:rsidR="00D85269" w:rsidRPr="00E639A0">
        <w:rPr>
          <w:sz w:val="24"/>
          <w:szCs w:val="24"/>
        </w:rPr>
        <w:t>see</w:t>
      </w:r>
      <w:r w:rsidRPr="00E639A0">
        <w:rPr>
          <w:sz w:val="24"/>
          <w:szCs w:val="24"/>
        </w:rPr>
        <w:t xml:space="preserve"> Annex B), we </w:t>
      </w:r>
      <w:r w:rsidR="00D85269" w:rsidRPr="00E639A0">
        <w:rPr>
          <w:sz w:val="24"/>
          <w:szCs w:val="24"/>
        </w:rPr>
        <w:t xml:space="preserve">firstly </w:t>
      </w:r>
      <w:r w:rsidRPr="00E639A0">
        <w:rPr>
          <w:sz w:val="24"/>
          <w:szCs w:val="24"/>
        </w:rPr>
        <w:t xml:space="preserve">consider two scenarios. This section outlines these </w:t>
      </w:r>
      <w:r w:rsidR="004461D6" w:rsidRPr="00E639A0">
        <w:rPr>
          <w:color w:val="auto"/>
          <w:sz w:val="24"/>
          <w:szCs w:val="24"/>
        </w:rPr>
        <w:t>scenarios</w:t>
      </w:r>
      <w:r w:rsidRPr="00E639A0">
        <w:rPr>
          <w:color w:val="auto"/>
          <w:sz w:val="24"/>
          <w:szCs w:val="24"/>
        </w:rPr>
        <w:t xml:space="preserve">. </w:t>
      </w:r>
    </w:p>
    <w:p w14:paraId="5412BBCE" w14:textId="4CB1C8D1" w:rsidR="004A6E7B" w:rsidRPr="00E639A0" w:rsidRDefault="007D0EB8" w:rsidP="004A6E7B">
      <w:pPr>
        <w:pStyle w:val="EBBodyPara"/>
        <w:numPr>
          <w:ilvl w:val="0"/>
          <w:numId w:val="7"/>
        </w:numPr>
        <w:rPr>
          <w:sz w:val="24"/>
          <w:szCs w:val="24"/>
        </w:rPr>
      </w:pPr>
      <w:r w:rsidRPr="00E639A0">
        <w:rPr>
          <w:sz w:val="24"/>
          <w:szCs w:val="24"/>
        </w:rPr>
        <w:t>We</w:t>
      </w:r>
      <w:r w:rsidR="00D85269" w:rsidRPr="00E639A0">
        <w:rPr>
          <w:sz w:val="24"/>
          <w:szCs w:val="24"/>
        </w:rPr>
        <w:t xml:space="preserve"> </w:t>
      </w:r>
      <w:r w:rsidR="004A6E7B" w:rsidRPr="00E639A0">
        <w:rPr>
          <w:sz w:val="24"/>
          <w:szCs w:val="24"/>
        </w:rPr>
        <w:t xml:space="preserve">assume that there are two scenarios of how employers currently behave when making a redundancy decision and how they might behave in response to the proposed reforms. </w:t>
      </w:r>
    </w:p>
    <w:p w14:paraId="6DBBBC47" w14:textId="77777777" w:rsidR="004A6E7B" w:rsidRPr="00E639A0" w:rsidRDefault="004A6E7B" w:rsidP="004A6E7B">
      <w:pPr>
        <w:pStyle w:val="EBBodyPara"/>
        <w:numPr>
          <w:ilvl w:val="0"/>
          <w:numId w:val="7"/>
        </w:numPr>
        <w:rPr>
          <w:sz w:val="24"/>
          <w:szCs w:val="24"/>
        </w:rPr>
      </w:pPr>
      <w:r w:rsidRPr="00E639A0">
        <w:rPr>
          <w:sz w:val="24"/>
          <w:szCs w:val="24"/>
        </w:rPr>
        <w:t xml:space="preserve">Management decisions will depend on the reason for redundancy, environmental factors such as firm size and sector, internal factors such as existing costs, and the skills and value of the protected individual returning to work. In conducting sensitivity analysis, we make assumptions on the proportion of firms falling under the two scenarios.  </w:t>
      </w:r>
    </w:p>
    <w:p w14:paraId="482C924D" w14:textId="77777777" w:rsidR="004A6E7B" w:rsidRPr="00E639A0" w:rsidRDefault="004A6E7B" w:rsidP="00332DC0">
      <w:pPr>
        <w:pStyle w:val="EBBodyPara"/>
        <w:numPr>
          <w:ilvl w:val="0"/>
          <w:numId w:val="149"/>
        </w:numPr>
        <w:rPr>
          <w:sz w:val="24"/>
          <w:szCs w:val="24"/>
        </w:rPr>
      </w:pPr>
      <w:r w:rsidRPr="00E639A0">
        <w:rPr>
          <w:b/>
          <w:bCs w:val="0"/>
          <w:sz w:val="24"/>
          <w:szCs w:val="24"/>
        </w:rPr>
        <w:t>Scenario 1 (Substitution)</w:t>
      </w:r>
      <w:r w:rsidRPr="00E639A0">
        <w:rPr>
          <w:sz w:val="24"/>
          <w:szCs w:val="24"/>
        </w:rPr>
        <w:t xml:space="preserve"> describes employers who, before the introduction of enhanced protections,</w:t>
      </w:r>
      <w:r w:rsidRPr="00E639A0" w:rsidDel="001C1557">
        <w:rPr>
          <w:sz w:val="24"/>
          <w:szCs w:val="24"/>
        </w:rPr>
        <w:t xml:space="preserve"> </w:t>
      </w:r>
      <w:r w:rsidRPr="00E639A0">
        <w:rPr>
          <w:sz w:val="24"/>
          <w:szCs w:val="24"/>
        </w:rPr>
        <w:t>would have made a pregnant women/parent returning from leave redundant. These employers now make another member of staff redundant instead.</w:t>
      </w:r>
    </w:p>
    <w:p w14:paraId="0B8E2B49" w14:textId="0E793E8F" w:rsidR="004A6E7B" w:rsidRPr="00E639A0" w:rsidRDefault="004A6E7B" w:rsidP="00332DC0">
      <w:pPr>
        <w:pStyle w:val="EBBodyPara"/>
        <w:numPr>
          <w:ilvl w:val="0"/>
          <w:numId w:val="149"/>
        </w:numPr>
        <w:rPr>
          <w:sz w:val="24"/>
          <w:szCs w:val="24"/>
        </w:rPr>
      </w:pPr>
      <w:r w:rsidRPr="00E639A0">
        <w:rPr>
          <w:b/>
          <w:bCs w:val="0"/>
          <w:sz w:val="24"/>
          <w:szCs w:val="24"/>
        </w:rPr>
        <w:t>Scenario 2 (Cost – offset)</w:t>
      </w:r>
      <w:r w:rsidRPr="00E639A0">
        <w:rPr>
          <w:sz w:val="24"/>
          <w:szCs w:val="24"/>
        </w:rPr>
        <w:t xml:space="preserve"> describes employers who, before the introduction of enhanced protections, would have made a pregnant women/parent returning from leave redundant. In this scenario, the employer decides to keep the worker. </w:t>
      </w:r>
    </w:p>
    <w:p w14:paraId="0643C90B" w14:textId="52D388C4" w:rsidR="004A6E7B" w:rsidRPr="00E639A0" w:rsidRDefault="004A6E7B" w:rsidP="00020B04">
      <w:pPr>
        <w:pStyle w:val="BodyText1"/>
        <w:rPr>
          <w:sz w:val="24"/>
          <w:szCs w:val="24"/>
        </w:rPr>
      </w:pPr>
      <w:r w:rsidRPr="00E639A0">
        <w:rPr>
          <w:sz w:val="24"/>
          <w:szCs w:val="24"/>
        </w:rPr>
        <w:t xml:space="preserve">Under scenario 1, in the counterfactual the employer would have made another employee redundant. This assumes that the protected individual has comparable value and skills to the other employee. This assumption will not hold for all firms, but a proportion of firms will fall under scenario 1. This assumption is more likely to hold for large employers, as they have a larger pool of candidates to select from. In these instances, the employer will be incentivised to find someone similarly skilled to the protected individual in order to minimise costs to the business. </w:t>
      </w:r>
    </w:p>
    <w:p w14:paraId="68398199" w14:textId="77777777" w:rsidR="007D0EB8" w:rsidRPr="00E639A0" w:rsidRDefault="007D0EB8" w:rsidP="00020B04">
      <w:pPr>
        <w:pStyle w:val="BodyText1"/>
        <w:rPr>
          <w:sz w:val="24"/>
          <w:szCs w:val="24"/>
        </w:rPr>
      </w:pPr>
    </w:p>
    <w:p w14:paraId="2CD6A007" w14:textId="77777777" w:rsidR="004A6E7B" w:rsidRPr="00E639A0" w:rsidRDefault="004A6E7B" w:rsidP="004A6E7B">
      <w:pPr>
        <w:pStyle w:val="EBBodyPara"/>
        <w:numPr>
          <w:ilvl w:val="0"/>
          <w:numId w:val="7"/>
        </w:numPr>
        <w:rPr>
          <w:sz w:val="24"/>
          <w:szCs w:val="24"/>
        </w:rPr>
      </w:pPr>
      <w:r w:rsidRPr="00E639A0">
        <w:rPr>
          <w:sz w:val="24"/>
          <w:szCs w:val="24"/>
        </w:rPr>
        <w:t>A small employer will have less discretion in choosing alternative staff for redundancy, so fewer small firms are likely to fall under scenario 1. If there are significant differences in skills, the employer may respond by not making another individual redundant. This behaviour is consistent with scenario 2.</w:t>
      </w:r>
    </w:p>
    <w:p w14:paraId="4FFA54C4" w14:textId="67330F16" w:rsidR="004A6E7B" w:rsidRPr="00E639A0" w:rsidRDefault="004A6E7B" w:rsidP="004A6E7B">
      <w:pPr>
        <w:pStyle w:val="EBBodyPara"/>
        <w:numPr>
          <w:ilvl w:val="0"/>
          <w:numId w:val="7"/>
        </w:numPr>
        <w:rPr>
          <w:sz w:val="24"/>
          <w:szCs w:val="24"/>
        </w:rPr>
      </w:pPr>
      <w:r w:rsidRPr="00E639A0">
        <w:rPr>
          <w:sz w:val="24"/>
          <w:szCs w:val="24"/>
        </w:rPr>
        <w:t>To evidence our assumptions on firms’ behavioural responses we draw on data from the Workplace Employment Relations Survey (WERS)</w:t>
      </w:r>
      <w:r w:rsidRPr="00E639A0">
        <w:rPr>
          <w:sz w:val="24"/>
          <w:szCs w:val="24"/>
          <w:vertAlign w:val="superscript"/>
        </w:rPr>
        <w:footnoteReference w:id="51"/>
      </w:r>
      <w:r w:rsidRPr="00E639A0">
        <w:rPr>
          <w:sz w:val="24"/>
          <w:szCs w:val="24"/>
        </w:rPr>
        <w:t>.  For those employers who had to make redundancies in the last 12 months, workplace managers were asked the main reason for redundancy. The table below provides the main reason for redundancy for the last two waves of WERS.</w:t>
      </w:r>
    </w:p>
    <w:p w14:paraId="5192C549" w14:textId="77777777" w:rsidR="004A6E7B" w:rsidRPr="00E639A0" w:rsidRDefault="004A6E7B" w:rsidP="004A6E7B">
      <w:pPr>
        <w:pStyle w:val="ListParagraph"/>
        <w:ind w:left="360"/>
        <w:rPr>
          <w:rFonts w:cs="Arial"/>
        </w:rPr>
      </w:pPr>
    </w:p>
    <w:tbl>
      <w:tblPr>
        <w:tblW w:w="7610" w:type="dxa"/>
        <w:tblInd w:w="607" w:type="dxa"/>
        <w:tblLook w:val="04A0" w:firstRow="1" w:lastRow="0" w:firstColumn="1" w:lastColumn="0" w:noHBand="0" w:noVBand="1"/>
      </w:tblPr>
      <w:tblGrid>
        <w:gridCol w:w="5342"/>
        <w:gridCol w:w="1134"/>
        <w:gridCol w:w="1134"/>
      </w:tblGrid>
      <w:tr w:rsidR="004A6E7B" w:rsidRPr="00E639A0" w14:paraId="4B2C9C44" w14:textId="77777777">
        <w:trPr>
          <w:trHeight w:val="282"/>
        </w:trPr>
        <w:tc>
          <w:tcPr>
            <w:tcW w:w="53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A75272" w14:textId="77777777" w:rsidR="004A6E7B" w:rsidRPr="00E639A0" w:rsidRDefault="004A6E7B">
            <w:pPr>
              <w:rPr>
                <w:rFonts w:cs="Arial"/>
                <w:b/>
                <w:color w:val="000000"/>
                <w:lang w:eastAsia="en-GB"/>
              </w:rPr>
            </w:pPr>
            <w:r w:rsidRPr="00E639A0">
              <w:rPr>
                <w:rFonts w:cs="Arial"/>
                <w:b/>
                <w:color w:val="000000"/>
                <w:lang w:eastAsia="en-GB"/>
              </w:rPr>
              <w:t>Main Reason</w:t>
            </w:r>
          </w:p>
        </w:tc>
        <w:tc>
          <w:tcPr>
            <w:tcW w:w="1134" w:type="dxa"/>
            <w:tcBorders>
              <w:top w:val="single" w:sz="4" w:space="0" w:color="auto"/>
              <w:left w:val="nil"/>
              <w:bottom w:val="single" w:sz="4" w:space="0" w:color="auto"/>
              <w:right w:val="single" w:sz="4" w:space="0" w:color="auto"/>
            </w:tcBorders>
          </w:tcPr>
          <w:p w14:paraId="5C12997B" w14:textId="77777777" w:rsidR="004A6E7B" w:rsidRPr="00E639A0" w:rsidRDefault="004A6E7B">
            <w:pPr>
              <w:jc w:val="center"/>
              <w:rPr>
                <w:rFonts w:cs="Arial"/>
                <w:b/>
                <w:color w:val="000000"/>
                <w:lang w:eastAsia="en-GB"/>
              </w:rPr>
            </w:pPr>
            <w:r w:rsidRPr="00E639A0">
              <w:rPr>
                <w:rFonts w:cs="Arial"/>
                <w:b/>
              </w:rPr>
              <w:t>2004</w:t>
            </w:r>
          </w:p>
        </w:tc>
        <w:tc>
          <w:tcPr>
            <w:tcW w:w="113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96FB1E" w14:textId="77777777" w:rsidR="004A6E7B" w:rsidRPr="00E639A0" w:rsidRDefault="004A6E7B">
            <w:pPr>
              <w:jc w:val="center"/>
              <w:rPr>
                <w:rFonts w:cs="Arial"/>
                <w:b/>
                <w:color w:val="000000"/>
                <w:lang w:eastAsia="en-GB"/>
              </w:rPr>
            </w:pPr>
            <w:r w:rsidRPr="00E639A0">
              <w:rPr>
                <w:rFonts w:cs="Arial"/>
                <w:b/>
                <w:color w:val="000000"/>
                <w:lang w:eastAsia="en-GB"/>
              </w:rPr>
              <w:t>2011</w:t>
            </w:r>
          </w:p>
        </w:tc>
      </w:tr>
      <w:tr w:rsidR="004A6E7B" w:rsidRPr="00E639A0" w14:paraId="1092AE1B" w14:textId="77777777">
        <w:trPr>
          <w:trHeight w:val="282"/>
        </w:trPr>
        <w:tc>
          <w:tcPr>
            <w:tcW w:w="5342" w:type="dxa"/>
            <w:tcBorders>
              <w:top w:val="nil"/>
              <w:left w:val="single" w:sz="4" w:space="0" w:color="auto"/>
              <w:bottom w:val="single" w:sz="4" w:space="0" w:color="auto"/>
              <w:right w:val="single" w:sz="4" w:space="0" w:color="auto"/>
            </w:tcBorders>
            <w:shd w:val="clear" w:color="auto" w:fill="auto"/>
            <w:noWrap/>
          </w:tcPr>
          <w:p w14:paraId="0973CBE6" w14:textId="77777777" w:rsidR="004A6E7B" w:rsidRPr="00E639A0" w:rsidRDefault="004A6E7B">
            <w:pPr>
              <w:rPr>
                <w:rFonts w:cs="Arial"/>
                <w:color w:val="000000"/>
                <w:lang w:eastAsia="en-GB"/>
              </w:rPr>
            </w:pPr>
            <w:r w:rsidRPr="00E639A0">
              <w:rPr>
                <w:rFonts w:cs="Arial"/>
              </w:rPr>
              <w:t>Lack of demand for products/services</w:t>
            </w:r>
          </w:p>
        </w:tc>
        <w:tc>
          <w:tcPr>
            <w:tcW w:w="1134" w:type="dxa"/>
            <w:tcBorders>
              <w:top w:val="single" w:sz="4" w:space="0" w:color="auto"/>
              <w:left w:val="nil"/>
              <w:bottom w:val="single" w:sz="4" w:space="0" w:color="auto"/>
              <w:right w:val="single" w:sz="4" w:space="0" w:color="auto"/>
            </w:tcBorders>
          </w:tcPr>
          <w:p w14:paraId="3A61FF50" w14:textId="77777777" w:rsidR="004A6E7B" w:rsidRPr="00E639A0" w:rsidRDefault="004A6E7B">
            <w:pPr>
              <w:jc w:val="center"/>
              <w:rPr>
                <w:rFonts w:cs="Arial"/>
                <w:color w:val="000000"/>
                <w:lang w:eastAsia="en-GB"/>
              </w:rPr>
            </w:pPr>
            <w:r w:rsidRPr="00E639A0">
              <w:rPr>
                <w:rFonts w:cs="Arial"/>
              </w:rPr>
              <w:t>24%</w:t>
            </w:r>
          </w:p>
        </w:tc>
        <w:tc>
          <w:tcPr>
            <w:tcW w:w="1134" w:type="dxa"/>
            <w:tcBorders>
              <w:top w:val="nil"/>
              <w:left w:val="single" w:sz="4" w:space="0" w:color="auto"/>
              <w:bottom w:val="single" w:sz="4" w:space="0" w:color="auto"/>
              <w:right w:val="single" w:sz="4" w:space="0" w:color="auto"/>
            </w:tcBorders>
            <w:shd w:val="clear" w:color="auto" w:fill="auto"/>
            <w:noWrap/>
            <w:hideMark/>
          </w:tcPr>
          <w:p w14:paraId="5C8C61D9" w14:textId="77777777" w:rsidR="004A6E7B" w:rsidRPr="00E639A0" w:rsidRDefault="004A6E7B">
            <w:pPr>
              <w:jc w:val="center"/>
              <w:rPr>
                <w:rFonts w:cs="Arial"/>
                <w:color w:val="000000"/>
                <w:lang w:eastAsia="en-GB"/>
              </w:rPr>
            </w:pPr>
            <w:r w:rsidRPr="00E639A0">
              <w:rPr>
                <w:rFonts w:cs="Arial"/>
              </w:rPr>
              <w:t>28%</w:t>
            </w:r>
          </w:p>
        </w:tc>
      </w:tr>
      <w:tr w:rsidR="004A6E7B" w:rsidRPr="00E639A0" w14:paraId="6EB68EE4" w14:textId="77777777">
        <w:trPr>
          <w:trHeight w:val="282"/>
        </w:trPr>
        <w:tc>
          <w:tcPr>
            <w:tcW w:w="5342" w:type="dxa"/>
            <w:tcBorders>
              <w:top w:val="nil"/>
              <w:left w:val="single" w:sz="4" w:space="0" w:color="auto"/>
              <w:bottom w:val="single" w:sz="4" w:space="0" w:color="auto"/>
              <w:right w:val="single" w:sz="4" w:space="0" w:color="auto"/>
            </w:tcBorders>
            <w:shd w:val="clear" w:color="auto" w:fill="auto"/>
            <w:noWrap/>
          </w:tcPr>
          <w:p w14:paraId="662E0757" w14:textId="77777777" w:rsidR="004A6E7B" w:rsidRPr="00E639A0" w:rsidRDefault="004A6E7B">
            <w:pPr>
              <w:rPr>
                <w:rFonts w:cs="Arial"/>
                <w:color w:val="000000"/>
                <w:lang w:eastAsia="en-GB"/>
              </w:rPr>
            </w:pPr>
            <w:r w:rsidRPr="00E639A0">
              <w:rPr>
                <w:rFonts w:cs="Arial"/>
              </w:rPr>
              <w:t>Shortage of materials</w:t>
            </w:r>
          </w:p>
        </w:tc>
        <w:tc>
          <w:tcPr>
            <w:tcW w:w="1134" w:type="dxa"/>
            <w:tcBorders>
              <w:top w:val="single" w:sz="4" w:space="0" w:color="auto"/>
              <w:left w:val="nil"/>
              <w:bottom w:val="single" w:sz="4" w:space="0" w:color="auto"/>
              <w:right w:val="single" w:sz="4" w:space="0" w:color="auto"/>
            </w:tcBorders>
          </w:tcPr>
          <w:p w14:paraId="0EDC8407" w14:textId="77777777" w:rsidR="004A6E7B" w:rsidRPr="00E639A0" w:rsidRDefault="004A6E7B">
            <w:pPr>
              <w:jc w:val="center"/>
              <w:rPr>
                <w:rFonts w:cs="Arial"/>
                <w:color w:val="000000"/>
                <w:lang w:eastAsia="en-GB"/>
              </w:rPr>
            </w:pPr>
            <w:r w:rsidRPr="00E639A0">
              <w:rPr>
                <w:rFonts w:cs="Arial"/>
              </w:rPr>
              <w:t>1%</w:t>
            </w:r>
          </w:p>
        </w:tc>
        <w:tc>
          <w:tcPr>
            <w:tcW w:w="1134" w:type="dxa"/>
            <w:tcBorders>
              <w:top w:val="nil"/>
              <w:left w:val="single" w:sz="4" w:space="0" w:color="auto"/>
              <w:bottom w:val="single" w:sz="4" w:space="0" w:color="auto"/>
              <w:right w:val="single" w:sz="4" w:space="0" w:color="auto"/>
            </w:tcBorders>
            <w:shd w:val="clear" w:color="auto" w:fill="auto"/>
            <w:noWrap/>
            <w:hideMark/>
          </w:tcPr>
          <w:p w14:paraId="3CC1B7D7" w14:textId="77777777" w:rsidR="004A6E7B" w:rsidRPr="00E639A0" w:rsidRDefault="004A6E7B">
            <w:pPr>
              <w:jc w:val="center"/>
              <w:rPr>
                <w:rFonts w:cs="Arial"/>
                <w:color w:val="000000"/>
                <w:lang w:eastAsia="en-GB"/>
              </w:rPr>
            </w:pPr>
            <w:r w:rsidRPr="00E639A0">
              <w:rPr>
                <w:rFonts w:cs="Arial"/>
              </w:rPr>
              <w:t>0%</w:t>
            </w:r>
          </w:p>
        </w:tc>
      </w:tr>
      <w:tr w:rsidR="004A6E7B" w:rsidRPr="00E639A0" w14:paraId="69AB7DBB" w14:textId="77777777">
        <w:trPr>
          <w:trHeight w:val="282"/>
        </w:trPr>
        <w:tc>
          <w:tcPr>
            <w:tcW w:w="5342" w:type="dxa"/>
            <w:tcBorders>
              <w:top w:val="nil"/>
              <w:left w:val="single" w:sz="4" w:space="0" w:color="auto"/>
              <w:bottom w:val="single" w:sz="4" w:space="0" w:color="auto"/>
              <w:right w:val="single" w:sz="4" w:space="0" w:color="auto"/>
            </w:tcBorders>
            <w:shd w:val="clear" w:color="auto" w:fill="auto"/>
            <w:noWrap/>
          </w:tcPr>
          <w:p w14:paraId="6C94AE39" w14:textId="77777777" w:rsidR="004A6E7B" w:rsidRPr="00E639A0" w:rsidRDefault="004A6E7B">
            <w:pPr>
              <w:rPr>
                <w:rFonts w:cs="Arial"/>
                <w:color w:val="000000"/>
                <w:lang w:eastAsia="en-GB"/>
              </w:rPr>
            </w:pPr>
            <w:r w:rsidRPr="00E639A0">
              <w:rPr>
                <w:rFonts w:cs="Arial"/>
              </w:rPr>
              <w:t>Automation/mechanisation/new equipment</w:t>
            </w:r>
          </w:p>
        </w:tc>
        <w:tc>
          <w:tcPr>
            <w:tcW w:w="1134" w:type="dxa"/>
            <w:tcBorders>
              <w:top w:val="single" w:sz="4" w:space="0" w:color="auto"/>
              <w:left w:val="nil"/>
              <w:bottom w:val="single" w:sz="4" w:space="0" w:color="auto"/>
              <w:right w:val="single" w:sz="4" w:space="0" w:color="auto"/>
            </w:tcBorders>
          </w:tcPr>
          <w:p w14:paraId="1EECA20B" w14:textId="77777777" w:rsidR="004A6E7B" w:rsidRPr="00E639A0" w:rsidRDefault="004A6E7B">
            <w:pPr>
              <w:jc w:val="center"/>
              <w:rPr>
                <w:rFonts w:cs="Arial"/>
                <w:color w:val="000000"/>
                <w:lang w:eastAsia="en-GB"/>
              </w:rPr>
            </w:pPr>
            <w:r w:rsidRPr="00E639A0">
              <w:rPr>
                <w:rFonts w:cs="Arial"/>
              </w:rPr>
              <w:t>3%</w:t>
            </w:r>
          </w:p>
        </w:tc>
        <w:tc>
          <w:tcPr>
            <w:tcW w:w="1134" w:type="dxa"/>
            <w:tcBorders>
              <w:top w:val="nil"/>
              <w:left w:val="single" w:sz="4" w:space="0" w:color="auto"/>
              <w:bottom w:val="single" w:sz="4" w:space="0" w:color="auto"/>
              <w:right w:val="single" w:sz="4" w:space="0" w:color="auto"/>
            </w:tcBorders>
            <w:shd w:val="clear" w:color="auto" w:fill="auto"/>
            <w:noWrap/>
            <w:hideMark/>
          </w:tcPr>
          <w:p w14:paraId="771131AC" w14:textId="77777777" w:rsidR="004A6E7B" w:rsidRPr="00E639A0" w:rsidRDefault="004A6E7B">
            <w:pPr>
              <w:jc w:val="center"/>
              <w:rPr>
                <w:rFonts w:cs="Arial"/>
                <w:color w:val="000000"/>
                <w:lang w:eastAsia="en-GB"/>
              </w:rPr>
            </w:pPr>
            <w:r w:rsidRPr="00E639A0">
              <w:rPr>
                <w:rFonts w:cs="Arial"/>
              </w:rPr>
              <w:t>2%</w:t>
            </w:r>
          </w:p>
        </w:tc>
      </w:tr>
      <w:tr w:rsidR="004A6E7B" w:rsidRPr="00E639A0" w14:paraId="2C5B926B" w14:textId="77777777">
        <w:trPr>
          <w:trHeight w:val="282"/>
        </w:trPr>
        <w:tc>
          <w:tcPr>
            <w:tcW w:w="5342" w:type="dxa"/>
            <w:tcBorders>
              <w:top w:val="nil"/>
              <w:left w:val="single" w:sz="4" w:space="0" w:color="auto"/>
              <w:bottom w:val="single" w:sz="4" w:space="0" w:color="auto"/>
              <w:right w:val="single" w:sz="4" w:space="0" w:color="auto"/>
            </w:tcBorders>
            <w:shd w:val="clear" w:color="auto" w:fill="auto"/>
            <w:noWrap/>
          </w:tcPr>
          <w:p w14:paraId="73035EA6" w14:textId="77777777" w:rsidR="004A6E7B" w:rsidRPr="00E639A0" w:rsidRDefault="004A6E7B">
            <w:pPr>
              <w:rPr>
                <w:rFonts w:cs="Arial"/>
                <w:color w:val="000000"/>
                <w:lang w:eastAsia="en-GB"/>
              </w:rPr>
            </w:pPr>
            <w:r w:rsidRPr="00E639A0">
              <w:rPr>
                <w:rFonts w:cs="Arial"/>
              </w:rPr>
              <w:t>Reorganised working methods</w:t>
            </w:r>
          </w:p>
        </w:tc>
        <w:tc>
          <w:tcPr>
            <w:tcW w:w="1134" w:type="dxa"/>
            <w:tcBorders>
              <w:top w:val="single" w:sz="4" w:space="0" w:color="auto"/>
              <w:left w:val="nil"/>
              <w:bottom w:val="single" w:sz="4" w:space="0" w:color="auto"/>
              <w:right w:val="single" w:sz="4" w:space="0" w:color="auto"/>
            </w:tcBorders>
          </w:tcPr>
          <w:p w14:paraId="6352FFD6" w14:textId="77777777" w:rsidR="004A6E7B" w:rsidRPr="00E639A0" w:rsidRDefault="004A6E7B">
            <w:pPr>
              <w:jc w:val="center"/>
              <w:rPr>
                <w:rFonts w:cs="Arial"/>
                <w:color w:val="000000"/>
                <w:lang w:eastAsia="en-GB"/>
              </w:rPr>
            </w:pPr>
            <w:r w:rsidRPr="00E639A0">
              <w:rPr>
                <w:rFonts w:cs="Arial"/>
              </w:rPr>
              <w:t>36%</w:t>
            </w:r>
          </w:p>
        </w:tc>
        <w:tc>
          <w:tcPr>
            <w:tcW w:w="1134" w:type="dxa"/>
            <w:tcBorders>
              <w:top w:val="nil"/>
              <w:left w:val="single" w:sz="4" w:space="0" w:color="auto"/>
              <w:bottom w:val="single" w:sz="4" w:space="0" w:color="auto"/>
              <w:right w:val="single" w:sz="4" w:space="0" w:color="auto"/>
            </w:tcBorders>
            <w:shd w:val="clear" w:color="auto" w:fill="auto"/>
            <w:noWrap/>
            <w:hideMark/>
          </w:tcPr>
          <w:p w14:paraId="022DA690" w14:textId="77777777" w:rsidR="004A6E7B" w:rsidRPr="00E639A0" w:rsidRDefault="004A6E7B">
            <w:pPr>
              <w:jc w:val="center"/>
              <w:rPr>
                <w:rFonts w:cs="Arial"/>
                <w:color w:val="000000"/>
                <w:lang w:eastAsia="en-GB"/>
              </w:rPr>
            </w:pPr>
            <w:r w:rsidRPr="00E639A0">
              <w:rPr>
                <w:rFonts w:cs="Arial"/>
              </w:rPr>
              <w:t>32%</w:t>
            </w:r>
          </w:p>
        </w:tc>
      </w:tr>
      <w:tr w:rsidR="004A6E7B" w:rsidRPr="00E639A0" w14:paraId="52C8FF71" w14:textId="77777777">
        <w:trPr>
          <w:trHeight w:val="282"/>
        </w:trPr>
        <w:tc>
          <w:tcPr>
            <w:tcW w:w="5342" w:type="dxa"/>
            <w:tcBorders>
              <w:top w:val="nil"/>
              <w:left w:val="single" w:sz="4" w:space="0" w:color="auto"/>
              <w:bottom w:val="single" w:sz="4" w:space="0" w:color="auto"/>
              <w:right w:val="single" w:sz="4" w:space="0" w:color="auto"/>
            </w:tcBorders>
            <w:shd w:val="clear" w:color="auto" w:fill="auto"/>
            <w:noWrap/>
          </w:tcPr>
          <w:p w14:paraId="500CDDE0" w14:textId="77777777" w:rsidR="004A6E7B" w:rsidRPr="00E639A0" w:rsidRDefault="004A6E7B">
            <w:pPr>
              <w:rPr>
                <w:rFonts w:cs="Arial"/>
                <w:color w:val="000000"/>
                <w:lang w:eastAsia="en-GB"/>
              </w:rPr>
            </w:pPr>
            <w:r w:rsidRPr="00E639A0">
              <w:rPr>
                <w:rFonts w:cs="Arial"/>
              </w:rPr>
              <w:t>Improved competitiveness/efficiency/cost reduction</w:t>
            </w:r>
          </w:p>
        </w:tc>
        <w:tc>
          <w:tcPr>
            <w:tcW w:w="1134" w:type="dxa"/>
            <w:tcBorders>
              <w:top w:val="single" w:sz="4" w:space="0" w:color="auto"/>
              <w:left w:val="nil"/>
              <w:bottom w:val="single" w:sz="4" w:space="0" w:color="auto"/>
              <w:right w:val="single" w:sz="4" w:space="0" w:color="auto"/>
            </w:tcBorders>
          </w:tcPr>
          <w:p w14:paraId="18A8C467" w14:textId="77777777" w:rsidR="004A6E7B" w:rsidRPr="00E639A0" w:rsidRDefault="004A6E7B">
            <w:pPr>
              <w:jc w:val="center"/>
              <w:rPr>
                <w:rFonts w:cs="Arial"/>
                <w:color w:val="000000"/>
                <w:lang w:eastAsia="en-GB"/>
              </w:rPr>
            </w:pPr>
            <w:r w:rsidRPr="00E639A0">
              <w:rPr>
                <w:rFonts w:cs="Arial"/>
              </w:rPr>
              <w:t>12%</w:t>
            </w:r>
          </w:p>
        </w:tc>
        <w:tc>
          <w:tcPr>
            <w:tcW w:w="1134" w:type="dxa"/>
            <w:tcBorders>
              <w:top w:val="nil"/>
              <w:left w:val="single" w:sz="4" w:space="0" w:color="auto"/>
              <w:bottom w:val="single" w:sz="4" w:space="0" w:color="auto"/>
              <w:right w:val="single" w:sz="4" w:space="0" w:color="auto"/>
            </w:tcBorders>
            <w:shd w:val="clear" w:color="auto" w:fill="auto"/>
            <w:noWrap/>
            <w:hideMark/>
          </w:tcPr>
          <w:p w14:paraId="1D8357B8" w14:textId="77777777" w:rsidR="004A6E7B" w:rsidRPr="00E639A0" w:rsidRDefault="004A6E7B">
            <w:pPr>
              <w:jc w:val="center"/>
              <w:rPr>
                <w:rFonts w:cs="Arial"/>
                <w:color w:val="000000"/>
                <w:lang w:eastAsia="en-GB"/>
              </w:rPr>
            </w:pPr>
            <w:r w:rsidRPr="00E639A0">
              <w:rPr>
                <w:rFonts w:cs="Arial"/>
              </w:rPr>
              <w:t>9%</w:t>
            </w:r>
          </w:p>
        </w:tc>
      </w:tr>
      <w:tr w:rsidR="004A6E7B" w:rsidRPr="00E639A0" w14:paraId="74CE72FA" w14:textId="77777777">
        <w:trPr>
          <w:trHeight w:val="282"/>
        </w:trPr>
        <w:tc>
          <w:tcPr>
            <w:tcW w:w="5342" w:type="dxa"/>
            <w:tcBorders>
              <w:top w:val="nil"/>
              <w:left w:val="single" w:sz="4" w:space="0" w:color="auto"/>
              <w:bottom w:val="single" w:sz="4" w:space="0" w:color="auto"/>
              <w:right w:val="single" w:sz="4" w:space="0" w:color="auto"/>
            </w:tcBorders>
            <w:shd w:val="clear" w:color="auto" w:fill="auto"/>
            <w:noWrap/>
          </w:tcPr>
          <w:p w14:paraId="03FC647A" w14:textId="77777777" w:rsidR="004A6E7B" w:rsidRPr="00E639A0" w:rsidRDefault="004A6E7B">
            <w:pPr>
              <w:rPr>
                <w:rFonts w:cs="Arial"/>
                <w:color w:val="000000"/>
                <w:lang w:eastAsia="en-GB"/>
              </w:rPr>
            </w:pPr>
            <w:r w:rsidRPr="00E639A0">
              <w:rPr>
                <w:rFonts w:cs="Arial"/>
              </w:rPr>
              <w:t>Merger with another establishment or organisation</w:t>
            </w:r>
          </w:p>
        </w:tc>
        <w:tc>
          <w:tcPr>
            <w:tcW w:w="1134" w:type="dxa"/>
            <w:tcBorders>
              <w:top w:val="single" w:sz="4" w:space="0" w:color="auto"/>
              <w:left w:val="nil"/>
              <w:bottom w:val="single" w:sz="4" w:space="0" w:color="auto"/>
              <w:right w:val="single" w:sz="4" w:space="0" w:color="auto"/>
            </w:tcBorders>
          </w:tcPr>
          <w:p w14:paraId="04A7484F" w14:textId="77777777" w:rsidR="004A6E7B" w:rsidRPr="00E639A0" w:rsidRDefault="004A6E7B">
            <w:pPr>
              <w:jc w:val="center"/>
              <w:rPr>
                <w:rFonts w:cs="Arial"/>
                <w:color w:val="000000"/>
                <w:lang w:eastAsia="en-GB"/>
              </w:rPr>
            </w:pPr>
            <w:r w:rsidRPr="00E639A0">
              <w:rPr>
                <w:rFonts w:cs="Arial"/>
              </w:rPr>
              <w:t>3%</w:t>
            </w:r>
          </w:p>
        </w:tc>
        <w:tc>
          <w:tcPr>
            <w:tcW w:w="1134" w:type="dxa"/>
            <w:tcBorders>
              <w:top w:val="nil"/>
              <w:left w:val="single" w:sz="4" w:space="0" w:color="auto"/>
              <w:bottom w:val="single" w:sz="4" w:space="0" w:color="auto"/>
              <w:right w:val="single" w:sz="4" w:space="0" w:color="auto"/>
            </w:tcBorders>
            <w:shd w:val="clear" w:color="auto" w:fill="auto"/>
            <w:noWrap/>
            <w:hideMark/>
          </w:tcPr>
          <w:p w14:paraId="208DA3B7" w14:textId="77777777" w:rsidR="004A6E7B" w:rsidRPr="00E639A0" w:rsidRDefault="004A6E7B">
            <w:pPr>
              <w:jc w:val="center"/>
              <w:rPr>
                <w:rFonts w:cs="Arial"/>
                <w:color w:val="000000"/>
                <w:lang w:eastAsia="en-GB"/>
              </w:rPr>
            </w:pPr>
            <w:r w:rsidRPr="00E639A0">
              <w:rPr>
                <w:rFonts w:cs="Arial"/>
              </w:rPr>
              <w:t>2%</w:t>
            </w:r>
          </w:p>
        </w:tc>
      </w:tr>
      <w:tr w:rsidR="004A6E7B" w:rsidRPr="00E639A0" w14:paraId="01E083BA" w14:textId="77777777">
        <w:trPr>
          <w:trHeight w:val="282"/>
        </w:trPr>
        <w:tc>
          <w:tcPr>
            <w:tcW w:w="5342" w:type="dxa"/>
            <w:tcBorders>
              <w:top w:val="nil"/>
              <w:left w:val="single" w:sz="4" w:space="0" w:color="auto"/>
              <w:bottom w:val="single" w:sz="4" w:space="0" w:color="auto"/>
              <w:right w:val="single" w:sz="4" w:space="0" w:color="auto"/>
            </w:tcBorders>
            <w:shd w:val="clear" w:color="auto" w:fill="auto"/>
            <w:noWrap/>
          </w:tcPr>
          <w:p w14:paraId="2F1DD64F" w14:textId="77777777" w:rsidR="004A6E7B" w:rsidRPr="00E639A0" w:rsidRDefault="004A6E7B">
            <w:pPr>
              <w:rPr>
                <w:rFonts w:cs="Arial"/>
                <w:color w:val="000000"/>
                <w:lang w:eastAsia="en-GB"/>
              </w:rPr>
            </w:pPr>
            <w:r w:rsidRPr="00E639A0">
              <w:rPr>
                <w:rFonts w:cs="Arial"/>
              </w:rPr>
              <w:t>Industrial disputes</w:t>
            </w:r>
          </w:p>
        </w:tc>
        <w:tc>
          <w:tcPr>
            <w:tcW w:w="1134" w:type="dxa"/>
            <w:tcBorders>
              <w:top w:val="single" w:sz="4" w:space="0" w:color="auto"/>
              <w:left w:val="nil"/>
              <w:bottom w:val="single" w:sz="4" w:space="0" w:color="auto"/>
              <w:right w:val="single" w:sz="4" w:space="0" w:color="auto"/>
            </w:tcBorders>
          </w:tcPr>
          <w:p w14:paraId="26B36759" w14:textId="77777777" w:rsidR="004A6E7B" w:rsidRPr="00E639A0" w:rsidRDefault="004A6E7B">
            <w:pPr>
              <w:jc w:val="center"/>
              <w:rPr>
                <w:rFonts w:cs="Arial"/>
                <w:color w:val="000000"/>
                <w:lang w:eastAsia="en-GB"/>
              </w:rPr>
            </w:pPr>
            <w:r w:rsidRPr="00E639A0">
              <w:rPr>
                <w:rFonts w:cs="Arial"/>
              </w:rPr>
              <w:t>0%</w:t>
            </w:r>
          </w:p>
        </w:tc>
        <w:tc>
          <w:tcPr>
            <w:tcW w:w="1134" w:type="dxa"/>
            <w:tcBorders>
              <w:top w:val="nil"/>
              <w:left w:val="single" w:sz="4" w:space="0" w:color="auto"/>
              <w:bottom w:val="single" w:sz="4" w:space="0" w:color="auto"/>
              <w:right w:val="single" w:sz="4" w:space="0" w:color="auto"/>
            </w:tcBorders>
            <w:shd w:val="clear" w:color="auto" w:fill="auto"/>
            <w:noWrap/>
            <w:hideMark/>
          </w:tcPr>
          <w:p w14:paraId="4B908238" w14:textId="77777777" w:rsidR="004A6E7B" w:rsidRPr="00E639A0" w:rsidRDefault="004A6E7B">
            <w:pPr>
              <w:jc w:val="center"/>
              <w:rPr>
                <w:rFonts w:cs="Arial"/>
                <w:color w:val="000000"/>
                <w:lang w:eastAsia="en-GB"/>
              </w:rPr>
            </w:pPr>
            <w:r w:rsidRPr="00E639A0">
              <w:rPr>
                <w:rFonts w:cs="Arial"/>
              </w:rPr>
              <w:t>0%</w:t>
            </w:r>
          </w:p>
        </w:tc>
      </w:tr>
      <w:tr w:rsidR="004A6E7B" w:rsidRPr="00E639A0" w14:paraId="7E855D43" w14:textId="77777777">
        <w:trPr>
          <w:trHeight w:val="282"/>
        </w:trPr>
        <w:tc>
          <w:tcPr>
            <w:tcW w:w="5342" w:type="dxa"/>
            <w:tcBorders>
              <w:top w:val="nil"/>
              <w:left w:val="single" w:sz="4" w:space="0" w:color="auto"/>
              <w:bottom w:val="single" w:sz="4" w:space="0" w:color="auto"/>
              <w:right w:val="single" w:sz="4" w:space="0" w:color="auto"/>
            </w:tcBorders>
            <w:shd w:val="clear" w:color="auto" w:fill="auto"/>
            <w:noWrap/>
          </w:tcPr>
          <w:p w14:paraId="1D2A20D5" w14:textId="77777777" w:rsidR="004A6E7B" w:rsidRPr="00E639A0" w:rsidRDefault="004A6E7B">
            <w:pPr>
              <w:rPr>
                <w:rFonts w:cs="Arial"/>
                <w:color w:val="000000"/>
                <w:lang w:eastAsia="en-GB"/>
              </w:rPr>
            </w:pPr>
            <w:r w:rsidRPr="00E639A0">
              <w:rPr>
                <w:rFonts w:cs="Arial"/>
              </w:rPr>
              <w:t>Reductions in budget/cash limits</w:t>
            </w:r>
          </w:p>
        </w:tc>
        <w:tc>
          <w:tcPr>
            <w:tcW w:w="1134" w:type="dxa"/>
            <w:tcBorders>
              <w:top w:val="single" w:sz="4" w:space="0" w:color="auto"/>
              <w:left w:val="nil"/>
              <w:bottom w:val="single" w:sz="4" w:space="0" w:color="auto"/>
              <w:right w:val="single" w:sz="4" w:space="0" w:color="auto"/>
            </w:tcBorders>
          </w:tcPr>
          <w:p w14:paraId="743A4FF0" w14:textId="77777777" w:rsidR="004A6E7B" w:rsidRPr="00E639A0" w:rsidRDefault="004A6E7B">
            <w:pPr>
              <w:jc w:val="center"/>
              <w:rPr>
                <w:rFonts w:cs="Arial"/>
                <w:color w:val="000000"/>
                <w:lang w:eastAsia="en-GB"/>
              </w:rPr>
            </w:pPr>
            <w:r w:rsidRPr="00E639A0">
              <w:rPr>
                <w:rFonts w:cs="Arial"/>
              </w:rPr>
              <w:t>8%</w:t>
            </w:r>
          </w:p>
        </w:tc>
        <w:tc>
          <w:tcPr>
            <w:tcW w:w="1134" w:type="dxa"/>
            <w:tcBorders>
              <w:top w:val="nil"/>
              <w:left w:val="single" w:sz="4" w:space="0" w:color="auto"/>
              <w:bottom w:val="single" w:sz="4" w:space="0" w:color="auto"/>
              <w:right w:val="single" w:sz="4" w:space="0" w:color="auto"/>
            </w:tcBorders>
            <w:shd w:val="clear" w:color="auto" w:fill="auto"/>
            <w:noWrap/>
            <w:hideMark/>
          </w:tcPr>
          <w:p w14:paraId="7C19A2BE" w14:textId="77777777" w:rsidR="004A6E7B" w:rsidRPr="00E639A0" w:rsidRDefault="004A6E7B">
            <w:pPr>
              <w:jc w:val="center"/>
              <w:rPr>
                <w:rFonts w:cs="Arial"/>
                <w:color w:val="000000"/>
                <w:lang w:eastAsia="en-GB"/>
              </w:rPr>
            </w:pPr>
            <w:r w:rsidRPr="00E639A0">
              <w:rPr>
                <w:rFonts w:cs="Arial"/>
              </w:rPr>
              <w:t>18%</w:t>
            </w:r>
          </w:p>
        </w:tc>
      </w:tr>
      <w:tr w:rsidR="004A6E7B" w:rsidRPr="00E639A0" w14:paraId="6DAD0C96" w14:textId="77777777">
        <w:trPr>
          <w:trHeight w:val="282"/>
        </w:trPr>
        <w:tc>
          <w:tcPr>
            <w:tcW w:w="5342" w:type="dxa"/>
            <w:tcBorders>
              <w:top w:val="nil"/>
              <w:left w:val="single" w:sz="4" w:space="0" w:color="auto"/>
              <w:bottom w:val="single" w:sz="4" w:space="0" w:color="auto"/>
              <w:right w:val="single" w:sz="4" w:space="0" w:color="auto"/>
            </w:tcBorders>
            <w:shd w:val="clear" w:color="auto" w:fill="auto"/>
            <w:noWrap/>
          </w:tcPr>
          <w:p w14:paraId="5D57D87C" w14:textId="77777777" w:rsidR="004A6E7B" w:rsidRPr="00E639A0" w:rsidRDefault="004A6E7B">
            <w:pPr>
              <w:rPr>
                <w:rFonts w:cs="Arial"/>
                <w:color w:val="000000"/>
                <w:lang w:eastAsia="en-GB"/>
              </w:rPr>
            </w:pPr>
            <w:r w:rsidRPr="00E639A0">
              <w:rPr>
                <w:rFonts w:cs="Arial"/>
              </w:rPr>
              <w:t>Some other reason (please specify)</w:t>
            </w:r>
          </w:p>
        </w:tc>
        <w:tc>
          <w:tcPr>
            <w:tcW w:w="1134" w:type="dxa"/>
            <w:tcBorders>
              <w:top w:val="single" w:sz="4" w:space="0" w:color="auto"/>
              <w:left w:val="nil"/>
              <w:bottom w:val="single" w:sz="4" w:space="0" w:color="auto"/>
              <w:right w:val="single" w:sz="4" w:space="0" w:color="auto"/>
            </w:tcBorders>
          </w:tcPr>
          <w:p w14:paraId="0E1904B6" w14:textId="77777777" w:rsidR="004A6E7B" w:rsidRPr="00E639A0" w:rsidRDefault="004A6E7B">
            <w:pPr>
              <w:jc w:val="center"/>
              <w:rPr>
                <w:rFonts w:cs="Arial"/>
                <w:color w:val="000000"/>
                <w:lang w:eastAsia="en-GB"/>
              </w:rPr>
            </w:pPr>
            <w:r w:rsidRPr="00E639A0">
              <w:rPr>
                <w:rFonts w:cs="Arial"/>
              </w:rPr>
              <w:t>13%</w:t>
            </w:r>
          </w:p>
        </w:tc>
        <w:tc>
          <w:tcPr>
            <w:tcW w:w="1134" w:type="dxa"/>
            <w:tcBorders>
              <w:top w:val="nil"/>
              <w:left w:val="single" w:sz="4" w:space="0" w:color="auto"/>
              <w:bottom w:val="single" w:sz="4" w:space="0" w:color="auto"/>
              <w:right w:val="single" w:sz="4" w:space="0" w:color="auto"/>
            </w:tcBorders>
            <w:shd w:val="clear" w:color="auto" w:fill="auto"/>
            <w:noWrap/>
            <w:hideMark/>
          </w:tcPr>
          <w:p w14:paraId="70D670AA" w14:textId="77777777" w:rsidR="004A6E7B" w:rsidRPr="00E639A0" w:rsidRDefault="004A6E7B">
            <w:pPr>
              <w:jc w:val="center"/>
              <w:rPr>
                <w:rFonts w:cs="Arial"/>
                <w:color w:val="000000"/>
                <w:lang w:eastAsia="en-GB"/>
              </w:rPr>
            </w:pPr>
            <w:r w:rsidRPr="00E639A0">
              <w:rPr>
                <w:rFonts w:cs="Arial"/>
              </w:rPr>
              <w:t>9%</w:t>
            </w:r>
          </w:p>
        </w:tc>
      </w:tr>
    </w:tbl>
    <w:p w14:paraId="22C8C6D0" w14:textId="77777777" w:rsidR="004A6E7B" w:rsidRPr="00E639A0" w:rsidRDefault="004A6E7B" w:rsidP="00020B04">
      <w:pPr>
        <w:pStyle w:val="BodyText1"/>
        <w:rPr>
          <w:sz w:val="24"/>
          <w:szCs w:val="24"/>
        </w:rPr>
      </w:pPr>
    </w:p>
    <w:p w14:paraId="043B99D0" w14:textId="229EBA80" w:rsidR="004A6E7B" w:rsidRPr="00E639A0" w:rsidRDefault="004A6E7B" w:rsidP="004A6E7B">
      <w:pPr>
        <w:pStyle w:val="EBBodyPara"/>
        <w:numPr>
          <w:ilvl w:val="0"/>
          <w:numId w:val="7"/>
        </w:numPr>
        <w:rPr>
          <w:bCs w:val="0"/>
          <w:sz w:val="24"/>
          <w:szCs w:val="24"/>
        </w:rPr>
      </w:pPr>
      <w:r w:rsidRPr="00E639A0">
        <w:rPr>
          <w:sz w:val="24"/>
          <w:szCs w:val="24"/>
        </w:rPr>
        <w:t xml:space="preserve">The WERS data suggests that firms face several different contexts which could lead to redundancy and occur over different timeframes. Some are short-term redundancies due to a lack of demand or financial constraints. Others relate to strategic decisions, for example, re-structuring. </w:t>
      </w:r>
    </w:p>
    <w:p w14:paraId="4287B7AF" w14:textId="73CDC58C" w:rsidR="004A6E7B" w:rsidRPr="00E639A0" w:rsidRDefault="004A6E7B" w:rsidP="004A6E7B">
      <w:pPr>
        <w:pStyle w:val="EBBodyPara"/>
        <w:numPr>
          <w:ilvl w:val="0"/>
          <w:numId w:val="7"/>
        </w:numPr>
        <w:rPr>
          <w:bCs w:val="0"/>
          <w:sz w:val="24"/>
          <w:szCs w:val="24"/>
        </w:rPr>
      </w:pPr>
      <w:r w:rsidRPr="00E639A0">
        <w:rPr>
          <w:sz w:val="24"/>
          <w:szCs w:val="24"/>
        </w:rPr>
        <w:t xml:space="preserve">We assume that firms under scenario 1 make redundancies due to short term pressures, and so would make another individual redundant. We estimate the proportion of these businesses by defining short-term reasons as: lack of demand for products/services, improved competitiveness/efficiency/cost reduction, </w:t>
      </w:r>
      <w:r w:rsidR="004461D6" w:rsidRPr="00E639A0">
        <w:rPr>
          <w:color w:val="auto"/>
          <w:sz w:val="24"/>
          <w:szCs w:val="24"/>
        </w:rPr>
        <w:t>and reductions</w:t>
      </w:r>
      <w:r w:rsidRPr="00E639A0">
        <w:rPr>
          <w:color w:val="auto"/>
          <w:sz w:val="24"/>
          <w:szCs w:val="24"/>
        </w:rPr>
        <w:t xml:space="preserve"> </w:t>
      </w:r>
      <w:r w:rsidRPr="00E639A0">
        <w:rPr>
          <w:sz w:val="24"/>
          <w:szCs w:val="24"/>
        </w:rPr>
        <w:t>in budget/cash limits. Using 2011 data, 55% of firms cite short-term redundancy reasons.</w:t>
      </w:r>
    </w:p>
    <w:p w14:paraId="6B9E7BFB" w14:textId="77777777" w:rsidR="004A6E7B" w:rsidRPr="00E639A0" w:rsidRDefault="004A6E7B" w:rsidP="004A6E7B">
      <w:pPr>
        <w:pStyle w:val="EBBodyPara"/>
        <w:numPr>
          <w:ilvl w:val="0"/>
          <w:numId w:val="7"/>
        </w:numPr>
        <w:rPr>
          <w:bCs w:val="0"/>
          <w:sz w:val="24"/>
          <w:szCs w:val="24"/>
        </w:rPr>
      </w:pPr>
      <w:r w:rsidRPr="00E639A0">
        <w:rPr>
          <w:sz w:val="24"/>
          <w:szCs w:val="24"/>
        </w:rPr>
        <w:t xml:space="preserve">The 2011 survey results may have been affected by the 2008 financial crisis, after which redundancies were made across the economy. A larger percentage of firms may have cited lack of demand as a main reason for redundancies than those would in the current environment. To avoid over estimating the percentage of firms following scenario 1, we consider the 2004 data, where 44% of firms cite short-term factors. For the central scenario we take the approximate midpoint and assume 50% of firms will follow scenario 1. The remaining 50% of firms fall under scenario 2. </w:t>
      </w:r>
    </w:p>
    <w:p w14:paraId="3A0729FF" w14:textId="77777777" w:rsidR="004A6E7B" w:rsidRPr="00E639A0" w:rsidRDefault="004A6E7B" w:rsidP="004A6E7B">
      <w:pPr>
        <w:pStyle w:val="EBBodyPara"/>
        <w:numPr>
          <w:ilvl w:val="0"/>
          <w:numId w:val="7"/>
        </w:numPr>
        <w:rPr>
          <w:bCs w:val="0"/>
          <w:sz w:val="24"/>
          <w:szCs w:val="24"/>
        </w:rPr>
      </w:pPr>
      <w:r w:rsidRPr="00E639A0">
        <w:rPr>
          <w:sz w:val="24"/>
          <w:szCs w:val="24"/>
        </w:rPr>
        <w:t>The percentage of firms citing short-term reasons for redundancy may be larger, as these reasons are likely to be cited by the smallest firms with fewer than 5 employees. These firms are not covered by WERS. The WERS survey results are based on a stratified random sample from the Inter Departmental Business Register (IDBR), with the overall sample being representative of workplaces with at least 5 employees. Small firms are more vulnerable to scenarios such as lack of demand for products/services, for example, and are likely to respond with redundancies. The current sensitivity modelling may, therefore, be conservative in estimating the impacts on businesses.</w:t>
      </w:r>
    </w:p>
    <w:p w14:paraId="3FE2DEFF" w14:textId="77777777" w:rsidR="004A6E7B" w:rsidRPr="00E639A0" w:rsidRDefault="004A6E7B" w:rsidP="004A6E7B">
      <w:pPr>
        <w:pStyle w:val="ListParagraph"/>
        <w:rPr>
          <w:rFonts w:cs="Arial"/>
          <w:b/>
        </w:rPr>
      </w:pPr>
    </w:p>
    <w:p w14:paraId="7D91C1C9" w14:textId="1BD07373" w:rsidR="004A6E7B" w:rsidRPr="00E639A0" w:rsidRDefault="004A6E7B" w:rsidP="00833FB5">
      <w:pPr>
        <w:pStyle w:val="Heading4"/>
        <w:rPr>
          <w:sz w:val="24"/>
          <w:szCs w:val="24"/>
        </w:rPr>
      </w:pPr>
      <w:r w:rsidRPr="00E639A0">
        <w:rPr>
          <w:sz w:val="24"/>
          <w:szCs w:val="24"/>
        </w:rPr>
        <w:t xml:space="preserve">Table </w:t>
      </w:r>
      <w:r w:rsidR="00325494" w:rsidRPr="00E639A0">
        <w:rPr>
          <w:sz w:val="24"/>
          <w:szCs w:val="24"/>
        </w:rPr>
        <w:t>8</w:t>
      </w:r>
      <w:r w:rsidRPr="00E639A0">
        <w:rPr>
          <w:sz w:val="24"/>
          <w:szCs w:val="24"/>
        </w:rPr>
        <w:t xml:space="preserve"> – Scenario Modelling </w:t>
      </w:r>
    </w:p>
    <w:p w14:paraId="5BC44476" w14:textId="77777777" w:rsidR="004A6E7B" w:rsidRPr="00E639A0" w:rsidRDefault="004A6E7B" w:rsidP="004A6E7B">
      <w:pPr>
        <w:pStyle w:val="ListParagraph"/>
        <w:rPr>
          <w:rFonts w:cs="Arial"/>
        </w:rPr>
      </w:pPr>
    </w:p>
    <w:tbl>
      <w:tblPr>
        <w:tblStyle w:val="TableGrid"/>
        <w:tblW w:w="0" w:type="auto"/>
        <w:tblInd w:w="720" w:type="dxa"/>
        <w:tblLook w:val="04A0" w:firstRow="1" w:lastRow="0" w:firstColumn="1" w:lastColumn="0" w:noHBand="0" w:noVBand="1"/>
      </w:tblPr>
      <w:tblGrid>
        <w:gridCol w:w="2829"/>
        <w:gridCol w:w="2830"/>
        <w:gridCol w:w="2830"/>
      </w:tblGrid>
      <w:tr w:rsidR="004A6E7B" w:rsidRPr="00E639A0" w14:paraId="57CD4306" w14:textId="77777777">
        <w:tc>
          <w:tcPr>
            <w:tcW w:w="2829" w:type="dxa"/>
          </w:tcPr>
          <w:p w14:paraId="13835A3B" w14:textId="77777777" w:rsidR="004A6E7B" w:rsidRPr="00E639A0" w:rsidRDefault="004A6E7B">
            <w:pPr>
              <w:pStyle w:val="ListParagraph"/>
              <w:ind w:left="0"/>
              <w:rPr>
                <w:rFonts w:cs="Arial"/>
                <w:b/>
                <w:bCs/>
              </w:rPr>
            </w:pPr>
            <w:r w:rsidRPr="00E639A0">
              <w:rPr>
                <w:rFonts w:cs="Arial"/>
                <w:b/>
                <w:bCs/>
              </w:rPr>
              <w:t>Estimate</w:t>
            </w:r>
          </w:p>
        </w:tc>
        <w:tc>
          <w:tcPr>
            <w:tcW w:w="2830" w:type="dxa"/>
          </w:tcPr>
          <w:p w14:paraId="31294A79" w14:textId="77777777" w:rsidR="004A6E7B" w:rsidRPr="00E639A0" w:rsidRDefault="004A6E7B">
            <w:pPr>
              <w:pStyle w:val="ListParagraph"/>
              <w:ind w:left="0"/>
              <w:rPr>
                <w:rFonts w:cs="Arial"/>
                <w:b/>
                <w:bCs/>
              </w:rPr>
            </w:pPr>
            <w:r w:rsidRPr="00E639A0">
              <w:rPr>
                <w:rFonts w:cs="Arial"/>
                <w:b/>
                <w:bCs/>
              </w:rPr>
              <w:t>Scenario 1: Substitution</w:t>
            </w:r>
          </w:p>
        </w:tc>
        <w:tc>
          <w:tcPr>
            <w:tcW w:w="2830" w:type="dxa"/>
          </w:tcPr>
          <w:p w14:paraId="181AD0E9" w14:textId="77777777" w:rsidR="004A6E7B" w:rsidRPr="00E639A0" w:rsidRDefault="004A6E7B">
            <w:pPr>
              <w:pStyle w:val="ListParagraph"/>
              <w:ind w:left="0"/>
              <w:rPr>
                <w:rFonts w:cs="Arial"/>
                <w:b/>
                <w:bCs/>
              </w:rPr>
            </w:pPr>
            <w:r w:rsidRPr="00E639A0">
              <w:rPr>
                <w:rFonts w:cs="Arial"/>
                <w:b/>
                <w:bCs/>
              </w:rPr>
              <w:t>Scenario 2: Cost – offset</w:t>
            </w:r>
          </w:p>
        </w:tc>
      </w:tr>
      <w:tr w:rsidR="004A6E7B" w:rsidRPr="00E639A0" w14:paraId="51102708" w14:textId="77777777">
        <w:tc>
          <w:tcPr>
            <w:tcW w:w="2829" w:type="dxa"/>
          </w:tcPr>
          <w:p w14:paraId="789128D9" w14:textId="77777777" w:rsidR="004A6E7B" w:rsidRPr="00E639A0" w:rsidRDefault="004A6E7B">
            <w:pPr>
              <w:pStyle w:val="ListParagraph"/>
              <w:ind w:left="0"/>
              <w:jc w:val="center"/>
              <w:rPr>
                <w:rFonts w:cs="Arial"/>
              </w:rPr>
            </w:pPr>
          </w:p>
        </w:tc>
        <w:tc>
          <w:tcPr>
            <w:tcW w:w="2830" w:type="dxa"/>
          </w:tcPr>
          <w:p w14:paraId="73D90DB5" w14:textId="77777777" w:rsidR="004A6E7B" w:rsidRPr="00E639A0" w:rsidRDefault="004A6E7B">
            <w:pPr>
              <w:pStyle w:val="ListParagraph"/>
              <w:ind w:left="0"/>
              <w:jc w:val="center"/>
              <w:rPr>
                <w:rFonts w:cs="Arial"/>
              </w:rPr>
            </w:pPr>
            <w:r w:rsidRPr="00E639A0">
              <w:rPr>
                <w:rFonts w:cs="Arial"/>
              </w:rPr>
              <w:t>% of businesses</w:t>
            </w:r>
          </w:p>
        </w:tc>
        <w:tc>
          <w:tcPr>
            <w:tcW w:w="2830" w:type="dxa"/>
          </w:tcPr>
          <w:p w14:paraId="68EFC2C6" w14:textId="77777777" w:rsidR="004A6E7B" w:rsidRPr="00E639A0" w:rsidRDefault="004A6E7B">
            <w:pPr>
              <w:pStyle w:val="ListParagraph"/>
              <w:ind w:left="0"/>
              <w:jc w:val="center"/>
              <w:rPr>
                <w:rFonts w:cs="Arial"/>
              </w:rPr>
            </w:pPr>
            <w:r w:rsidRPr="00E639A0">
              <w:rPr>
                <w:rFonts w:cs="Arial"/>
              </w:rPr>
              <w:t>% of businesses</w:t>
            </w:r>
          </w:p>
        </w:tc>
      </w:tr>
      <w:tr w:rsidR="004A6E7B" w:rsidRPr="00E639A0" w14:paraId="22A816C2" w14:textId="77777777">
        <w:tc>
          <w:tcPr>
            <w:tcW w:w="2829" w:type="dxa"/>
          </w:tcPr>
          <w:p w14:paraId="73B63678" w14:textId="77777777" w:rsidR="004A6E7B" w:rsidRPr="00E639A0" w:rsidRDefault="004A6E7B">
            <w:pPr>
              <w:pStyle w:val="ListParagraph"/>
              <w:ind w:left="0"/>
              <w:rPr>
                <w:rFonts w:cs="Arial"/>
              </w:rPr>
            </w:pPr>
            <w:r w:rsidRPr="00E639A0">
              <w:rPr>
                <w:rFonts w:cs="Arial"/>
              </w:rPr>
              <w:t>Low</w:t>
            </w:r>
          </w:p>
        </w:tc>
        <w:tc>
          <w:tcPr>
            <w:tcW w:w="2830" w:type="dxa"/>
          </w:tcPr>
          <w:p w14:paraId="30548E42" w14:textId="77777777" w:rsidR="004A6E7B" w:rsidRPr="00E639A0" w:rsidRDefault="004A6E7B">
            <w:pPr>
              <w:pStyle w:val="ListParagraph"/>
              <w:ind w:left="0"/>
              <w:jc w:val="center"/>
              <w:rPr>
                <w:rFonts w:cs="Arial"/>
              </w:rPr>
            </w:pPr>
            <w:r w:rsidRPr="00E639A0">
              <w:rPr>
                <w:rFonts w:cs="Arial"/>
              </w:rPr>
              <w:t>100%</w:t>
            </w:r>
          </w:p>
        </w:tc>
        <w:tc>
          <w:tcPr>
            <w:tcW w:w="2830" w:type="dxa"/>
          </w:tcPr>
          <w:p w14:paraId="36E24CC6" w14:textId="77777777" w:rsidR="004A6E7B" w:rsidRPr="00E639A0" w:rsidRDefault="004A6E7B">
            <w:pPr>
              <w:pStyle w:val="ListParagraph"/>
              <w:ind w:left="0"/>
              <w:jc w:val="center"/>
              <w:rPr>
                <w:rFonts w:cs="Arial"/>
              </w:rPr>
            </w:pPr>
            <w:r w:rsidRPr="00E639A0">
              <w:rPr>
                <w:rFonts w:cs="Arial"/>
              </w:rPr>
              <w:t>0%</w:t>
            </w:r>
          </w:p>
        </w:tc>
      </w:tr>
      <w:tr w:rsidR="004A6E7B" w:rsidRPr="00E639A0" w14:paraId="55F27849" w14:textId="77777777">
        <w:tc>
          <w:tcPr>
            <w:tcW w:w="2829" w:type="dxa"/>
          </w:tcPr>
          <w:p w14:paraId="257DC740" w14:textId="77777777" w:rsidR="004A6E7B" w:rsidRPr="00E639A0" w:rsidRDefault="004A6E7B">
            <w:pPr>
              <w:pStyle w:val="ListParagraph"/>
              <w:ind w:left="0"/>
              <w:rPr>
                <w:rFonts w:cs="Arial"/>
              </w:rPr>
            </w:pPr>
            <w:r w:rsidRPr="00E639A0">
              <w:rPr>
                <w:rFonts w:cs="Arial"/>
              </w:rPr>
              <w:t>Central</w:t>
            </w:r>
          </w:p>
        </w:tc>
        <w:tc>
          <w:tcPr>
            <w:tcW w:w="2830" w:type="dxa"/>
          </w:tcPr>
          <w:p w14:paraId="6551B39F" w14:textId="77777777" w:rsidR="004A6E7B" w:rsidRPr="00E639A0" w:rsidRDefault="004A6E7B">
            <w:pPr>
              <w:pStyle w:val="ListParagraph"/>
              <w:ind w:left="0"/>
              <w:jc w:val="center"/>
              <w:rPr>
                <w:rFonts w:cs="Arial"/>
              </w:rPr>
            </w:pPr>
            <w:r w:rsidRPr="00E639A0">
              <w:rPr>
                <w:rFonts w:cs="Arial"/>
              </w:rPr>
              <w:t>50%</w:t>
            </w:r>
          </w:p>
        </w:tc>
        <w:tc>
          <w:tcPr>
            <w:tcW w:w="2830" w:type="dxa"/>
          </w:tcPr>
          <w:p w14:paraId="0A64BEA5" w14:textId="77777777" w:rsidR="004A6E7B" w:rsidRPr="00E639A0" w:rsidRDefault="004A6E7B">
            <w:pPr>
              <w:pStyle w:val="ListParagraph"/>
              <w:ind w:left="0"/>
              <w:jc w:val="center"/>
              <w:rPr>
                <w:rFonts w:cs="Arial"/>
              </w:rPr>
            </w:pPr>
            <w:r w:rsidRPr="00E639A0">
              <w:rPr>
                <w:rFonts w:cs="Arial"/>
              </w:rPr>
              <w:t>50%</w:t>
            </w:r>
          </w:p>
        </w:tc>
      </w:tr>
      <w:tr w:rsidR="004A6E7B" w:rsidRPr="00E639A0" w14:paraId="316B450A" w14:textId="77777777">
        <w:trPr>
          <w:trHeight w:val="97"/>
        </w:trPr>
        <w:tc>
          <w:tcPr>
            <w:tcW w:w="2829" w:type="dxa"/>
          </w:tcPr>
          <w:p w14:paraId="51FD7923" w14:textId="77777777" w:rsidR="004A6E7B" w:rsidRPr="00E639A0" w:rsidRDefault="004A6E7B">
            <w:pPr>
              <w:pStyle w:val="ListParagraph"/>
              <w:ind w:left="0"/>
              <w:rPr>
                <w:rFonts w:cs="Arial"/>
              </w:rPr>
            </w:pPr>
            <w:r w:rsidRPr="00E639A0">
              <w:rPr>
                <w:rFonts w:cs="Arial"/>
              </w:rPr>
              <w:t>High</w:t>
            </w:r>
          </w:p>
        </w:tc>
        <w:tc>
          <w:tcPr>
            <w:tcW w:w="2830" w:type="dxa"/>
          </w:tcPr>
          <w:p w14:paraId="041D0DC8" w14:textId="77777777" w:rsidR="004A6E7B" w:rsidRPr="00E639A0" w:rsidRDefault="004A6E7B">
            <w:pPr>
              <w:pStyle w:val="ListParagraph"/>
              <w:ind w:left="0"/>
              <w:jc w:val="center"/>
              <w:rPr>
                <w:rFonts w:cs="Arial"/>
              </w:rPr>
            </w:pPr>
            <w:r w:rsidRPr="00E639A0">
              <w:rPr>
                <w:rFonts w:cs="Arial"/>
              </w:rPr>
              <w:t>0%</w:t>
            </w:r>
          </w:p>
        </w:tc>
        <w:tc>
          <w:tcPr>
            <w:tcW w:w="2830" w:type="dxa"/>
          </w:tcPr>
          <w:p w14:paraId="69A671DE" w14:textId="77777777" w:rsidR="004A6E7B" w:rsidRPr="00E639A0" w:rsidRDefault="004A6E7B">
            <w:pPr>
              <w:pStyle w:val="ListParagraph"/>
              <w:ind w:left="0"/>
              <w:jc w:val="center"/>
              <w:rPr>
                <w:rFonts w:cs="Arial"/>
              </w:rPr>
            </w:pPr>
            <w:r w:rsidRPr="00E639A0">
              <w:rPr>
                <w:rFonts w:cs="Arial"/>
              </w:rPr>
              <w:t>100%</w:t>
            </w:r>
          </w:p>
        </w:tc>
      </w:tr>
    </w:tbl>
    <w:p w14:paraId="7B445FFB" w14:textId="77777777" w:rsidR="004A6E7B" w:rsidRPr="00E639A0" w:rsidRDefault="004A6E7B" w:rsidP="004A6E7B">
      <w:pPr>
        <w:pStyle w:val="ListParagraph"/>
        <w:rPr>
          <w:rFonts w:cs="Arial"/>
        </w:rPr>
      </w:pPr>
    </w:p>
    <w:p w14:paraId="092307BD" w14:textId="77777777" w:rsidR="004A6E7B" w:rsidRPr="00E639A0" w:rsidRDefault="004A6E7B" w:rsidP="004A6E7B">
      <w:pPr>
        <w:pStyle w:val="EBBodyPara"/>
        <w:numPr>
          <w:ilvl w:val="0"/>
          <w:numId w:val="7"/>
        </w:numPr>
        <w:rPr>
          <w:sz w:val="24"/>
          <w:szCs w:val="24"/>
        </w:rPr>
      </w:pPr>
      <w:r w:rsidRPr="00E639A0">
        <w:rPr>
          <w:sz w:val="24"/>
          <w:szCs w:val="24"/>
        </w:rPr>
        <w:t>As the proposals extend existing protections, we do not expect the policy to create additional perverse incentives for firms at recruitment stage. Any disincentives at recruitment stage are likely to exist for all women of child-bearing age. In addition, under the policy proposal, the protected parent will notify their employer during pregnancy, not at recruitment stage.</w:t>
      </w:r>
    </w:p>
    <w:p w14:paraId="1FEC9256" w14:textId="77777777" w:rsidR="004A6E7B" w:rsidRPr="00E639A0" w:rsidRDefault="004A6E7B" w:rsidP="004A6E7B">
      <w:pPr>
        <w:jc w:val="both"/>
        <w:rPr>
          <w:rFonts w:cs="Arial"/>
          <w:b/>
          <w:bCs/>
          <w:u w:val="single"/>
        </w:rPr>
      </w:pPr>
    </w:p>
    <w:p w14:paraId="23AE5A08" w14:textId="77777777" w:rsidR="001A704E" w:rsidRPr="00E639A0" w:rsidRDefault="001A704E">
      <w:pPr>
        <w:rPr>
          <w:rFonts w:cs="Arial"/>
          <w:b/>
          <w:bCs/>
          <w:u w:val="single"/>
        </w:rPr>
      </w:pPr>
      <w:r w:rsidRPr="00E639A0">
        <w:rPr>
          <w:rFonts w:cs="Arial"/>
          <w:b/>
          <w:bCs/>
          <w:u w:val="single"/>
        </w:rPr>
        <w:br w:type="page"/>
      </w:r>
    </w:p>
    <w:p w14:paraId="40F329C6" w14:textId="20742B50" w:rsidR="008F7786" w:rsidRPr="00E639A0" w:rsidRDefault="00654922" w:rsidP="004A6E7B">
      <w:pPr>
        <w:jc w:val="both"/>
        <w:rPr>
          <w:rFonts w:cs="Arial"/>
          <w:b/>
          <w:bCs/>
          <w:u w:val="single"/>
        </w:rPr>
      </w:pPr>
      <w:r w:rsidRPr="00E639A0">
        <w:rPr>
          <w:rFonts w:cs="Arial"/>
          <w:b/>
          <w:bCs/>
          <w:u w:val="single"/>
        </w:rPr>
        <w:t xml:space="preserve">Annex B - </w:t>
      </w:r>
      <w:r w:rsidR="00C50BD9" w:rsidRPr="00E639A0">
        <w:rPr>
          <w:rFonts w:cs="Arial"/>
          <w:b/>
          <w:bCs/>
          <w:u w:val="single"/>
        </w:rPr>
        <w:t>Illustrative</w:t>
      </w:r>
      <w:r w:rsidR="008F7786" w:rsidRPr="00E639A0">
        <w:rPr>
          <w:rFonts w:cs="Arial"/>
          <w:b/>
          <w:bCs/>
          <w:u w:val="single"/>
        </w:rPr>
        <w:t xml:space="preserve"> impacts</w:t>
      </w:r>
    </w:p>
    <w:p w14:paraId="6CF2C126" w14:textId="77777777" w:rsidR="00DE0DAE" w:rsidRPr="00E639A0" w:rsidRDefault="00DE0DAE" w:rsidP="004A6E7B">
      <w:pPr>
        <w:jc w:val="both"/>
        <w:rPr>
          <w:rFonts w:cs="Arial"/>
          <w:b/>
          <w:bCs/>
          <w:u w:val="single"/>
        </w:rPr>
      </w:pPr>
    </w:p>
    <w:p w14:paraId="2F10AB06" w14:textId="5BC24ADE" w:rsidR="007D0EB8" w:rsidRPr="00E639A0" w:rsidRDefault="007D0EB8" w:rsidP="00020B04">
      <w:pPr>
        <w:pStyle w:val="BodyText1"/>
        <w:rPr>
          <w:sz w:val="24"/>
          <w:szCs w:val="24"/>
        </w:rPr>
      </w:pPr>
      <w:r w:rsidRPr="00E639A0">
        <w:rPr>
          <w:sz w:val="24"/>
          <w:szCs w:val="24"/>
        </w:rPr>
        <w:t>In this section we set out some potential costs that are based on more theoretical and implicit assumptions</w:t>
      </w:r>
      <w:r w:rsidR="00F45991" w:rsidRPr="00E639A0">
        <w:rPr>
          <w:sz w:val="24"/>
          <w:szCs w:val="24"/>
        </w:rPr>
        <w:t xml:space="preserve">. These are </w:t>
      </w:r>
      <w:r w:rsidRPr="00E639A0">
        <w:rPr>
          <w:sz w:val="24"/>
          <w:szCs w:val="24"/>
        </w:rPr>
        <w:t>included for illustrative purposes as the impacts are complex and highly uncertain</w:t>
      </w:r>
      <w:r w:rsidR="00F45991" w:rsidRPr="00E639A0">
        <w:rPr>
          <w:sz w:val="24"/>
          <w:szCs w:val="24"/>
        </w:rPr>
        <w:t xml:space="preserve"> and therefore are not </w:t>
      </w:r>
      <w:r w:rsidRPr="00E639A0">
        <w:rPr>
          <w:sz w:val="24"/>
          <w:szCs w:val="24"/>
        </w:rPr>
        <w:t xml:space="preserve">included in the main economic assessment. These </w:t>
      </w:r>
      <w:r w:rsidR="00075847" w:rsidRPr="00E639A0">
        <w:rPr>
          <w:sz w:val="24"/>
          <w:szCs w:val="24"/>
        </w:rPr>
        <w:t>illustrative costs should be conside</w:t>
      </w:r>
      <w:r w:rsidR="002B79DC" w:rsidRPr="00E639A0">
        <w:rPr>
          <w:sz w:val="24"/>
          <w:szCs w:val="24"/>
        </w:rPr>
        <w:t xml:space="preserve">red alongside </w:t>
      </w:r>
      <w:r w:rsidRPr="00E639A0">
        <w:rPr>
          <w:sz w:val="24"/>
          <w:szCs w:val="24"/>
        </w:rPr>
        <w:t xml:space="preserve">monetised costs and benefits included in the </w:t>
      </w:r>
      <w:r w:rsidR="00754375" w:rsidRPr="00E639A0">
        <w:rPr>
          <w:sz w:val="24"/>
          <w:szCs w:val="24"/>
        </w:rPr>
        <w:t xml:space="preserve">main </w:t>
      </w:r>
      <w:r w:rsidRPr="00E639A0">
        <w:rPr>
          <w:sz w:val="24"/>
          <w:szCs w:val="24"/>
        </w:rPr>
        <w:t>NPV</w:t>
      </w:r>
      <w:r w:rsidR="00914BDE" w:rsidRPr="00E639A0">
        <w:rPr>
          <w:sz w:val="24"/>
          <w:szCs w:val="24"/>
        </w:rPr>
        <w:t xml:space="preserve"> assessment. Illustrative costs are </w:t>
      </w:r>
      <w:r w:rsidR="00DE0DAE" w:rsidRPr="00E639A0">
        <w:rPr>
          <w:sz w:val="24"/>
          <w:szCs w:val="24"/>
        </w:rPr>
        <w:t>based on scenarios outlined in Annex A</w:t>
      </w:r>
      <w:r w:rsidRPr="00E639A0">
        <w:rPr>
          <w:sz w:val="24"/>
          <w:szCs w:val="24"/>
        </w:rPr>
        <w:t>.</w:t>
      </w:r>
    </w:p>
    <w:p w14:paraId="13FDD9D3" w14:textId="77777777" w:rsidR="00E30F16" w:rsidRPr="00E639A0" w:rsidRDefault="00E30F16" w:rsidP="00020B04">
      <w:pPr>
        <w:pStyle w:val="BodyText1"/>
        <w:rPr>
          <w:sz w:val="24"/>
          <w:szCs w:val="24"/>
        </w:rPr>
      </w:pPr>
    </w:p>
    <w:p w14:paraId="35D4056C" w14:textId="38207715" w:rsidR="00D12535" w:rsidRPr="00E639A0" w:rsidRDefault="00914BDE" w:rsidP="00020B04">
      <w:pPr>
        <w:pStyle w:val="BodyText1"/>
        <w:rPr>
          <w:sz w:val="24"/>
          <w:szCs w:val="24"/>
        </w:rPr>
      </w:pPr>
      <w:r w:rsidRPr="00E639A0">
        <w:rPr>
          <w:sz w:val="24"/>
          <w:szCs w:val="24"/>
        </w:rPr>
        <w:t>These i</w:t>
      </w:r>
      <w:r w:rsidR="00D12535" w:rsidRPr="00E639A0">
        <w:rPr>
          <w:sz w:val="24"/>
          <w:szCs w:val="24"/>
        </w:rPr>
        <w:t>llustrative costs</w:t>
      </w:r>
      <w:r w:rsidR="00A412BB" w:rsidRPr="00E639A0">
        <w:rPr>
          <w:sz w:val="24"/>
          <w:szCs w:val="24"/>
        </w:rPr>
        <w:t xml:space="preserve"> and </w:t>
      </w:r>
      <w:r w:rsidR="000E19A1" w:rsidRPr="00E639A0">
        <w:rPr>
          <w:sz w:val="24"/>
          <w:szCs w:val="24"/>
        </w:rPr>
        <w:t xml:space="preserve">their relation to scenarios </w:t>
      </w:r>
      <w:r w:rsidR="00D12535" w:rsidRPr="00E639A0">
        <w:rPr>
          <w:sz w:val="24"/>
          <w:szCs w:val="24"/>
        </w:rPr>
        <w:t xml:space="preserve">are summarised in table </w:t>
      </w:r>
      <w:r w:rsidR="00325494" w:rsidRPr="00E639A0">
        <w:rPr>
          <w:sz w:val="24"/>
          <w:szCs w:val="24"/>
        </w:rPr>
        <w:t>9</w:t>
      </w:r>
      <w:r w:rsidR="000E19A1" w:rsidRPr="00E639A0">
        <w:rPr>
          <w:sz w:val="24"/>
          <w:szCs w:val="24"/>
        </w:rPr>
        <w:t>.</w:t>
      </w:r>
      <w:r w:rsidR="00BF218D" w:rsidRPr="00E639A0">
        <w:rPr>
          <w:sz w:val="24"/>
          <w:szCs w:val="24"/>
        </w:rPr>
        <w:t xml:space="preserve"> </w:t>
      </w:r>
      <w:r w:rsidR="004801CB" w:rsidRPr="00E639A0">
        <w:rPr>
          <w:sz w:val="24"/>
          <w:szCs w:val="24"/>
        </w:rPr>
        <w:t>For our best estimate</w:t>
      </w:r>
      <w:r w:rsidR="006B07B5" w:rsidRPr="00E639A0">
        <w:rPr>
          <w:sz w:val="24"/>
          <w:szCs w:val="24"/>
        </w:rPr>
        <w:t xml:space="preserve"> we assume 50% of businesses fall under Scenario 1 and 50% fall under Scenario 2. The low estimates assume all businesses fall under Scenario 1 and high estimates assume all businesses fall under Scenario 2.</w:t>
      </w:r>
    </w:p>
    <w:p w14:paraId="5A54482F" w14:textId="77777777" w:rsidR="007D0EB8" w:rsidRPr="00E639A0" w:rsidRDefault="007D0EB8" w:rsidP="004A6E7B">
      <w:pPr>
        <w:jc w:val="both"/>
        <w:rPr>
          <w:rFonts w:cs="Arial"/>
          <w:b/>
          <w:bCs/>
          <w:u w:val="single"/>
        </w:rPr>
      </w:pPr>
    </w:p>
    <w:p w14:paraId="372E3D4A" w14:textId="7B73EC97" w:rsidR="008F7786" w:rsidRPr="00E639A0" w:rsidRDefault="008F7786" w:rsidP="002013B9">
      <w:pPr>
        <w:pStyle w:val="Heading4"/>
        <w:rPr>
          <w:sz w:val="24"/>
          <w:szCs w:val="24"/>
        </w:rPr>
      </w:pPr>
      <w:r w:rsidRPr="00E639A0">
        <w:rPr>
          <w:sz w:val="24"/>
          <w:szCs w:val="24"/>
        </w:rPr>
        <w:t>Table</w:t>
      </w:r>
      <w:r w:rsidR="00325494" w:rsidRPr="00E639A0">
        <w:rPr>
          <w:sz w:val="24"/>
          <w:szCs w:val="24"/>
        </w:rPr>
        <w:t xml:space="preserve"> 9</w:t>
      </w:r>
      <w:r w:rsidRPr="00E639A0">
        <w:rPr>
          <w:sz w:val="24"/>
          <w:szCs w:val="24"/>
        </w:rPr>
        <w:t xml:space="preserve"> – Summary illustrative costs </w:t>
      </w:r>
      <w:r w:rsidR="00790384" w:rsidRPr="00E639A0">
        <w:rPr>
          <w:sz w:val="24"/>
          <w:szCs w:val="24"/>
        </w:rPr>
        <w:t xml:space="preserve">and benefits </w:t>
      </w:r>
      <w:r w:rsidRPr="00E639A0">
        <w:rPr>
          <w:sz w:val="24"/>
          <w:szCs w:val="24"/>
        </w:rPr>
        <w:t>(in addition to monetised costs and benefits outlined in main IA)</w:t>
      </w:r>
    </w:p>
    <w:p w14:paraId="03F210A9" w14:textId="77777777" w:rsidR="008F7786" w:rsidRPr="00E639A0" w:rsidRDefault="008F7786" w:rsidP="008F7786">
      <w:pPr>
        <w:ind w:left="360"/>
        <w:rPr>
          <w:rFonts w:cs="Arial"/>
          <w:b/>
          <w:bCs/>
          <w:u w:val="single"/>
          <w:lang w:eastAsia="en-GB"/>
        </w:rPr>
      </w:pPr>
    </w:p>
    <w:tbl>
      <w:tblPr>
        <w:tblW w:w="8070" w:type="dxa"/>
        <w:jc w:val="center"/>
        <w:tblLayout w:type="fixed"/>
        <w:tblLook w:val="04A0" w:firstRow="1" w:lastRow="0" w:firstColumn="1" w:lastColumn="0" w:noHBand="0" w:noVBand="1"/>
      </w:tblPr>
      <w:tblGrid>
        <w:gridCol w:w="2690"/>
        <w:gridCol w:w="2690"/>
        <w:gridCol w:w="2690"/>
      </w:tblGrid>
      <w:tr w:rsidR="008F7786" w:rsidRPr="00E639A0" w14:paraId="5AA7475B" w14:textId="77777777">
        <w:trPr>
          <w:trHeight w:val="300"/>
          <w:jc w:val="center"/>
        </w:trPr>
        <w:tc>
          <w:tcPr>
            <w:tcW w:w="807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75CF86" w14:textId="77777777" w:rsidR="008F7786" w:rsidRPr="00E639A0" w:rsidRDefault="008F7786">
            <w:pPr>
              <w:jc w:val="center"/>
              <w:rPr>
                <w:rFonts w:cs="Arial"/>
                <w:b/>
                <w:bCs/>
                <w:color w:val="000000"/>
                <w:lang w:eastAsia="en-GB"/>
              </w:rPr>
            </w:pPr>
            <w:r w:rsidRPr="00E639A0">
              <w:rPr>
                <w:rFonts w:cs="Arial"/>
                <w:b/>
                <w:bCs/>
                <w:color w:val="000000"/>
                <w:lang w:eastAsia="en-GB"/>
              </w:rPr>
              <w:t xml:space="preserve">Scenario Description </w:t>
            </w:r>
          </w:p>
        </w:tc>
      </w:tr>
      <w:tr w:rsidR="008F7786" w:rsidRPr="00E639A0" w14:paraId="5FAC089F" w14:textId="77777777">
        <w:trPr>
          <w:trHeight w:val="300"/>
          <w:jc w:val="center"/>
        </w:trPr>
        <w:tc>
          <w:tcPr>
            <w:tcW w:w="2690" w:type="dxa"/>
            <w:tcBorders>
              <w:top w:val="single" w:sz="4" w:space="0" w:color="auto"/>
              <w:left w:val="single" w:sz="4" w:space="0" w:color="auto"/>
              <w:bottom w:val="single" w:sz="4" w:space="0" w:color="auto"/>
              <w:right w:val="single" w:sz="4" w:space="0" w:color="auto"/>
            </w:tcBorders>
            <w:hideMark/>
          </w:tcPr>
          <w:p w14:paraId="5E695BAD" w14:textId="77777777" w:rsidR="008F7786" w:rsidRPr="00E639A0" w:rsidRDefault="008F7786">
            <w:pPr>
              <w:jc w:val="center"/>
              <w:rPr>
                <w:rFonts w:cs="Arial"/>
                <w:color w:val="000000"/>
                <w:lang w:eastAsia="en-GB"/>
              </w:rPr>
            </w:pPr>
            <w:r w:rsidRPr="00E639A0">
              <w:rPr>
                <w:rFonts w:cs="Arial"/>
                <w:color w:val="000000"/>
                <w:lang w:eastAsia="en-GB"/>
              </w:rPr>
              <w:t> </w:t>
            </w:r>
          </w:p>
        </w:tc>
        <w:tc>
          <w:tcPr>
            <w:tcW w:w="2690" w:type="dxa"/>
            <w:tcBorders>
              <w:top w:val="single" w:sz="4" w:space="0" w:color="auto"/>
              <w:left w:val="nil"/>
              <w:bottom w:val="single" w:sz="4" w:space="0" w:color="auto"/>
              <w:right w:val="single" w:sz="4" w:space="0" w:color="auto"/>
            </w:tcBorders>
            <w:noWrap/>
            <w:vAlign w:val="bottom"/>
            <w:hideMark/>
          </w:tcPr>
          <w:p w14:paraId="0AEEF217" w14:textId="77777777" w:rsidR="008F7786" w:rsidRPr="00E639A0" w:rsidRDefault="008F7786">
            <w:pPr>
              <w:jc w:val="center"/>
              <w:rPr>
                <w:rFonts w:cs="Arial"/>
                <w:b/>
                <w:bCs/>
                <w:color w:val="000000"/>
                <w:lang w:eastAsia="en-GB"/>
              </w:rPr>
            </w:pPr>
            <w:r w:rsidRPr="00E639A0">
              <w:rPr>
                <w:rFonts w:cs="Arial"/>
                <w:b/>
                <w:bCs/>
                <w:color w:val="000000"/>
                <w:lang w:eastAsia="en-GB"/>
              </w:rPr>
              <w:t xml:space="preserve">Scenario 1: Substitution </w:t>
            </w:r>
          </w:p>
        </w:tc>
        <w:tc>
          <w:tcPr>
            <w:tcW w:w="2690" w:type="dxa"/>
            <w:tcBorders>
              <w:top w:val="single" w:sz="4" w:space="0" w:color="auto"/>
              <w:left w:val="nil"/>
              <w:bottom w:val="single" w:sz="4" w:space="0" w:color="auto"/>
              <w:right w:val="single" w:sz="4" w:space="0" w:color="auto"/>
            </w:tcBorders>
            <w:noWrap/>
            <w:vAlign w:val="bottom"/>
            <w:hideMark/>
          </w:tcPr>
          <w:p w14:paraId="0BCA0199" w14:textId="77777777" w:rsidR="008F7786" w:rsidRPr="00E639A0" w:rsidRDefault="008F7786">
            <w:pPr>
              <w:jc w:val="center"/>
              <w:rPr>
                <w:rFonts w:cs="Arial"/>
                <w:b/>
                <w:bCs/>
                <w:color w:val="000000"/>
                <w:lang w:eastAsia="en-GB"/>
              </w:rPr>
            </w:pPr>
            <w:r w:rsidRPr="00E639A0">
              <w:rPr>
                <w:rFonts w:cs="Arial"/>
                <w:b/>
                <w:bCs/>
                <w:color w:val="000000"/>
                <w:lang w:eastAsia="en-GB"/>
              </w:rPr>
              <w:t xml:space="preserve">Scenario 2: Cost – offset </w:t>
            </w:r>
          </w:p>
        </w:tc>
      </w:tr>
      <w:tr w:rsidR="008F7786" w:rsidRPr="00E639A0" w14:paraId="10E9C8E8" w14:textId="77777777">
        <w:trPr>
          <w:trHeight w:val="1572"/>
          <w:jc w:val="center"/>
        </w:trPr>
        <w:tc>
          <w:tcPr>
            <w:tcW w:w="2690" w:type="dxa"/>
            <w:tcBorders>
              <w:top w:val="nil"/>
              <w:left w:val="single" w:sz="4" w:space="0" w:color="auto"/>
              <w:bottom w:val="single" w:sz="4" w:space="0" w:color="auto"/>
              <w:right w:val="single" w:sz="4" w:space="0" w:color="auto"/>
            </w:tcBorders>
            <w:vAlign w:val="center"/>
            <w:hideMark/>
          </w:tcPr>
          <w:p w14:paraId="65D3A4E2" w14:textId="77777777" w:rsidR="008F7786" w:rsidRPr="00E639A0" w:rsidRDefault="008F7786">
            <w:pPr>
              <w:jc w:val="center"/>
              <w:rPr>
                <w:rFonts w:cs="Arial"/>
                <w:b/>
                <w:bCs/>
                <w:color w:val="000000"/>
                <w:lang w:eastAsia="en-GB"/>
              </w:rPr>
            </w:pPr>
            <w:r w:rsidRPr="00E639A0">
              <w:rPr>
                <w:rFonts w:cs="Arial"/>
                <w:b/>
                <w:bCs/>
                <w:color w:val="000000"/>
                <w:lang w:eastAsia="en-GB"/>
              </w:rPr>
              <w:t>Counterfactual:</w:t>
            </w:r>
          </w:p>
          <w:p w14:paraId="03696C3D" w14:textId="77777777" w:rsidR="008F7786" w:rsidRPr="00E639A0" w:rsidRDefault="008F7786">
            <w:pPr>
              <w:jc w:val="center"/>
              <w:rPr>
                <w:rFonts w:cs="Arial"/>
                <w:b/>
                <w:bCs/>
                <w:color w:val="000000"/>
                <w:lang w:eastAsia="en-GB"/>
              </w:rPr>
            </w:pPr>
            <w:r w:rsidRPr="00E639A0">
              <w:rPr>
                <w:rFonts w:cs="Arial"/>
                <w:b/>
                <w:bCs/>
                <w:color w:val="000000"/>
                <w:lang w:eastAsia="en-GB"/>
              </w:rPr>
              <w:t>Without enhanced redundancy protection (Before)</w:t>
            </w:r>
          </w:p>
        </w:tc>
        <w:tc>
          <w:tcPr>
            <w:tcW w:w="2690" w:type="dxa"/>
            <w:tcBorders>
              <w:top w:val="nil"/>
              <w:left w:val="nil"/>
              <w:bottom w:val="single" w:sz="4" w:space="0" w:color="auto"/>
              <w:right w:val="single" w:sz="4" w:space="0" w:color="auto"/>
            </w:tcBorders>
          </w:tcPr>
          <w:p w14:paraId="7E6A167B" w14:textId="77777777" w:rsidR="008F7786" w:rsidRPr="00E639A0" w:rsidRDefault="008F7786">
            <w:pPr>
              <w:jc w:val="center"/>
              <w:rPr>
                <w:rFonts w:cs="Arial"/>
                <w:color w:val="000000"/>
                <w:lang w:eastAsia="en-GB"/>
              </w:rPr>
            </w:pPr>
          </w:p>
          <w:p w14:paraId="46ED60F9" w14:textId="77777777" w:rsidR="008F7786" w:rsidRPr="00E639A0" w:rsidRDefault="008F7786">
            <w:pPr>
              <w:jc w:val="center"/>
              <w:rPr>
                <w:rFonts w:cs="Arial"/>
                <w:color w:val="000000"/>
                <w:lang w:eastAsia="en-GB"/>
              </w:rPr>
            </w:pPr>
          </w:p>
          <w:p w14:paraId="1BAE06B4" w14:textId="77777777" w:rsidR="008F7786" w:rsidRPr="00E639A0" w:rsidRDefault="008F7786">
            <w:pPr>
              <w:jc w:val="center"/>
              <w:rPr>
                <w:rFonts w:cs="Arial"/>
                <w:color w:val="000000"/>
                <w:lang w:eastAsia="en-GB"/>
              </w:rPr>
            </w:pPr>
            <w:r w:rsidRPr="00E639A0">
              <w:rPr>
                <w:rFonts w:cs="Arial"/>
                <w:color w:val="000000"/>
                <w:lang w:eastAsia="en-GB"/>
              </w:rPr>
              <w:t>Parent is made redundant</w:t>
            </w:r>
          </w:p>
        </w:tc>
        <w:tc>
          <w:tcPr>
            <w:tcW w:w="2690" w:type="dxa"/>
            <w:tcBorders>
              <w:top w:val="nil"/>
              <w:left w:val="nil"/>
              <w:bottom w:val="single" w:sz="4" w:space="0" w:color="auto"/>
              <w:right w:val="single" w:sz="4" w:space="0" w:color="auto"/>
            </w:tcBorders>
          </w:tcPr>
          <w:p w14:paraId="7E43DD7C" w14:textId="77777777" w:rsidR="008F7786" w:rsidRPr="00E639A0" w:rsidRDefault="008F7786">
            <w:pPr>
              <w:jc w:val="center"/>
              <w:rPr>
                <w:rFonts w:cs="Arial"/>
                <w:color w:val="000000"/>
                <w:lang w:eastAsia="en-GB"/>
              </w:rPr>
            </w:pPr>
          </w:p>
          <w:p w14:paraId="0C94E3CC" w14:textId="77777777" w:rsidR="008F7786" w:rsidRPr="00E639A0" w:rsidRDefault="008F7786">
            <w:pPr>
              <w:jc w:val="center"/>
              <w:rPr>
                <w:rFonts w:cs="Arial"/>
                <w:color w:val="000000"/>
                <w:lang w:eastAsia="en-GB"/>
              </w:rPr>
            </w:pPr>
          </w:p>
          <w:p w14:paraId="46F3C56D" w14:textId="77777777" w:rsidR="008F7786" w:rsidRPr="00E639A0" w:rsidRDefault="008F7786">
            <w:pPr>
              <w:jc w:val="center"/>
              <w:rPr>
                <w:rFonts w:cs="Arial"/>
                <w:color w:val="000000"/>
                <w:lang w:eastAsia="en-GB"/>
              </w:rPr>
            </w:pPr>
            <w:r w:rsidRPr="00E639A0">
              <w:rPr>
                <w:rFonts w:cs="Arial"/>
                <w:color w:val="000000"/>
                <w:lang w:eastAsia="en-GB"/>
              </w:rPr>
              <w:t>Parent is made redundant</w:t>
            </w:r>
          </w:p>
        </w:tc>
      </w:tr>
      <w:tr w:rsidR="008F7786" w:rsidRPr="00E639A0" w14:paraId="53F3450B" w14:textId="77777777">
        <w:trPr>
          <w:trHeight w:val="1489"/>
          <w:jc w:val="center"/>
        </w:trPr>
        <w:tc>
          <w:tcPr>
            <w:tcW w:w="2690" w:type="dxa"/>
            <w:tcBorders>
              <w:top w:val="nil"/>
              <w:left w:val="single" w:sz="4" w:space="0" w:color="auto"/>
              <w:bottom w:val="single" w:sz="4" w:space="0" w:color="auto"/>
              <w:right w:val="single" w:sz="4" w:space="0" w:color="auto"/>
            </w:tcBorders>
            <w:vAlign w:val="center"/>
            <w:hideMark/>
          </w:tcPr>
          <w:p w14:paraId="73CD2BBE" w14:textId="77777777" w:rsidR="008F7786" w:rsidRPr="00E639A0" w:rsidRDefault="008F7786">
            <w:pPr>
              <w:jc w:val="center"/>
              <w:rPr>
                <w:rFonts w:cs="Arial"/>
                <w:b/>
                <w:bCs/>
                <w:color w:val="000000"/>
                <w:lang w:eastAsia="en-GB"/>
              </w:rPr>
            </w:pPr>
            <w:r w:rsidRPr="00E639A0">
              <w:rPr>
                <w:rFonts w:cs="Arial"/>
                <w:b/>
                <w:bCs/>
                <w:color w:val="000000"/>
                <w:lang w:eastAsia="en-GB"/>
              </w:rPr>
              <w:t xml:space="preserve">Factual: </w:t>
            </w:r>
          </w:p>
          <w:p w14:paraId="21141275" w14:textId="77777777" w:rsidR="008F7786" w:rsidRPr="00E639A0" w:rsidRDefault="008F7786">
            <w:pPr>
              <w:jc w:val="center"/>
              <w:rPr>
                <w:rFonts w:cs="Arial"/>
                <w:b/>
                <w:bCs/>
                <w:color w:val="000000"/>
                <w:lang w:eastAsia="en-GB"/>
              </w:rPr>
            </w:pPr>
            <w:r w:rsidRPr="00E639A0">
              <w:rPr>
                <w:rFonts w:cs="Arial"/>
                <w:b/>
                <w:bCs/>
                <w:color w:val="000000"/>
                <w:lang w:eastAsia="en-GB"/>
              </w:rPr>
              <w:t>With enhanced redundancy protection (After)</w:t>
            </w:r>
          </w:p>
        </w:tc>
        <w:tc>
          <w:tcPr>
            <w:tcW w:w="2690" w:type="dxa"/>
            <w:tcBorders>
              <w:top w:val="nil"/>
              <w:left w:val="nil"/>
              <w:bottom w:val="single" w:sz="4" w:space="0" w:color="auto"/>
              <w:right w:val="single" w:sz="4" w:space="0" w:color="auto"/>
            </w:tcBorders>
            <w:hideMark/>
          </w:tcPr>
          <w:p w14:paraId="1A14E4DA" w14:textId="77777777" w:rsidR="008F7786" w:rsidRPr="00E639A0" w:rsidRDefault="008F7786">
            <w:pPr>
              <w:jc w:val="center"/>
              <w:rPr>
                <w:rFonts w:cs="Arial"/>
                <w:color w:val="000000"/>
                <w:lang w:eastAsia="en-GB"/>
              </w:rPr>
            </w:pPr>
            <w:r w:rsidRPr="00E639A0">
              <w:rPr>
                <w:rFonts w:cs="Arial"/>
                <w:color w:val="000000"/>
                <w:lang w:eastAsia="en-GB"/>
              </w:rPr>
              <w:t xml:space="preserve">Parent is kept on </w:t>
            </w:r>
            <w:r w:rsidRPr="00E639A0">
              <w:rPr>
                <w:rFonts w:cs="Arial"/>
                <w:color w:val="000000"/>
                <w:lang w:eastAsia="en-GB"/>
              </w:rPr>
              <w:br/>
              <w:t>AND</w:t>
            </w:r>
            <w:r w:rsidRPr="00E639A0">
              <w:rPr>
                <w:rFonts w:cs="Arial"/>
                <w:color w:val="000000"/>
                <w:lang w:eastAsia="en-GB"/>
              </w:rPr>
              <w:br/>
              <w:t>Another member of staff is made redundant instead</w:t>
            </w:r>
          </w:p>
        </w:tc>
        <w:tc>
          <w:tcPr>
            <w:tcW w:w="2690" w:type="dxa"/>
            <w:tcBorders>
              <w:top w:val="nil"/>
              <w:left w:val="nil"/>
              <w:bottom w:val="single" w:sz="4" w:space="0" w:color="auto"/>
              <w:right w:val="single" w:sz="4" w:space="0" w:color="auto"/>
            </w:tcBorders>
            <w:hideMark/>
          </w:tcPr>
          <w:p w14:paraId="2E9C4A93" w14:textId="77777777" w:rsidR="008F7786" w:rsidRPr="00E639A0" w:rsidRDefault="008F7786">
            <w:pPr>
              <w:jc w:val="center"/>
              <w:rPr>
                <w:rFonts w:cs="Arial"/>
                <w:color w:val="000000"/>
                <w:lang w:eastAsia="en-GB"/>
              </w:rPr>
            </w:pPr>
            <w:r w:rsidRPr="00E639A0">
              <w:rPr>
                <w:rFonts w:cs="Arial"/>
                <w:color w:val="000000"/>
                <w:lang w:eastAsia="en-GB"/>
              </w:rPr>
              <w:t>Parent is kept on</w:t>
            </w:r>
          </w:p>
          <w:p w14:paraId="3CE5B8E7" w14:textId="77777777" w:rsidR="008F7786" w:rsidRPr="00E639A0" w:rsidRDefault="008F7786">
            <w:pPr>
              <w:jc w:val="center"/>
              <w:rPr>
                <w:rFonts w:cs="Arial"/>
                <w:color w:val="000000"/>
                <w:lang w:eastAsia="en-GB"/>
              </w:rPr>
            </w:pPr>
            <w:r w:rsidRPr="00E639A0">
              <w:rPr>
                <w:rFonts w:cs="Arial"/>
                <w:color w:val="000000"/>
                <w:lang w:eastAsia="en-GB"/>
              </w:rPr>
              <w:t>(costs are absorbed)</w:t>
            </w:r>
          </w:p>
        </w:tc>
      </w:tr>
      <w:tr w:rsidR="008F7786" w:rsidRPr="00E639A0" w14:paraId="14293FD5" w14:textId="77777777">
        <w:trPr>
          <w:trHeight w:val="300"/>
          <w:jc w:val="center"/>
        </w:trPr>
        <w:tc>
          <w:tcPr>
            <w:tcW w:w="8070" w:type="dxa"/>
            <w:gridSpan w:val="3"/>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6AC89A5" w14:textId="77777777" w:rsidR="008F7786" w:rsidRPr="00E639A0" w:rsidRDefault="008F7786">
            <w:pPr>
              <w:jc w:val="center"/>
              <w:rPr>
                <w:rFonts w:cs="Arial"/>
                <w:color w:val="000000"/>
                <w:lang w:eastAsia="en-GB"/>
              </w:rPr>
            </w:pPr>
          </w:p>
        </w:tc>
      </w:tr>
      <w:tr w:rsidR="008F7786" w:rsidRPr="00E639A0" w14:paraId="64772C50" w14:textId="77777777">
        <w:trPr>
          <w:trHeight w:val="300"/>
          <w:jc w:val="center"/>
        </w:trPr>
        <w:tc>
          <w:tcPr>
            <w:tcW w:w="8070" w:type="dxa"/>
            <w:gridSpan w:val="3"/>
            <w:tcBorders>
              <w:top w:val="single" w:sz="4" w:space="0" w:color="auto"/>
              <w:left w:val="single" w:sz="4" w:space="0" w:color="auto"/>
              <w:bottom w:val="single" w:sz="4" w:space="0" w:color="auto"/>
              <w:right w:val="single" w:sz="4" w:space="0" w:color="auto"/>
            </w:tcBorders>
            <w:hideMark/>
          </w:tcPr>
          <w:p w14:paraId="0D828D66" w14:textId="77777777" w:rsidR="008F7786" w:rsidRPr="00E639A0" w:rsidRDefault="008F7786">
            <w:pPr>
              <w:jc w:val="center"/>
              <w:rPr>
                <w:rFonts w:cs="Arial"/>
                <w:b/>
                <w:bCs/>
                <w:color w:val="000000"/>
                <w:lang w:eastAsia="en-GB"/>
              </w:rPr>
            </w:pPr>
            <w:r w:rsidRPr="00E639A0">
              <w:rPr>
                <w:rFonts w:cs="Arial"/>
                <w:b/>
                <w:bCs/>
                <w:color w:val="000000"/>
                <w:lang w:eastAsia="en-GB"/>
              </w:rPr>
              <w:t>Costs</w:t>
            </w:r>
          </w:p>
        </w:tc>
      </w:tr>
      <w:tr w:rsidR="008F7786" w:rsidRPr="00E639A0" w14:paraId="21E94058" w14:textId="77777777">
        <w:trPr>
          <w:trHeight w:val="1545"/>
          <w:jc w:val="center"/>
        </w:trPr>
        <w:tc>
          <w:tcPr>
            <w:tcW w:w="2690" w:type="dxa"/>
            <w:tcBorders>
              <w:top w:val="single" w:sz="4" w:space="0" w:color="auto"/>
              <w:left w:val="single" w:sz="4" w:space="0" w:color="auto"/>
              <w:bottom w:val="single" w:sz="4" w:space="0" w:color="auto"/>
              <w:right w:val="single" w:sz="4" w:space="0" w:color="auto"/>
            </w:tcBorders>
            <w:vAlign w:val="center"/>
            <w:hideMark/>
          </w:tcPr>
          <w:p w14:paraId="4AEBE3FC" w14:textId="77777777" w:rsidR="008F7786" w:rsidRPr="00E639A0" w:rsidRDefault="008F7786" w:rsidP="0099252F">
            <w:pPr>
              <w:jc w:val="center"/>
              <w:rPr>
                <w:rFonts w:cs="Arial"/>
                <w:b/>
                <w:bCs/>
                <w:color w:val="000000"/>
                <w:lang w:eastAsia="en-GB"/>
              </w:rPr>
            </w:pPr>
            <w:r w:rsidRPr="00E639A0">
              <w:rPr>
                <w:rFonts w:cs="Arial"/>
                <w:b/>
                <w:bCs/>
                <w:color w:val="000000"/>
              </w:rPr>
              <w:t>Recurring business costs</w:t>
            </w:r>
          </w:p>
        </w:tc>
        <w:tc>
          <w:tcPr>
            <w:tcW w:w="2690" w:type="dxa"/>
            <w:tcBorders>
              <w:top w:val="single" w:sz="4" w:space="0" w:color="auto"/>
              <w:left w:val="single" w:sz="4" w:space="0" w:color="auto"/>
              <w:bottom w:val="single" w:sz="4" w:space="0" w:color="auto"/>
              <w:right w:val="single" w:sz="4" w:space="0" w:color="auto"/>
            </w:tcBorders>
            <w:vAlign w:val="center"/>
            <w:hideMark/>
          </w:tcPr>
          <w:p w14:paraId="56961C1A" w14:textId="2941086E" w:rsidR="008F7786" w:rsidRPr="00E639A0" w:rsidRDefault="008F7786" w:rsidP="0099252F">
            <w:pPr>
              <w:jc w:val="center"/>
              <w:rPr>
                <w:rFonts w:cs="Arial"/>
                <w:color w:val="000000"/>
                <w:lang w:eastAsia="en-GB"/>
              </w:rPr>
            </w:pPr>
          </w:p>
        </w:tc>
        <w:tc>
          <w:tcPr>
            <w:tcW w:w="2690" w:type="dxa"/>
            <w:tcBorders>
              <w:top w:val="single" w:sz="4" w:space="0" w:color="auto"/>
              <w:left w:val="single" w:sz="4" w:space="0" w:color="auto"/>
              <w:bottom w:val="single" w:sz="4" w:space="0" w:color="auto"/>
              <w:right w:val="single" w:sz="4" w:space="0" w:color="auto"/>
            </w:tcBorders>
            <w:vAlign w:val="center"/>
            <w:hideMark/>
          </w:tcPr>
          <w:p w14:paraId="57C0FE51" w14:textId="77777777" w:rsidR="008F7786" w:rsidRPr="00E639A0" w:rsidRDefault="008F7786" w:rsidP="0099252F">
            <w:pPr>
              <w:jc w:val="center"/>
              <w:rPr>
                <w:rFonts w:cs="Arial"/>
                <w:color w:val="000000"/>
                <w:lang w:eastAsia="en-GB"/>
              </w:rPr>
            </w:pPr>
            <w:r w:rsidRPr="00E639A0">
              <w:rPr>
                <w:rFonts w:cs="Arial"/>
                <w:color w:val="000000"/>
                <w:lang w:eastAsia="en-GB"/>
              </w:rPr>
              <w:t>Labour costs of keeping the parent for the period of protection (pregnant and returning parents)</w:t>
            </w:r>
          </w:p>
        </w:tc>
      </w:tr>
      <w:tr w:rsidR="008F7786" w:rsidRPr="00E639A0" w14:paraId="646C93DC" w14:textId="77777777">
        <w:trPr>
          <w:trHeight w:val="349"/>
          <w:jc w:val="center"/>
        </w:trPr>
        <w:tc>
          <w:tcPr>
            <w:tcW w:w="8070" w:type="dxa"/>
            <w:gridSpan w:val="3"/>
            <w:tcBorders>
              <w:top w:val="single" w:sz="4" w:space="0" w:color="auto"/>
              <w:left w:val="single" w:sz="4" w:space="0" w:color="auto"/>
              <w:bottom w:val="single" w:sz="4" w:space="0" w:color="auto"/>
              <w:right w:val="single" w:sz="4" w:space="0" w:color="auto"/>
            </w:tcBorders>
            <w:vAlign w:val="center"/>
            <w:hideMark/>
          </w:tcPr>
          <w:p w14:paraId="0458F99C" w14:textId="3EED363C" w:rsidR="008F7786" w:rsidRPr="00E639A0" w:rsidRDefault="008F7786" w:rsidP="0099252F">
            <w:pPr>
              <w:jc w:val="center"/>
              <w:rPr>
                <w:rFonts w:cs="Arial"/>
                <w:color w:val="000000"/>
                <w:lang w:eastAsia="en-GB"/>
              </w:rPr>
            </w:pPr>
            <w:r w:rsidRPr="00E639A0">
              <w:rPr>
                <w:rFonts w:cs="Arial"/>
                <w:b/>
                <w:bCs/>
                <w:color w:val="000000"/>
                <w:lang w:eastAsia="en-GB"/>
              </w:rPr>
              <w:t>Benefits</w:t>
            </w:r>
          </w:p>
        </w:tc>
      </w:tr>
      <w:tr w:rsidR="008F7786" w:rsidRPr="00E639A0" w14:paraId="43B6DE90" w14:textId="77777777">
        <w:trPr>
          <w:trHeight w:val="1380"/>
          <w:jc w:val="center"/>
        </w:trPr>
        <w:tc>
          <w:tcPr>
            <w:tcW w:w="2690" w:type="dxa"/>
            <w:vMerge w:val="restart"/>
            <w:tcBorders>
              <w:top w:val="single" w:sz="4" w:space="0" w:color="auto"/>
              <w:left w:val="single" w:sz="4" w:space="0" w:color="auto"/>
              <w:bottom w:val="single" w:sz="4" w:space="0" w:color="auto"/>
              <w:right w:val="single" w:sz="4" w:space="0" w:color="auto"/>
            </w:tcBorders>
            <w:vAlign w:val="center"/>
            <w:hideMark/>
          </w:tcPr>
          <w:p w14:paraId="347155FC" w14:textId="77777777" w:rsidR="008F7786" w:rsidRPr="00E639A0" w:rsidRDefault="008F7786" w:rsidP="0099252F">
            <w:pPr>
              <w:jc w:val="center"/>
              <w:rPr>
                <w:rFonts w:cs="Arial"/>
                <w:b/>
                <w:bCs/>
                <w:color w:val="000000"/>
                <w:lang w:eastAsia="en-GB"/>
              </w:rPr>
            </w:pPr>
            <w:r w:rsidRPr="00E639A0">
              <w:rPr>
                <w:rFonts w:cs="Arial"/>
                <w:b/>
                <w:bCs/>
                <w:color w:val="000000"/>
                <w:lang w:eastAsia="en-GB"/>
              </w:rPr>
              <w:t>Recurring benefits to business</w:t>
            </w:r>
          </w:p>
        </w:tc>
        <w:tc>
          <w:tcPr>
            <w:tcW w:w="269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AFC7012" w14:textId="2D466035" w:rsidR="008F7786" w:rsidRPr="00E639A0" w:rsidRDefault="008F7786" w:rsidP="0099252F">
            <w:pPr>
              <w:jc w:val="center"/>
              <w:rPr>
                <w:rFonts w:cs="Arial"/>
                <w:color w:val="000000"/>
                <w:lang w:eastAsia="en-GB"/>
              </w:rPr>
            </w:pPr>
          </w:p>
        </w:tc>
        <w:tc>
          <w:tcPr>
            <w:tcW w:w="2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646657" w14:textId="7FE5A4DF" w:rsidR="008F7786" w:rsidRPr="00E639A0" w:rsidRDefault="008F7786" w:rsidP="0099252F">
            <w:pPr>
              <w:jc w:val="center"/>
              <w:rPr>
                <w:rFonts w:cs="Arial"/>
                <w:color w:val="000000"/>
                <w:lang w:eastAsia="en-GB"/>
              </w:rPr>
            </w:pPr>
            <w:r w:rsidRPr="00E639A0">
              <w:rPr>
                <w:rFonts w:cs="Arial"/>
                <w:color w:val="000000"/>
                <w:lang w:eastAsia="en-GB"/>
              </w:rPr>
              <w:t>Benefits of not having to pay Statutory Redundancy Pay (pregnant and returning parents)</w:t>
            </w:r>
          </w:p>
        </w:tc>
      </w:tr>
      <w:tr w:rsidR="008F7786" w:rsidRPr="00E639A0" w14:paraId="14C049C9" w14:textId="77777777">
        <w:trPr>
          <w:trHeight w:val="1380"/>
          <w:jc w:val="center"/>
        </w:trPr>
        <w:tc>
          <w:tcPr>
            <w:tcW w:w="2690" w:type="dxa"/>
            <w:vMerge/>
            <w:tcBorders>
              <w:top w:val="single" w:sz="4" w:space="0" w:color="auto"/>
              <w:left w:val="single" w:sz="4" w:space="0" w:color="auto"/>
              <w:bottom w:val="single" w:sz="4" w:space="0" w:color="auto"/>
              <w:right w:val="single" w:sz="4" w:space="0" w:color="auto"/>
            </w:tcBorders>
            <w:vAlign w:val="center"/>
            <w:hideMark/>
          </w:tcPr>
          <w:p w14:paraId="598514AD" w14:textId="77777777" w:rsidR="008F7786" w:rsidRPr="00E639A0" w:rsidRDefault="008F7786" w:rsidP="0099252F">
            <w:pPr>
              <w:jc w:val="center"/>
              <w:rPr>
                <w:rFonts w:cs="Arial"/>
                <w:b/>
                <w:bCs/>
                <w:color w:val="000000"/>
                <w:lang w:eastAsia="en-GB"/>
              </w:rPr>
            </w:pPr>
          </w:p>
        </w:tc>
        <w:tc>
          <w:tcPr>
            <w:tcW w:w="269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61770CEF" w14:textId="77777777" w:rsidR="008F7786" w:rsidRPr="00E639A0" w:rsidRDefault="008F7786" w:rsidP="0099252F">
            <w:pPr>
              <w:jc w:val="center"/>
              <w:rPr>
                <w:rFonts w:cs="Arial"/>
                <w:color w:val="000000"/>
                <w:lang w:eastAsia="en-GB"/>
              </w:rPr>
            </w:pPr>
          </w:p>
        </w:tc>
        <w:tc>
          <w:tcPr>
            <w:tcW w:w="269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F380FBB" w14:textId="77777777" w:rsidR="008F7786" w:rsidRPr="00E639A0" w:rsidRDefault="008F7786" w:rsidP="0099252F">
            <w:pPr>
              <w:jc w:val="center"/>
              <w:rPr>
                <w:rFonts w:cs="Arial"/>
                <w:color w:val="000000"/>
                <w:lang w:eastAsia="en-GB"/>
              </w:rPr>
            </w:pPr>
            <w:r w:rsidRPr="00E639A0">
              <w:rPr>
                <w:rFonts w:cs="Arial"/>
                <w:color w:val="000000"/>
                <w:lang w:eastAsia="en-GB"/>
              </w:rPr>
              <w:t xml:space="preserve">Output benefit of keeping the parent for the period of protection (pregnant and returning parents) – this will presumably be lower than the cost of employing the worker. </w:t>
            </w:r>
          </w:p>
        </w:tc>
      </w:tr>
      <w:tr w:rsidR="008F7786" w:rsidRPr="00E639A0" w14:paraId="23009812" w14:textId="77777777">
        <w:trPr>
          <w:trHeight w:val="1380"/>
          <w:jc w:val="center"/>
        </w:trPr>
        <w:tc>
          <w:tcPr>
            <w:tcW w:w="2690" w:type="dxa"/>
            <w:tcBorders>
              <w:top w:val="single" w:sz="4" w:space="0" w:color="auto"/>
              <w:left w:val="single" w:sz="4" w:space="0" w:color="auto"/>
              <w:bottom w:val="single" w:sz="4" w:space="0" w:color="auto"/>
              <w:right w:val="single" w:sz="4" w:space="0" w:color="auto"/>
            </w:tcBorders>
            <w:vAlign w:val="center"/>
          </w:tcPr>
          <w:p w14:paraId="2FDB571F" w14:textId="77777777" w:rsidR="008F7786" w:rsidRPr="00E639A0" w:rsidRDefault="008F7786" w:rsidP="0099252F">
            <w:pPr>
              <w:jc w:val="center"/>
              <w:rPr>
                <w:rFonts w:cs="Arial"/>
                <w:b/>
                <w:bCs/>
                <w:color w:val="000000"/>
                <w:lang w:eastAsia="en-GB"/>
              </w:rPr>
            </w:pPr>
            <w:r w:rsidRPr="00E639A0">
              <w:rPr>
                <w:rFonts w:cs="Arial"/>
                <w:b/>
                <w:bCs/>
                <w:color w:val="000000"/>
              </w:rPr>
              <w:t>Recurring benefits to individuals</w:t>
            </w:r>
          </w:p>
        </w:tc>
        <w:tc>
          <w:tcPr>
            <w:tcW w:w="2690" w:type="dxa"/>
            <w:tcBorders>
              <w:top w:val="single" w:sz="4" w:space="0" w:color="auto"/>
              <w:left w:val="single" w:sz="4" w:space="0" w:color="auto"/>
              <w:bottom w:val="single" w:sz="4" w:space="0" w:color="auto"/>
              <w:right w:val="single" w:sz="4" w:space="0" w:color="auto"/>
            </w:tcBorders>
            <w:shd w:val="clear" w:color="auto" w:fill="auto"/>
            <w:vAlign w:val="center"/>
          </w:tcPr>
          <w:p w14:paraId="0CAA1575" w14:textId="77777777" w:rsidR="008F7786" w:rsidRPr="00E639A0" w:rsidRDefault="008F7786" w:rsidP="0099252F">
            <w:pPr>
              <w:jc w:val="center"/>
              <w:rPr>
                <w:rFonts w:cs="Arial"/>
                <w:color w:val="000000"/>
                <w:lang w:eastAsia="en-GB"/>
              </w:rPr>
            </w:pPr>
          </w:p>
        </w:tc>
        <w:tc>
          <w:tcPr>
            <w:tcW w:w="2690" w:type="dxa"/>
            <w:tcBorders>
              <w:top w:val="single" w:sz="4" w:space="0" w:color="auto"/>
              <w:left w:val="single" w:sz="4" w:space="0" w:color="auto"/>
              <w:bottom w:val="single" w:sz="4" w:space="0" w:color="auto"/>
              <w:right w:val="single" w:sz="4" w:space="0" w:color="auto"/>
            </w:tcBorders>
            <w:shd w:val="clear" w:color="auto" w:fill="auto"/>
            <w:vAlign w:val="center"/>
          </w:tcPr>
          <w:p w14:paraId="7405F122" w14:textId="77777777" w:rsidR="008F7786" w:rsidRPr="00E639A0" w:rsidRDefault="008F7786" w:rsidP="0099252F">
            <w:pPr>
              <w:jc w:val="center"/>
              <w:rPr>
                <w:rFonts w:cs="Arial"/>
                <w:color w:val="000000"/>
                <w:lang w:eastAsia="en-GB"/>
              </w:rPr>
            </w:pPr>
            <w:r w:rsidRPr="00E639A0">
              <w:rPr>
                <w:rFonts w:cs="Arial"/>
                <w:color w:val="000000"/>
                <w:lang w:eastAsia="en-GB"/>
              </w:rPr>
              <w:t>Wages less Statutory Redundancy Pay (pregnant and returning parents)</w:t>
            </w:r>
          </w:p>
        </w:tc>
      </w:tr>
    </w:tbl>
    <w:p w14:paraId="4F745421" w14:textId="77777777" w:rsidR="008F7786" w:rsidRPr="00E639A0" w:rsidRDefault="008F7786" w:rsidP="004A6E7B">
      <w:pPr>
        <w:jc w:val="both"/>
        <w:rPr>
          <w:rFonts w:cs="Arial"/>
          <w:b/>
          <w:bCs/>
          <w:u w:val="single"/>
        </w:rPr>
      </w:pPr>
    </w:p>
    <w:p w14:paraId="54FD18EA" w14:textId="77777777" w:rsidR="007332C6" w:rsidRPr="00E639A0" w:rsidRDefault="007332C6" w:rsidP="004A6E7B">
      <w:pPr>
        <w:jc w:val="both"/>
        <w:rPr>
          <w:rFonts w:cs="Arial"/>
          <w:b/>
          <w:bCs/>
          <w:u w:val="single"/>
        </w:rPr>
      </w:pPr>
    </w:p>
    <w:p w14:paraId="51B6BB51" w14:textId="0F734A7B" w:rsidR="004A6E7B" w:rsidRPr="00E639A0" w:rsidRDefault="004A6E7B" w:rsidP="004A6E7B">
      <w:pPr>
        <w:jc w:val="both"/>
        <w:rPr>
          <w:rFonts w:cs="Arial"/>
          <w:b/>
          <w:bCs/>
          <w:u w:val="single"/>
        </w:rPr>
      </w:pPr>
      <w:r w:rsidRPr="00E639A0">
        <w:rPr>
          <w:rFonts w:cs="Arial"/>
          <w:b/>
          <w:bCs/>
          <w:u w:val="single"/>
        </w:rPr>
        <w:t>Costs</w:t>
      </w:r>
    </w:p>
    <w:p w14:paraId="6A3CF69A" w14:textId="77777777" w:rsidR="004A6E7B" w:rsidRPr="00E639A0" w:rsidRDefault="004A6E7B" w:rsidP="004A6E7B">
      <w:pPr>
        <w:jc w:val="both"/>
        <w:rPr>
          <w:rFonts w:cs="Arial"/>
          <w:u w:val="single"/>
        </w:rPr>
      </w:pPr>
    </w:p>
    <w:p w14:paraId="46C9572D" w14:textId="554DE1BD" w:rsidR="004A6E7B" w:rsidRPr="00E639A0" w:rsidRDefault="004A3625" w:rsidP="004A3625">
      <w:pPr>
        <w:jc w:val="both"/>
        <w:rPr>
          <w:rFonts w:cs="Arial"/>
          <w:u w:val="single"/>
        </w:rPr>
      </w:pPr>
      <w:r w:rsidRPr="00E639A0">
        <w:rPr>
          <w:rFonts w:cs="Arial"/>
          <w:u w:val="single"/>
        </w:rPr>
        <w:t>Business costs: Labour costs of keeping the parent for the period of protection (pregnant and returning parents)</w:t>
      </w:r>
    </w:p>
    <w:p w14:paraId="7F31EBAB" w14:textId="77777777" w:rsidR="004A3625" w:rsidRPr="00E639A0" w:rsidRDefault="004A3625" w:rsidP="004A3625">
      <w:pPr>
        <w:jc w:val="both"/>
        <w:rPr>
          <w:rFonts w:cs="Arial"/>
        </w:rPr>
      </w:pPr>
    </w:p>
    <w:p w14:paraId="352234E9" w14:textId="77777777" w:rsidR="004A6E7B" w:rsidRPr="00E639A0" w:rsidRDefault="004A6E7B" w:rsidP="004A6E7B">
      <w:pPr>
        <w:pStyle w:val="EBBodyPara"/>
        <w:numPr>
          <w:ilvl w:val="0"/>
          <w:numId w:val="7"/>
        </w:numPr>
        <w:rPr>
          <w:sz w:val="24"/>
          <w:szCs w:val="24"/>
        </w:rPr>
      </w:pPr>
      <w:r w:rsidRPr="00E639A0">
        <w:rPr>
          <w:sz w:val="24"/>
          <w:szCs w:val="24"/>
        </w:rPr>
        <w:t xml:space="preserve">Some businesses, depending on their behaviour before and after the policy being implemented, will incur a labour cost from retaining pregnant staff or staff returning from maternity/shared parental/adoption leave that would otherwise have been made redundant. These costs are dependent on a) the point at which pregnant women are made redundant; and b) the duration of the protection for returning parents. </w:t>
      </w:r>
    </w:p>
    <w:p w14:paraId="7C54A722" w14:textId="21B963EC" w:rsidR="004A6E7B" w:rsidRPr="00E639A0" w:rsidRDefault="004A6E7B" w:rsidP="004A6E7B">
      <w:pPr>
        <w:pStyle w:val="EBBodyPara"/>
        <w:numPr>
          <w:ilvl w:val="0"/>
          <w:numId w:val="7"/>
        </w:numPr>
        <w:rPr>
          <w:sz w:val="24"/>
          <w:szCs w:val="24"/>
        </w:rPr>
      </w:pPr>
      <w:r w:rsidRPr="00E639A0">
        <w:rPr>
          <w:sz w:val="24"/>
          <w:szCs w:val="24"/>
        </w:rPr>
        <w:t xml:space="preserve">As </w:t>
      </w:r>
      <w:r w:rsidR="004461D6" w:rsidRPr="00E639A0">
        <w:rPr>
          <w:color w:val="auto"/>
          <w:sz w:val="24"/>
          <w:szCs w:val="24"/>
        </w:rPr>
        <w:t>outlined</w:t>
      </w:r>
      <w:r w:rsidR="00E76F47" w:rsidRPr="00E639A0">
        <w:rPr>
          <w:color w:val="auto"/>
          <w:sz w:val="24"/>
          <w:szCs w:val="24"/>
        </w:rPr>
        <w:t xml:space="preserve"> </w:t>
      </w:r>
      <w:r w:rsidR="00E76F47" w:rsidRPr="00E639A0">
        <w:rPr>
          <w:sz w:val="24"/>
          <w:szCs w:val="24"/>
        </w:rPr>
        <w:t>under Option 3</w:t>
      </w:r>
      <w:r w:rsidRPr="00E639A0">
        <w:rPr>
          <w:sz w:val="24"/>
          <w:szCs w:val="24"/>
        </w:rPr>
        <w:t xml:space="preserve"> the policy will provide returning parents with an 18-month blanket period of protection for eligible new parents (starting from child’s birth). Under MAPLE, parents are already protected against redundancy whilst on Maternity/Adoption/Shared Parental Leave. To calculate the additional labour cost to business of the policy, we estimate the labour costs across the remaining protection period. The length of additional protection for parents returning from maternity and adoption leave is 9 months, based on 9 months as the average duration of leave taken. The length of additional protection for SPL partners is 15.7 months, based on 10 weeks as the average duration of SPL taken (see paragraph 160). We assume that employers previously would have made returning parents redundant upon their return to work.</w:t>
      </w:r>
    </w:p>
    <w:p w14:paraId="569CB10C" w14:textId="77777777" w:rsidR="004A6E7B" w:rsidRPr="00E639A0" w:rsidRDefault="004A6E7B" w:rsidP="006D0C6D">
      <w:pPr>
        <w:pStyle w:val="EBBodyPara"/>
        <w:numPr>
          <w:ilvl w:val="0"/>
          <w:numId w:val="7"/>
        </w:numPr>
        <w:spacing w:after="0"/>
        <w:ind w:left="714" w:hanging="357"/>
        <w:rPr>
          <w:sz w:val="24"/>
          <w:szCs w:val="24"/>
        </w:rPr>
      </w:pPr>
      <w:r w:rsidRPr="00E639A0">
        <w:rPr>
          <w:sz w:val="24"/>
          <w:szCs w:val="24"/>
        </w:rPr>
        <w:t>For pregnant mothers, we assume they were made redundant after they formally tell their employer in writing they are pregnant (typically 20 weeks before the due date). Therefore, after the policy is implemented this results in an additional 20 weeks of labour costs for affected employers.</w:t>
      </w:r>
    </w:p>
    <w:p w14:paraId="59B2870C" w14:textId="77777777" w:rsidR="00062AFD" w:rsidRPr="00E639A0" w:rsidRDefault="00062AFD" w:rsidP="00062AFD">
      <w:pPr>
        <w:pStyle w:val="EBBodyPara"/>
        <w:spacing w:after="0"/>
        <w:ind w:left="714"/>
        <w:rPr>
          <w:sz w:val="24"/>
          <w:szCs w:val="24"/>
        </w:rPr>
      </w:pPr>
    </w:p>
    <w:p w14:paraId="5440F033" w14:textId="612C7A25" w:rsidR="004A6E7B" w:rsidRPr="00E639A0" w:rsidRDefault="004A6E7B" w:rsidP="006D0C6D">
      <w:pPr>
        <w:pStyle w:val="EBBodyPara"/>
        <w:numPr>
          <w:ilvl w:val="0"/>
          <w:numId w:val="7"/>
        </w:numPr>
        <w:spacing w:after="0"/>
        <w:ind w:left="714" w:hanging="357"/>
        <w:rPr>
          <w:sz w:val="24"/>
          <w:szCs w:val="24"/>
        </w:rPr>
      </w:pPr>
      <w:r w:rsidRPr="00E639A0">
        <w:rPr>
          <w:sz w:val="24"/>
          <w:szCs w:val="24"/>
        </w:rPr>
        <w:t>We estimate the labour costs to business as the costs of paying eligible returning parents’ wages across the redundancy protection period. We calculate a weighted median weekly wage for women and men using ASHE 2021 data and weight this by the age of mothers and fathers for live births across Great Britain in 2019/20, yielding an estimate of £</w:t>
      </w:r>
      <w:r w:rsidR="00AA4FFA" w:rsidRPr="00E639A0">
        <w:rPr>
          <w:sz w:val="24"/>
          <w:szCs w:val="24"/>
        </w:rPr>
        <w:t>424.21</w:t>
      </w:r>
      <w:r w:rsidRPr="00E639A0">
        <w:rPr>
          <w:sz w:val="24"/>
          <w:szCs w:val="24"/>
        </w:rPr>
        <w:t xml:space="preserve"> for the weekly wage costs for women, and £</w:t>
      </w:r>
      <w:r w:rsidR="00AA4FFA" w:rsidRPr="00E639A0">
        <w:rPr>
          <w:sz w:val="24"/>
          <w:szCs w:val="24"/>
        </w:rPr>
        <w:t>437.50</w:t>
      </w:r>
      <w:r w:rsidRPr="00E639A0">
        <w:rPr>
          <w:sz w:val="24"/>
          <w:szCs w:val="24"/>
        </w:rPr>
        <w:t xml:space="preserve"> for men. This approach is shown in Table </w:t>
      </w:r>
      <w:r w:rsidR="00203C04" w:rsidRPr="00E639A0">
        <w:rPr>
          <w:sz w:val="24"/>
          <w:szCs w:val="24"/>
        </w:rPr>
        <w:t>10</w:t>
      </w:r>
      <w:r w:rsidRPr="00E639A0">
        <w:rPr>
          <w:sz w:val="24"/>
          <w:szCs w:val="24"/>
        </w:rPr>
        <w:t xml:space="preserve"> for female wages. An adjustment factor</w:t>
      </w:r>
      <w:r w:rsidRPr="00E639A0">
        <w:rPr>
          <w:sz w:val="24"/>
          <w:szCs w:val="24"/>
          <w:vertAlign w:val="superscript"/>
        </w:rPr>
        <w:footnoteReference w:id="52"/>
      </w:r>
      <w:r w:rsidRPr="00E639A0">
        <w:rPr>
          <w:sz w:val="24"/>
          <w:szCs w:val="24"/>
        </w:rPr>
        <w:t xml:space="preserve"> is also applied to reflect non-wage costs incurred by business. Wage costs are taken from ASHE </w:t>
      </w:r>
      <w:r w:rsidR="003E2C22" w:rsidRPr="00E639A0">
        <w:rPr>
          <w:sz w:val="24"/>
          <w:szCs w:val="24"/>
        </w:rPr>
        <w:t xml:space="preserve">2021 </w:t>
      </w:r>
      <w:r w:rsidRPr="00E639A0">
        <w:rPr>
          <w:sz w:val="24"/>
          <w:szCs w:val="24"/>
        </w:rPr>
        <w:t>provisional data</w:t>
      </w:r>
      <w:r w:rsidRPr="00E639A0">
        <w:rPr>
          <w:sz w:val="24"/>
          <w:szCs w:val="24"/>
          <w:vertAlign w:val="superscript"/>
        </w:rPr>
        <w:footnoteReference w:id="53"/>
      </w:r>
      <w:r w:rsidRPr="00E639A0">
        <w:rPr>
          <w:sz w:val="24"/>
          <w:szCs w:val="24"/>
        </w:rPr>
        <w:t>. The same approach is taken for male wages.</w:t>
      </w:r>
    </w:p>
    <w:p w14:paraId="5A4BC25F" w14:textId="77777777" w:rsidR="004A6E7B" w:rsidRPr="00E639A0" w:rsidRDefault="004A6E7B" w:rsidP="004A6E7B">
      <w:pPr>
        <w:pStyle w:val="ListParagraph"/>
        <w:rPr>
          <w:rFonts w:cs="Arial"/>
          <w:b/>
          <w:bCs/>
        </w:rPr>
      </w:pPr>
    </w:p>
    <w:p w14:paraId="585DD8BD" w14:textId="77777777" w:rsidR="004A6E7B" w:rsidRPr="00E639A0" w:rsidRDefault="004A6E7B" w:rsidP="002138B6">
      <w:pPr>
        <w:pStyle w:val="Heading4"/>
        <w:rPr>
          <w:sz w:val="24"/>
          <w:szCs w:val="24"/>
        </w:rPr>
      </w:pPr>
      <w:r w:rsidRPr="00E639A0">
        <w:rPr>
          <w:sz w:val="24"/>
          <w:szCs w:val="24"/>
        </w:rPr>
        <w:t>Table 10 – Calculating Median weekly Wages for pregnant women/new mothers</w:t>
      </w:r>
    </w:p>
    <w:p w14:paraId="2350B788" w14:textId="77777777" w:rsidR="004A6E7B" w:rsidRPr="00E639A0" w:rsidRDefault="004A6E7B" w:rsidP="004A6E7B">
      <w:pPr>
        <w:pStyle w:val="ListParagraph"/>
        <w:rPr>
          <w:rFonts w:cs="Arial"/>
        </w:rPr>
      </w:pPr>
    </w:p>
    <w:tbl>
      <w:tblPr>
        <w:tblStyle w:val="TableGrid"/>
        <w:tblW w:w="0" w:type="auto"/>
        <w:tblInd w:w="720" w:type="dxa"/>
        <w:tblLook w:val="04A0" w:firstRow="1" w:lastRow="0" w:firstColumn="1" w:lastColumn="0" w:noHBand="0" w:noVBand="1"/>
      </w:tblPr>
      <w:tblGrid>
        <w:gridCol w:w="1402"/>
        <w:gridCol w:w="1701"/>
        <w:gridCol w:w="1984"/>
        <w:gridCol w:w="1701"/>
        <w:gridCol w:w="2126"/>
      </w:tblGrid>
      <w:tr w:rsidR="004A6E7B" w:rsidRPr="00E639A0" w14:paraId="3971BFFA" w14:textId="77777777">
        <w:tc>
          <w:tcPr>
            <w:tcW w:w="1402" w:type="dxa"/>
          </w:tcPr>
          <w:p w14:paraId="6A9DB352" w14:textId="77777777" w:rsidR="004A6E7B" w:rsidRPr="00E639A0" w:rsidRDefault="004A6E7B">
            <w:pPr>
              <w:pStyle w:val="ListParagraph"/>
              <w:ind w:left="0"/>
              <w:rPr>
                <w:rFonts w:cs="Arial"/>
              </w:rPr>
            </w:pPr>
            <w:r w:rsidRPr="00E639A0">
              <w:rPr>
                <w:rFonts w:cs="Arial"/>
                <w:b/>
                <w:bCs/>
                <w:color w:val="000000"/>
                <w:lang w:eastAsia="en-GB"/>
              </w:rPr>
              <w:t>Age group</w:t>
            </w:r>
          </w:p>
        </w:tc>
        <w:tc>
          <w:tcPr>
            <w:tcW w:w="1701" w:type="dxa"/>
          </w:tcPr>
          <w:p w14:paraId="3EF5459A" w14:textId="77777777" w:rsidR="004A6E7B" w:rsidRPr="00E639A0" w:rsidRDefault="004A6E7B">
            <w:pPr>
              <w:pStyle w:val="ListParagraph"/>
              <w:ind w:left="0"/>
              <w:rPr>
                <w:rFonts w:cs="Arial"/>
              </w:rPr>
            </w:pPr>
            <w:r w:rsidRPr="00E639A0">
              <w:rPr>
                <w:rFonts w:cs="Arial"/>
                <w:b/>
                <w:bCs/>
                <w:color w:val="000000"/>
                <w:lang w:eastAsia="en-GB"/>
              </w:rPr>
              <w:t>Employees (000s)</w:t>
            </w:r>
          </w:p>
        </w:tc>
        <w:tc>
          <w:tcPr>
            <w:tcW w:w="1984" w:type="dxa"/>
          </w:tcPr>
          <w:p w14:paraId="627C059A" w14:textId="77777777" w:rsidR="004A6E7B" w:rsidRPr="00E639A0" w:rsidRDefault="004A6E7B">
            <w:pPr>
              <w:pStyle w:val="ListParagraph"/>
              <w:ind w:left="0"/>
              <w:rPr>
                <w:rFonts w:cs="Arial"/>
              </w:rPr>
            </w:pPr>
            <w:r w:rsidRPr="00E639A0">
              <w:rPr>
                <w:rFonts w:cs="Arial"/>
                <w:b/>
                <w:bCs/>
                <w:color w:val="000000"/>
                <w:lang w:eastAsia="en-GB"/>
              </w:rPr>
              <w:t>Median Weekly Pay (£)</w:t>
            </w:r>
            <w:r w:rsidRPr="00E639A0">
              <w:rPr>
                <w:rStyle w:val="FootnoteReference"/>
                <w:rFonts w:cs="Arial"/>
                <w:b/>
                <w:bCs/>
                <w:color w:val="000000"/>
                <w:sz w:val="24"/>
                <w:lang w:eastAsia="en-GB"/>
              </w:rPr>
              <w:footnoteReference w:id="54"/>
            </w:r>
          </w:p>
        </w:tc>
        <w:tc>
          <w:tcPr>
            <w:tcW w:w="1701" w:type="dxa"/>
          </w:tcPr>
          <w:p w14:paraId="4AEFCAEC" w14:textId="77777777" w:rsidR="004A6E7B" w:rsidRPr="00E639A0" w:rsidRDefault="004A6E7B">
            <w:pPr>
              <w:pStyle w:val="ListParagraph"/>
              <w:ind w:left="0"/>
              <w:rPr>
                <w:rFonts w:cs="Arial"/>
              </w:rPr>
            </w:pPr>
            <w:r w:rsidRPr="00E639A0">
              <w:rPr>
                <w:rFonts w:cs="Arial"/>
                <w:b/>
                <w:bCs/>
                <w:color w:val="000000"/>
                <w:lang w:eastAsia="en-GB"/>
              </w:rPr>
              <w:t>Weighted Weekly median Pay (£)</w:t>
            </w:r>
          </w:p>
        </w:tc>
        <w:tc>
          <w:tcPr>
            <w:tcW w:w="2126" w:type="dxa"/>
          </w:tcPr>
          <w:p w14:paraId="6C48A1BD" w14:textId="77777777" w:rsidR="004A6E7B" w:rsidRPr="00E639A0" w:rsidRDefault="004A6E7B">
            <w:pPr>
              <w:pStyle w:val="ListParagraph"/>
              <w:ind w:left="0"/>
              <w:rPr>
                <w:rFonts w:cs="Arial"/>
              </w:rPr>
            </w:pPr>
            <w:r w:rsidRPr="00E639A0">
              <w:rPr>
                <w:rFonts w:cs="Arial"/>
                <w:b/>
                <w:bCs/>
                <w:color w:val="000000"/>
                <w:lang w:eastAsia="en-GB"/>
              </w:rPr>
              <w:t>% Live Births (GB) by age of Mother</w:t>
            </w:r>
            <w:r w:rsidRPr="00E639A0">
              <w:rPr>
                <w:rStyle w:val="FootnoteReference"/>
                <w:rFonts w:cs="Arial"/>
                <w:b/>
                <w:bCs/>
                <w:color w:val="000000"/>
                <w:sz w:val="24"/>
                <w:lang w:eastAsia="en-GB"/>
              </w:rPr>
              <w:footnoteReference w:id="55"/>
            </w:r>
          </w:p>
        </w:tc>
      </w:tr>
      <w:tr w:rsidR="004A6E7B" w:rsidRPr="00E639A0" w14:paraId="35DC0711" w14:textId="77777777">
        <w:tc>
          <w:tcPr>
            <w:tcW w:w="1402" w:type="dxa"/>
          </w:tcPr>
          <w:p w14:paraId="5BDEBE73" w14:textId="77777777" w:rsidR="004A6E7B" w:rsidRPr="00E639A0" w:rsidRDefault="004A6E7B">
            <w:pPr>
              <w:pStyle w:val="ListParagraph"/>
              <w:ind w:left="0"/>
              <w:rPr>
                <w:rFonts w:cs="Arial"/>
              </w:rPr>
            </w:pPr>
            <w:r w:rsidRPr="00E639A0">
              <w:rPr>
                <w:rFonts w:cs="Arial"/>
                <w:color w:val="000000"/>
                <w:lang w:eastAsia="en-GB"/>
              </w:rPr>
              <w:t>16-17</w:t>
            </w:r>
          </w:p>
        </w:tc>
        <w:tc>
          <w:tcPr>
            <w:tcW w:w="1701" w:type="dxa"/>
          </w:tcPr>
          <w:p w14:paraId="0B3D1972" w14:textId="77777777" w:rsidR="004A6E7B" w:rsidRPr="00E639A0" w:rsidRDefault="004A6E7B">
            <w:pPr>
              <w:pStyle w:val="ListParagraph"/>
              <w:ind w:left="0"/>
              <w:jc w:val="right"/>
              <w:rPr>
                <w:rFonts w:cs="Arial"/>
              </w:rPr>
            </w:pPr>
            <w:r w:rsidRPr="00E639A0">
              <w:rPr>
                <w:rFonts w:cs="Arial"/>
              </w:rPr>
              <w:t>124</w:t>
            </w:r>
          </w:p>
        </w:tc>
        <w:tc>
          <w:tcPr>
            <w:tcW w:w="1984" w:type="dxa"/>
          </w:tcPr>
          <w:p w14:paraId="4205F1D2" w14:textId="77777777" w:rsidR="004A6E7B" w:rsidRPr="00E639A0" w:rsidRDefault="004A6E7B">
            <w:pPr>
              <w:pStyle w:val="ListParagraph"/>
              <w:ind w:left="0"/>
              <w:jc w:val="right"/>
              <w:rPr>
                <w:rFonts w:cs="Arial"/>
              </w:rPr>
            </w:pPr>
            <w:r w:rsidRPr="00E639A0">
              <w:rPr>
                <w:rFonts w:cs="Arial"/>
              </w:rPr>
              <w:t>71.5</w:t>
            </w:r>
          </w:p>
        </w:tc>
        <w:tc>
          <w:tcPr>
            <w:tcW w:w="1701" w:type="dxa"/>
            <w:vMerge w:val="restart"/>
          </w:tcPr>
          <w:p w14:paraId="791AE319" w14:textId="77777777" w:rsidR="004A6E7B" w:rsidRPr="00E639A0" w:rsidRDefault="004A6E7B">
            <w:pPr>
              <w:pStyle w:val="ListParagraph"/>
              <w:ind w:left="0"/>
              <w:jc w:val="right"/>
              <w:rPr>
                <w:rFonts w:cs="Arial"/>
              </w:rPr>
            </w:pPr>
            <w:r w:rsidRPr="00E639A0">
              <w:rPr>
                <w:rFonts w:cs="Arial"/>
              </w:rPr>
              <w:t>370.7</w:t>
            </w:r>
          </w:p>
        </w:tc>
        <w:tc>
          <w:tcPr>
            <w:tcW w:w="2126" w:type="dxa"/>
            <w:vMerge w:val="restart"/>
          </w:tcPr>
          <w:p w14:paraId="17871FCF" w14:textId="77777777" w:rsidR="004A6E7B" w:rsidRPr="00E639A0" w:rsidRDefault="004A6E7B">
            <w:pPr>
              <w:pStyle w:val="ListParagraph"/>
              <w:ind w:left="0"/>
              <w:jc w:val="right"/>
              <w:rPr>
                <w:rFonts w:cs="Arial"/>
              </w:rPr>
            </w:pPr>
            <w:r w:rsidRPr="00E639A0">
              <w:rPr>
                <w:rFonts w:cs="Arial"/>
              </w:rPr>
              <w:t>43.4%</w:t>
            </w:r>
          </w:p>
        </w:tc>
      </w:tr>
      <w:tr w:rsidR="004A6E7B" w:rsidRPr="00E639A0" w14:paraId="5BFE439E" w14:textId="77777777">
        <w:tc>
          <w:tcPr>
            <w:tcW w:w="1402" w:type="dxa"/>
          </w:tcPr>
          <w:p w14:paraId="5507D9DC" w14:textId="77777777" w:rsidR="004A6E7B" w:rsidRPr="00E639A0" w:rsidRDefault="004A6E7B">
            <w:pPr>
              <w:pStyle w:val="ListParagraph"/>
              <w:ind w:left="0"/>
              <w:rPr>
                <w:rFonts w:cs="Arial"/>
              </w:rPr>
            </w:pPr>
            <w:r w:rsidRPr="00E639A0">
              <w:rPr>
                <w:rFonts w:cs="Arial"/>
                <w:color w:val="000000"/>
                <w:lang w:eastAsia="en-GB"/>
              </w:rPr>
              <w:t>18-21</w:t>
            </w:r>
          </w:p>
        </w:tc>
        <w:tc>
          <w:tcPr>
            <w:tcW w:w="1701" w:type="dxa"/>
          </w:tcPr>
          <w:p w14:paraId="293DC017" w14:textId="77777777" w:rsidR="004A6E7B" w:rsidRPr="00E639A0" w:rsidRDefault="004A6E7B">
            <w:pPr>
              <w:pStyle w:val="ListParagraph"/>
              <w:ind w:left="0"/>
              <w:jc w:val="right"/>
              <w:rPr>
                <w:rFonts w:cs="Arial"/>
              </w:rPr>
            </w:pPr>
            <w:r w:rsidRPr="00E639A0">
              <w:rPr>
                <w:rFonts w:cs="Arial"/>
              </w:rPr>
              <w:t>611</w:t>
            </w:r>
          </w:p>
        </w:tc>
        <w:tc>
          <w:tcPr>
            <w:tcW w:w="1984" w:type="dxa"/>
          </w:tcPr>
          <w:p w14:paraId="40FEECCD" w14:textId="77777777" w:rsidR="004A6E7B" w:rsidRPr="00E639A0" w:rsidRDefault="004A6E7B">
            <w:pPr>
              <w:pStyle w:val="ListParagraph"/>
              <w:ind w:left="0"/>
              <w:jc w:val="right"/>
              <w:rPr>
                <w:rFonts w:cs="Arial"/>
              </w:rPr>
            </w:pPr>
            <w:r w:rsidRPr="00E639A0">
              <w:rPr>
                <w:rFonts w:cs="Arial"/>
              </w:rPr>
              <w:t>185.3</w:t>
            </w:r>
          </w:p>
        </w:tc>
        <w:tc>
          <w:tcPr>
            <w:tcW w:w="1701" w:type="dxa"/>
            <w:vMerge/>
          </w:tcPr>
          <w:p w14:paraId="0ECF4207" w14:textId="77777777" w:rsidR="004A6E7B" w:rsidRPr="00E639A0" w:rsidRDefault="004A6E7B">
            <w:pPr>
              <w:pStyle w:val="ListParagraph"/>
              <w:ind w:left="0"/>
              <w:jc w:val="right"/>
              <w:rPr>
                <w:rFonts w:cs="Arial"/>
              </w:rPr>
            </w:pPr>
          </w:p>
        </w:tc>
        <w:tc>
          <w:tcPr>
            <w:tcW w:w="2126" w:type="dxa"/>
            <w:vMerge/>
          </w:tcPr>
          <w:p w14:paraId="4024B9F2" w14:textId="77777777" w:rsidR="004A6E7B" w:rsidRPr="00E639A0" w:rsidRDefault="004A6E7B">
            <w:pPr>
              <w:pStyle w:val="ListParagraph"/>
              <w:ind w:left="0"/>
              <w:jc w:val="right"/>
              <w:rPr>
                <w:rFonts w:cs="Arial"/>
              </w:rPr>
            </w:pPr>
          </w:p>
        </w:tc>
      </w:tr>
      <w:tr w:rsidR="004A6E7B" w:rsidRPr="00E639A0" w14:paraId="76CE2DC3" w14:textId="77777777">
        <w:tc>
          <w:tcPr>
            <w:tcW w:w="1402" w:type="dxa"/>
          </w:tcPr>
          <w:p w14:paraId="4474E1E9" w14:textId="77777777" w:rsidR="004A6E7B" w:rsidRPr="00E639A0" w:rsidRDefault="004A6E7B">
            <w:pPr>
              <w:pStyle w:val="ListParagraph"/>
              <w:ind w:left="0"/>
              <w:rPr>
                <w:rFonts w:cs="Arial"/>
              </w:rPr>
            </w:pPr>
            <w:r w:rsidRPr="00E639A0">
              <w:rPr>
                <w:rFonts w:cs="Arial"/>
                <w:color w:val="000000"/>
                <w:lang w:eastAsia="en-GB"/>
              </w:rPr>
              <w:t>22-29</w:t>
            </w:r>
          </w:p>
        </w:tc>
        <w:tc>
          <w:tcPr>
            <w:tcW w:w="1701" w:type="dxa"/>
          </w:tcPr>
          <w:p w14:paraId="530B757F" w14:textId="77777777" w:rsidR="004A6E7B" w:rsidRPr="00E639A0" w:rsidRDefault="004A6E7B">
            <w:pPr>
              <w:pStyle w:val="ListParagraph"/>
              <w:ind w:left="0"/>
              <w:jc w:val="right"/>
              <w:rPr>
                <w:rFonts w:cs="Arial"/>
              </w:rPr>
            </w:pPr>
            <w:r w:rsidRPr="00E639A0">
              <w:rPr>
                <w:rFonts w:cs="Arial"/>
              </w:rPr>
              <w:t>2,239</w:t>
            </w:r>
          </w:p>
        </w:tc>
        <w:tc>
          <w:tcPr>
            <w:tcW w:w="1984" w:type="dxa"/>
          </w:tcPr>
          <w:p w14:paraId="79A75868" w14:textId="77777777" w:rsidR="004A6E7B" w:rsidRPr="00E639A0" w:rsidRDefault="004A6E7B">
            <w:pPr>
              <w:pStyle w:val="ListParagraph"/>
              <w:ind w:left="0"/>
              <w:jc w:val="right"/>
              <w:rPr>
                <w:rFonts w:cs="Arial"/>
              </w:rPr>
            </w:pPr>
            <w:r w:rsidRPr="00E639A0">
              <w:rPr>
                <w:rFonts w:cs="Arial"/>
              </w:rPr>
              <w:t>437.9</w:t>
            </w:r>
          </w:p>
        </w:tc>
        <w:tc>
          <w:tcPr>
            <w:tcW w:w="1701" w:type="dxa"/>
            <w:vMerge/>
          </w:tcPr>
          <w:p w14:paraId="23F794BB" w14:textId="77777777" w:rsidR="004A6E7B" w:rsidRPr="00E639A0" w:rsidRDefault="004A6E7B">
            <w:pPr>
              <w:pStyle w:val="ListParagraph"/>
              <w:ind w:left="0"/>
              <w:jc w:val="right"/>
              <w:rPr>
                <w:rFonts w:cs="Arial"/>
              </w:rPr>
            </w:pPr>
          </w:p>
        </w:tc>
        <w:tc>
          <w:tcPr>
            <w:tcW w:w="2126" w:type="dxa"/>
            <w:vMerge/>
          </w:tcPr>
          <w:p w14:paraId="6C1182A7" w14:textId="77777777" w:rsidR="004A6E7B" w:rsidRPr="00E639A0" w:rsidRDefault="004A6E7B">
            <w:pPr>
              <w:pStyle w:val="ListParagraph"/>
              <w:ind w:left="0"/>
              <w:jc w:val="right"/>
              <w:rPr>
                <w:rFonts w:cs="Arial"/>
              </w:rPr>
            </w:pPr>
          </w:p>
        </w:tc>
      </w:tr>
      <w:tr w:rsidR="004A6E7B" w:rsidRPr="00E639A0" w14:paraId="2F7FDDE1" w14:textId="77777777">
        <w:tc>
          <w:tcPr>
            <w:tcW w:w="1402" w:type="dxa"/>
          </w:tcPr>
          <w:p w14:paraId="5EBE7DA9" w14:textId="77777777" w:rsidR="004A6E7B" w:rsidRPr="00E639A0" w:rsidRDefault="004A6E7B">
            <w:pPr>
              <w:pStyle w:val="ListParagraph"/>
              <w:ind w:left="0"/>
              <w:rPr>
                <w:rFonts w:cs="Arial"/>
              </w:rPr>
            </w:pPr>
            <w:r w:rsidRPr="00E639A0">
              <w:rPr>
                <w:rFonts w:cs="Arial"/>
                <w:color w:val="000000"/>
                <w:lang w:eastAsia="en-GB"/>
              </w:rPr>
              <w:t>30-39</w:t>
            </w:r>
          </w:p>
        </w:tc>
        <w:tc>
          <w:tcPr>
            <w:tcW w:w="1701" w:type="dxa"/>
          </w:tcPr>
          <w:p w14:paraId="4CE7A4EB" w14:textId="77777777" w:rsidR="004A6E7B" w:rsidRPr="00E639A0" w:rsidRDefault="004A6E7B">
            <w:pPr>
              <w:pStyle w:val="ListParagraph"/>
              <w:ind w:left="0"/>
              <w:jc w:val="right"/>
              <w:rPr>
                <w:rFonts w:cs="Arial"/>
              </w:rPr>
            </w:pPr>
            <w:r w:rsidRPr="00E639A0">
              <w:rPr>
                <w:rFonts w:cs="Arial"/>
              </w:rPr>
              <w:t>3,124</w:t>
            </w:r>
          </w:p>
        </w:tc>
        <w:tc>
          <w:tcPr>
            <w:tcW w:w="1984" w:type="dxa"/>
          </w:tcPr>
          <w:p w14:paraId="6DAEB41E" w14:textId="77777777" w:rsidR="004A6E7B" w:rsidRPr="00E639A0" w:rsidRDefault="004A6E7B">
            <w:pPr>
              <w:pStyle w:val="ListParagraph"/>
              <w:ind w:left="0"/>
              <w:jc w:val="right"/>
              <w:rPr>
                <w:rFonts w:cs="Arial"/>
              </w:rPr>
            </w:pPr>
            <w:r w:rsidRPr="00E639A0">
              <w:rPr>
                <w:rFonts w:cs="Arial"/>
              </w:rPr>
              <w:t>470.2</w:t>
            </w:r>
          </w:p>
        </w:tc>
        <w:tc>
          <w:tcPr>
            <w:tcW w:w="1701" w:type="dxa"/>
          </w:tcPr>
          <w:p w14:paraId="6240E08D" w14:textId="77777777" w:rsidR="004A6E7B" w:rsidRPr="00E639A0" w:rsidRDefault="004A6E7B">
            <w:pPr>
              <w:pStyle w:val="ListParagraph"/>
              <w:ind w:left="0"/>
              <w:jc w:val="right"/>
              <w:rPr>
                <w:rFonts w:cs="Arial"/>
              </w:rPr>
            </w:pPr>
            <w:r w:rsidRPr="00E639A0">
              <w:rPr>
                <w:rFonts w:cs="Arial"/>
              </w:rPr>
              <w:t>470.2</w:t>
            </w:r>
          </w:p>
        </w:tc>
        <w:tc>
          <w:tcPr>
            <w:tcW w:w="2126" w:type="dxa"/>
          </w:tcPr>
          <w:p w14:paraId="6DF37296" w14:textId="77777777" w:rsidR="004A6E7B" w:rsidRPr="00E639A0" w:rsidRDefault="004A6E7B">
            <w:pPr>
              <w:pStyle w:val="ListParagraph"/>
              <w:ind w:left="0"/>
              <w:jc w:val="right"/>
              <w:rPr>
                <w:rFonts w:cs="Arial"/>
              </w:rPr>
            </w:pPr>
            <w:r w:rsidRPr="00E639A0">
              <w:rPr>
                <w:rFonts w:cs="Arial"/>
              </w:rPr>
              <w:t>52.0%</w:t>
            </w:r>
          </w:p>
        </w:tc>
      </w:tr>
      <w:tr w:rsidR="004A6E7B" w:rsidRPr="00E639A0" w14:paraId="0F811977" w14:textId="77777777">
        <w:tc>
          <w:tcPr>
            <w:tcW w:w="1402" w:type="dxa"/>
          </w:tcPr>
          <w:p w14:paraId="576FBE1A" w14:textId="77777777" w:rsidR="004A6E7B" w:rsidRPr="00E639A0" w:rsidRDefault="004A6E7B">
            <w:pPr>
              <w:pStyle w:val="ListParagraph"/>
              <w:ind w:left="0"/>
              <w:rPr>
                <w:rFonts w:cs="Arial"/>
              </w:rPr>
            </w:pPr>
            <w:r w:rsidRPr="00E639A0">
              <w:rPr>
                <w:rFonts w:cs="Arial"/>
                <w:color w:val="000000"/>
                <w:lang w:eastAsia="en-GB"/>
              </w:rPr>
              <w:t>40-49</w:t>
            </w:r>
          </w:p>
        </w:tc>
        <w:tc>
          <w:tcPr>
            <w:tcW w:w="1701" w:type="dxa"/>
          </w:tcPr>
          <w:p w14:paraId="74DCE294" w14:textId="77777777" w:rsidR="004A6E7B" w:rsidRPr="00E639A0" w:rsidRDefault="004A6E7B">
            <w:pPr>
              <w:pStyle w:val="ListParagraph"/>
              <w:ind w:left="0"/>
              <w:jc w:val="right"/>
              <w:rPr>
                <w:rFonts w:cs="Arial"/>
              </w:rPr>
            </w:pPr>
            <w:r w:rsidRPr="00E639A0">
              <w:rPr>
                <w:rFonts w:cs="Arial"/>
              </w:rPr>
              <w:t>3,148</w:t>
            </w:r>
          </w:p>
        </w:tc>
        <w:tc>
          <w:tcPr>
            <w:tcW w:w="1984" w:type="dxa"/>
          </w:tcPr>
          <w:p w14:paraId="58ED40A0" w14:textId="77777777" w:rsidR="004A6E7B" w:rsidRPr="00E639A0" w:rsidRDefault="004A6E7B">
            <w:pPr>
              <w:pStyle w:val="ListParagraph"/>
              <w:ind w:left="0"/>
              <w:jc w:val="right"/>
              <w:rPr>
                <w:rFonts w:cs="Arial"/>
              </w:rPr>
            </w:pPr>
            <w:r w:rsidRPr="00E639A0">
              <w:rPr>
                <w:rFonts w:cs="Arial"/>
              </w:rPr>
              <w:t>455.1</w:t>
            </w:r>
          </w:p>
        </w:tc>
        <w:tc>
          <w:tcPr>
            <w:tcW w:w="1701" w:type="dxa"/>
            <w:vMerge w:val="restart"/>
          </w:tcPr>
          <w:p w14:paraId="20D51384" w14:textId="77777777" w:rsidR="004A6E7B" w:rsidRPr="00E639A0" w:rsidRDefault="004A6E7B">
            <w:pPr>
              <w:pStyle w:val="ListParagraph"/>
              <w:ind w:left="0"/>
              <w:jc w:val="right"/>
              <w:rPr>
                <w:rFonts w:cs="Arial"/>
              </w:rPr>
            </w:pPr>
            <w:r w:rsidRPr="00E639A0">
              <w:rPr>
                <w:rFonts w:cs="Arial"/>
              </w:rPr>
              <w:t>409.9</w:t>
            </w:r>
          </w:p>
        </w:tc>
        <w:tc>
          <w:tcPr>
            <w:tcW w:w="2126" w:type="dxa"/>
            <w:vMerge w:val="restart"/>
          </w:tcPr>
          <w:p w14:paraId="295A7D2E" w14:textId="77777777" w:rsidR="004A6E7B" w:rsidRPr="00E639A0" w:rsidRDefault="004A6E7B">
            <w:pPr>
              <w:pStyle w:val="ListParagraph"/>
              <w:ind w:left="0"/>
              <w:jc w:val="right"/>
              <w:rPr>
                <w:rFonts w:cs="Arial"/>
              </w:rPr>
            </w:pPr>
            <w:r w:rsidRPr="00E639A0">
              <w:rPr>
                <w:rFonts w:cs="Arial"/>
              </w:rPr>
              <w:t>4.6%</w:t>
            </w:r>
          </w:p>
        </w:tc>
      </w:tr>
      <w:tr w:rsidR="004A6E7B" w:rsidRPr="00E639A0" w14:paraId="249657FB" w14:textId="77777777">
        <w:tc>
          <w:tcPr>
            <w:tcW w:w="1402" w:type="dxa"/>
          </w:tcPr>
          <w:p w14:paraId="66BAB635" w14:textId="77777777" w:rsidR="004A6E7B" w:rsidRPr="00E639A0" w:rsidRDefault="004A6E7B">
            <w:pPr>
              <w:pStyle w:val="ListParagraph"/>
              <w:ind w:left="0"/>
              <w:rPr>
                <w:rFonts w:cs="Arial"/>
              </w:rPr>
            </w:pPr>
            <w:r w:rsidRPr="00E639A0">
              <w:rPr>
                <w:rFonts w:cs="Arial"/>
                <w:color w:val="000000"/>
                <w:lang w:eastAsia="en-GB"/>
              </w:rPr>
              <w:t>50-59</w:t>
            </w:r>
          </w:p>
        </w:tc>
        <w:tc>
          <w:tcPr>
            <w:tcW w:w="1701" w:type="dxa"/>
          </w:tcPr>
          <w:p w14:paraId="23ECF023" w14:textId="77777777" w:rsidR="004A6E7B" w:rsidRPr="00E639A0" w:rsidRDefault="004A6E7B">
            <w:pPr>
              <w:pStyle w:val="ListParagraph"/>
              <w:ind w:left="0"/>
              <w:jc w:val="right"/>
              <w:rPr>
                <w:rFonts w:cs="Arial"/>
              </w:rPr>
            </w:pPr>
            <w:r w:rsidRPr="00E639A0">
              <w:rPr>
                <w:rFonts w:cs="Arial"/>
              </w:rPr>
              <w:t>3,057</w:t>
            </w:r>
          </w:p>
        </w:tc>
        <w:tc>
          <w:tcPr>
            <w:tcW w:w="1984" w:type="dxa"/>
          </w:tcPr>
          <w:p w14:paraId="53C5433C" w14:textId="77777777" w:rsidR="004A6E7B" w:rsidRPr="00E639A0" w:rsidRDefault="004A6E7B">
            <w:pPr>
              <w:pStyle w:val="ListParagraph"/>
              <w:ind w:left="0"/>
              <w:jc w:val="right"/>
              <w:rPr>
                <w:rFonts w:cs="Arial"/>
              </w:rPr>
            </w:pPr>
            <w:r w:rsidRPr="00E639A0">
              <w:rPr>
                <w:rFonts w:cs="Arial"/>
              </w:rPr>
              <w:t>408.7</w:t>
            </w:r>
          </w:p>
        </w:tc>
        <w:tc>
          <w:tcPr>
            <w:tcW w:w="1701" w:type="dxa"/>
            <w:vMerge/>
          </w:tcPr>
          <w:p w14:paraId="51B12A70" w14:textId="77777777" w:rsidR="004A6E7B" w:rsidRPr="00E639A0" w:rsidRDefault="004A6E7B">
            <w:pPr>
              <w:pStyle w:val="ListParagraph"/>
              <w:ind w:left="0"/>
              <w:rPr>
                <w:rFonts w:cs="Arial"/>
              </w:rPr>
            </w:pPr>
          </w:p>
        </w:tc>
        <w:tc>
          <w:tcPr>
            <w:tcW w:w="2126" w:type="dxa"/>
            <w:vMerge/>
          </w:tcPr>
          <w:p w14:paraId="14B5FC22" w14:textId="77777777" w:rsidR="004A6E7B" w:rsidRPr="00E639A0" w:rsidRDefault="004A6E7B">
            <w:pPr>
              <w:pStyle w:val="ListParagraph"/>
              <w:ind w:left="0"/>
              <w:rPr>
                <w:rFonts w:cs="Arial"/>
              </w:rPr>
            </w:pPr>
          </w:p>
        </w:tc>
      </w:tr>
      <w:tr w:rsidR="004A6E7B" w:rsidRPr="00E639A0" w14:paraId="6D2B5C41" w14:textId="77777777">
        <w:tc>
          <w:tcPr>
            <w:tcW w:w="1402" w:type="dxa"/>
          </w:tcPr>
          <w:p w14:paraId="36B9F16E" w14:textId="77777777" w:rsidR="004A6E7B" w:rsidRPr="00E639A0" w:rsidRDefault="004A6E7B">
            <w:pPr>
              <w:pStyle w:val="ListParagraph"/>
              <w:ind w:left="0"/>
              <w:rPr>
                <w:rFonts w:cs="Arial"/>
              </w:rPr>
            </w:pPr>
            <w:r w:rsidRPr="00E639A0">
              <w:rPr>
                <w:rFonts w:cs="Arial"/>
                <w:color w:val="000000"/>
                <w:lang w:eastAsia="en-GB"/>
              </w:rPr>
              <w:t>60+</w:t>
            </w:r>
          </w:p>
        </w:tc>
        <w:tc>
          <w:tcPr>
            <w:tcW w:w="1701" w:type="dxa"/>
          </w:tcPr>
          <w:p w14:paraId="166FDA1C" w14:textId="77777777" w:rsidR="004A6E7B" w:rsidRPr="00E639A0" w:rsidRDefault="004A6E7B">
            <w:pPr>
              <w:pStyle w:val="ListParagraph"/>
              <w:ind w:left="0"/>
              <w:jc w:val="right"/>
              <w:rPr>
                <w:rFonts w:cs="Arial"/>
              </w:rPr>
            </w:pPr>
            <w:r w:rsidRPr="00E639A0">
              <w:rPr>
                <w:rFonts w:cs="Arial"/>
              </w:rPr>
              <w:t>1,258</w:t>
            </w:r>
          </w:p>
        </w:tc>
        <w:tc>
          <w:tcPr>
            <w:tcW w:w="1984" w:type="dxa"/>
          </w:tcPr>
          <w:p w14:paraId="5C0F3325" w14:textId="77777777" w:rsidR="004A6E7B" w:rsidRPr="00E639A0" w:rsidRDefault="004A6E7B">
            <w:pPr>
              <w:pStyle w:val="ListParagraph"/>
              <w:ind w:left="0"/>
              <w:jc w:val="right"/>
              <w:rPr>
                <w:rFonts w:cs="Arial"/>
              </w:rPr>
            </w:pPr>
            <w:r w:rsidRPr="00E639A0">
              <w:rPr>
                <w:rFonts w:cs="Arial"/>
              </w:rPr>
              <w:t>299.5</w:t>
            </w:r>
          </w:p>
        </w:tc>
        <w:tc>
          <w:tcPr>
            <w:tcW w:w="1701" w:type="dxa"/>
            <w:vMerge/>
          </w:tcPr>
          <w:p w14:paraId="4E29FD83" w14:textId="77777777" w:rsidR="004A6E7B" w:rsidRPr="00E639A0" w:rsidRDefault="004A6E7B">
            <w:pPr>
              <w:pStyle w:val="ListParagraph"/>
              <w:ind w:left="0"/>
              <w:rPr>
                <w:rFonts w:cs="Arial"/>
              </w:rPr>
            </w:pPr>
          </w:p>
        </w:tc>
        <w:tc>
          <w:tcPr>
            <w:tcW w:w="2126" w:type="dxa"/>
            <w:vMerge/>
          </w:tcPr>
          <w:p w14:paraId="3BEF7A15" w14:textId="77777777" w:rsidR="004A6E7B" w:rsidRPr="00E639A0" w:rsidRDefault="004A6E7B">
            <w:pPr>
              <w:pStyle w:val="ListParagraph"/>
              <w:ind w:left="0"/>
              <w:rPr>
                <w:rFonts w:cs="Arial"/>
              </w:rPr>
            </w:pPr>
          </w:p>
        </w:tc>
      </w:tr>
    </w:tbl>
    <w:p w14:paraId="337F27A5" w14:textId="77777777" w:rsidR="004A6E7B" w:rsidRPr="00E639A0" w:rsidRDefault="004A6E7B" w:rsidP="004A6E7B">
      <w:pPr>
        <w:pStyle w:val="ListParagraph"/>
        <w:rPr>
          <w:rFonts w:cs="Arial"/>
        </w:rPr>
      </w:pPr>
    </w:p>
    <w:p w14:paraId="3020AC80" w14:textId="77777777" w:rsidR="004A6E7B" w:rsidRPr="00E639A0" w:rsidRDefault="004A6E7B" w:rsidP="004A6E7B">
      <w:pPr>
        <w:pStyle w:val="EBBodyPara"/>
        <w:numPr>
          <w:ilvl w:val="0"/>
          <w:numId w:val="7"/>
        </w:numPr>
        <w:rPr>
          <w:sz w:val="24"/>
          <w:szCs w:val="24"/>
        </w:rPr>
      </w:pPr>
      <w:r w:rsidRPr="00E639A0">
        <w:rPr>
          <w:sz w:val="24"/>
          <w:szCs w:val="24"/>
        </w:rPr>
        <w:t xml:space="preserve">We calculate the weighted median wage for three broad age bands, as data on mother’s age at birth is separated according to these age bands. ASHE data on median weekly pay and number of employees is used for these calculations. This approach is set out in the box below for females aged 16–29 as an example. </w:t>
      </w:r>
    </w:p>
    <w:p w14:paraId="70866FE2" w14:textId="77777777" w:rsidR="004A6E7B" w:rsidRPr="00E639A0" w:rsidRDefault="004A6E7B" w:rsidP="004A6E7B">
      <w:pPr>
        <w:rPr>
          <w:rFonts w:eastAsiaTheme="minorEastAsia" w:cs="Arial"/>
        </w:rPr>
      </w:pPr>
      <w:r w:rsidRPr="00E639A0">
        <w:rPr>
          <w:rFonts w:cs="Arial"/>
          <w:noProof/>
        </w:rPr>
        <mc:AlternateContent>
          <mc:Choice Requires="wps">
            <w:drawing>
              <wp:anchor distT="45720" distB="45720" distL="114300" distR="114300" simplePos="0" relativeHeight="251658246" behindDoc="0" locked="0" layoutInCell="1" allowOverlap="1" wp14:anchorId="65523841" wp14:editId="1E45100C">
                <wp:simplePos x="0" y="0"/>
                <wp:positionH relativeFrom="margin">
                  <wp:posOffset>469265</wp:posOffset>
                </wp:positionH>
                <wp:positionV relativeFrom="paragraph">
                  <wp:posOffset>119380</wp:posOffset>
                </wp:positionV>
                <wp:extent cx="5734050" cy="2733675"/>
                <wp:effectExtent l="0" t="0" r="19050" b="28575"/>
                <wp:wrapSquare wrapText="bothSides"/>
                <wp:docPr id="12822468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2733675"/>
                        </a:xfrm>
                        <a:prstGeom prst="rect">
                          <a:avLst/>
                        </a:prstGeom>
                        <a:solidFill>
                          <a:srgbClr val="FFFFFF"/>
                        </a:solidFill>
                        <a:ln w="9525">
                          <a:solidFill>
                            <a:srgbClr val="000000"/>
                          </a:solidFill>
                          <a:miter lim="800000"/>
                          <a:headEnd/>
                          <a:tailEnd/>
                        </a:ln>
                      </wps:spPr>
                      <wps:txbx>
                        <w:txbxContent>
                          <w:p w14:paraId="25DACA92" w14:textId="77777777" w:rsidR="004A6E7B" w:rsidRDefault="004A6E7B" w:rsidP="004A6E7B">
                            <w:pPr>
                              <w:rPr>
                                <w:sz w:val="22"/>
                              </w:rPr>
                            </w:pPr>
                            <w:r>
                              <w:rPr>
                                <w:sz w:val="22"/>
                              </w:rPr>
                              <w:t xml:space="preserve">Weighted weekly median wage (age group) = (No. Employees x Median weekly pay) </w:t>
                            </w:r>
                            <w:r>
                              <w:rPr>
                                <w:rFonts w:cs="Arial"/>
                                <w:sz w:val="22"/>
                              </w:rPr>
                              <w:t>÷</w:t>
                            </w:r>
                            <w:r>
                              <w:rPr>
                                <w:sz w:val="22"/>
                              </w:rPr>
                              <w:t xml:space="preserve"> Total No. Employees</w:t>
                            </w:r>
                          </w:p>
                          <w:p w14:paraId="559A1C47" w14:textId="77777777" w:rsidR="004A6E7B" w:rsidRDefault="004A6E7B" w:rsidP="004A6E7B">
                            <w:pPr>
                              <w:rPr>
                                <w:sz w:val="22"/>
                              </w:rPr>
                            </w:pPr>
                          </w:p>
                          <w:p w14:paraId="143BB673" w14:textId="77777777" w:rsidR="004A6E7B" w:rsidRDefault="004A6E7B" w:rsidP="004A6E7B">
                            <w:pPr>
                              <w:rPr>
                                <w:sz w:val="22"/>
                              </w:rPr>
                            </w:pPr>
                            <w:r w:rsidRPr="0019392C">
                              <w:rPr>
                                <w:sz w:val="22"/>
                              </w:rPr>
                              <w:t>Weighted weekly median wage (</w:t>
                            </w:r>
                            <w:r>
                              <w:rPr>
                                <w:sz w:val="22"/>
                              </w:rPr>
                              <w:t>16 - 29</w:t>
                            </w:r>
                            <w:r w:rsidRPr="0019392C">
                              <w:rPr>
                                <w:sz w:val="22"/>
                              </w:rPr>
                              <w:t xml:space="preserve">) = </w:t>
                            </w:r>
                            <w:r>
                              <w:rPr>
                                <w:sz w:val="22"/>
                              </w:rPr>
                              <w:t>[(</w:t>
                            </w:r>
                            <w:r w:rsidRPr="0019392C">
                              <w:rPr>
                                <w:sz w:val="22"/>
                              </w:rPr>
                              <w:t>No. Employees</w:t>
                            </w:r>
                            <w:r>
                              <w:rPr>
                                <w:sz w:val="22"/>
                              </w:rPr>
                              <w:t xml:space="preserve"> (16 -17)</w:t>
                            </w:r>
                            <w:r w:rsidRPr="0019392C">
                              <w:rPr>
                                <w:sz w:val="22"/>
                              </w:rPr>
                              <w:t xml:space="preserve"> x Median weekly pay</w:t>
                            </w:r>
                            <w:r>
                              <w:rPr>
                                <w:sz w:val="22"/>
                              </w:rPr>
                              <w:t xml:space="preserve"> (16 -17)) + (</w:t>
                            </w:r>
                            <w:r w:rsidRPr="0019392C">
                              <w:rPr>
                                <w:sz w:val="22"/>
                              </w:rPr>
                              <w:t>No. Employees</w:t>
                            </w:r>
                            <w:r>
                              <w:rPr>
                                <w:sz w:val="22"/>
                              </w:rPr>
                              <w:t xml:space="preserve"> (18 - 21)</w:t>
                            </w:r>
                            <w:r w:rsidRPr="0019392C">
                              <w:rPr>
                                <w:sz w:val="22"/>
                              </w:rPr>
                              <w:t xml:space="preserve"> x Median weekly pay</w:t>
                            </w:r>
                            <w:r>
                              <w:rPr>
                                <w:sz w:val="22"/>
                              </w:rPr>
                              <w:t xml:space="preserve"> (18 - 21)) + (</w:t>
                            </w:r>
                            <w:r w:rsidRPr="0019392C">
                              <w:rPr>
                                <w:sz w:val="22"/>
                              </w:rPr>
                              <w:t>No. Employees</w:t>
                            </w:r>
                            <w:r>
                              <w:rPr>
                                <w:sz w:val="22"/>
                              </w:rPr>
                              <w:t xml:space="preserve"> (22 - 29)</w:t>
                            </w:r>
                            <w:r w:rsidRPr="0019392C">
                              <w:rPr>
                                <w:sz w:val="22"/>
                              </w:rPr>
                              <w:t xml:space="preserve"> x Median weekly pay</w:t>
                            </w:r>
                            <w:r>
                              <w:rPr>
                                <w:sz w:val="22"/>
                              </w:rPr>
                              <w:t xml:space="preserve"> (22 -29))] </w:t>
                            </w:r>
                            <w:r>
                              <w:rPr>
                                <w:rFonts w:cs="Arial"/>
                                <w:sz w:val="22"/>
                              </w:rPr>
                              <w:t>÷</w:t>
                            </w:r>
                            <w:r>
                              <w:rPr>
                                <w:sz w:val="22"/>
                              </w:rPr>
                              <w:t xml:space="preserve"> (No. Employees (16 - 17) + No. Employees (18 – 21) + No. Employees (22 – 29))</w:t>
                            </w:r>
                          </w:p>
                          <w:p w14:paraId="51D30768" w14:textId="77777777" w:rsidR="004A6E7B" w:rsidRDefault="004A6E7B" w:rsidP="004A6E7B">
                            <w:pPr>
                              <w:rPr>
                                <w:sz w:val="22"/>
                              </w:rPr>
                            </w:pPr>
                          </w:p>
                          <w:p w14:paraId="27D01260" w14:textId="125ADC8A" w:rsidR="004A6E7B" w:rsidRDefault="004A6E7B" w:rsidP="004A6E7B">
                            <w:pPr>
                              <w:rPr>
                                <w:sz w:val="22"/>
                              </w:rPr>
                            </w:pPr>
                            <w:r w:rsidRPr="009F4E58">
                              <w:rPr>
                                <w:sz w:val="22"/>
                              </w:rPr>
                              <w:t xml:space="preserve">= (124 x 71.50) + (611 x 185.30) + (2,239 x 437.90) </w:t>
                            </w:r>
                            <w:r w:rsidR="005D725A" w:rsidRPr="009F4E58">
                              <w:rPr>
                                <w:sz w:val="22"/>
                              </w:rPr>
                              <w:t>/</w:t>
                            </w:r>
                            <w:r w:rsidR="00B7470A" w:rsidRPr="009F4E58">
                              <w:rPr>
                                <w:sz w:val="22"/>
                              </w:rPr>
                              <w:t xml:space="preserve"> </w:t>
                            </w:r>
                            <w:r w:rsidR="002710FC" w:rsidRPr="009F4E58">
                              <w:rPr>
                                <w:sz w:val="22"/>
                              </w:rPr>
                              <w:t>(124 + 611 + 2,239)</w:t>
                            </w:r>
                            <w:r w:rsidR="005D725A" w:rsidRPr="009F4E58">
                              <w:rPr>
                                <w:sz w:val="22"/>
                              </w:rPr>
                              <w:t xml:space="preserve"> </w:t>
                            </w:r>
                            <w:r w:rsidRPr="009F4E58">
                              <w:rPr>
                                <w:sz w:val="22"/>
                              </w:rPr>
                              <w:t>= £370.70</w:t>
                            </w:r>
                          </w:p>
                          <w:p w14:paraId="745DAE6F" w14:textId="77777777" w:rsidR="004A6E7B" w:rsidRDefault="004A6E7B" w:rsidP="004A6E7B">
                            <w:pPr>
                              <w:rPr>
                                <w:sz w:val="22"/>
                              </w:rPr>
                            </w:pPr>
                          </w:p>
                          <w:p w14:paraId="48F9D60E" w14:textId="77777777" w:rsidR="004A6E7B" w:rsidRDefault="004A6E7B" w:rsidP="004A6E7B">
                            <w:pPr>
                              <w:rPr>
                                <w:sz w:val="22"/>
                              </w:rPr>
                            </w:pPr>
                            <w:r>
                              <w:rPr>
                                <w:sz w:val="22"/>
                              </w:rPr>
                              <w:t>When continued to cover 30 to 60+ age group.</w:t>
                            </w:r>
                          </w:p>
                          <w:p w14:paraId="3395A922" w14:textId="77777777" w:rsidR="004A6E7B" w:rsidRDefault="004A6E7B" w:rsidP="004A6E7B">
                            <w:pPr>
                              <w:rPr>
                                <w:sz w:val="22"/>
                              </w:rPr>
                            </w:pPr>
                            <w:r>
                              <w:rPr>
                                <w:sz w:val="22"/>
                              </w:rPr>
                              <w:t>Weighted weekly median wage (new and expectant mothers) = (Weekly median pay x % live births by age of mother</w:t>
                            </w:r>
                          </w:p>
                          <w:p w14:paraId="0F865339" w14:textId="77777777" w:rsidR="004A6E7B" w:rsidRDefault="004A6E7B" w:rsidP="004A6E7B">
                            <w:pPr>
                              <w:rPr>
                                <w:sz w:val="22"/>
                              </w:rPr>
                            </w:pPr>
                          </w:p>
                          <w:p w14:paraId="2F336B54" w14:textId="77777777" w:rsidR="004A6E7B" w:rsidRDefault="004A6E7B" w:rsidP="004A6E7B">
                            <w:pPr>
                              <w:rPr>
                                <w:sz w:val="22"/>
                              </w:rPr>
                            </w:pPr>
                            <w:r>
                              <w:rPr>
                                <w:sz w:val="22"/>
                              </w:rPr>
                              <w:t xml:space="preserve">= (£370.70 x 43.4%) + (£470.20 x 52.0%) + (£409.90 x 4.6%) = </w:t>
                            </w:r>
                            <w:r w:rsidRPr="009F4E58">
                              <w:rPr>
                                <w:sz w:val="22"/>
                              </w:rPr>
                              <w:t>£424.21</w:t>
                            </w:r>
                          </w:p>
                          <w:p w14:paraId="62A94324" w14:textId="77777777" w:rsidR="004A6E7B" w:rsidRDefault="004A6E7B" w:rsidP="004A6E7B">
                            <w:pPr>
                              <w:rPr>
                                <w:sz w:val="22"/>
                              </w:rPr>
                            </w:pPr>
                          </w:p>
                          <w:p w14:paraId="12819CD0" w14:textId="77777777" w:rsidR="004A6E7B" w:rsidRDefault="004A6E7B" w:rsidP="004A6E7B">
                            <w:pPr>
                              <w:rPr>
                                <w:sz w:val="22"/>
                              </w:rPr>
                            </w:pPr>
                          </w:p>
                          <w:p w14:paraId="11699E26" w14:textId="77777777" w:rsidR="004A6E7B" w:rsidRPr="0019392C" w:rsidRDefault="004A6E7B" w:rsidP="004A6E7B">
                            <w:pPr>
                              <w:rPr>
                                <w:sz w:val="22"/>
                              </w:rPr>
                            </w:pPr>
                          </w:p>
                          <w:p w14:paraId="1BE4CF54" w14:textId="77777777" w:rsidR="004A6E7B" w:rsidRPr="00FD7DF9" w:rsidRDefault="004A6E7B" w:rsidP="004A6E7B">
                            <w:pPr>
                              <w:rPr>
                                <w:sz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523841" id="_x0000_s1051" type="#_x0000_t202" style="position:absolute;margin-left:36.95pt;margin-top:9.4pt;width:451.5pt;height:215.25pt;z-index:25165824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yIwFQIAACgEAAAOAAAAZHJzL2Uyb0RvYy54bWysk9uO2yAQhu8r9R0Q942dgze7VpzVNttU&#10;lbYHadsHwBjbqJihQGKnT98Be7Pp6aaqLxB44Gfmm5/N7dApchTWSdAFnc9SSoTmUEndFPTL5/2r&#10;a0qcZ7piCrQo6Ek4ert9+WLTm1wsoAVVCUtQRLu8NwVtvTd5kjjeio65GRihMViD7ZjHpW2SyrIe&#10;1TuVLNL0KunBVsYCF87h3/sxSLdRv64F9x/r2glPVEExNx9HG8cyjMl2w/LGMtNKPqXB/iGLjkmN&#10;l56l7pln5GDlb1Kd5BYc1H7GoUugriUXsQasZp7+Us1jy4yItSAcZ86Y3P+T5R+Oj+aTJX54DQM2&#10;MBbhzAPwr45o2LVMN+LOWuhbwSq8eB6QJb1x+XQ0oHa5CyJl/x4qbDI7eIhCQ227QAXrJKiODTid&#10;oYvBE44/s/VylWYY4hhbrJfLq3UW72D503FjnX8roCNhUlCLXY3y7PjgfEiH5U9bwm0OlKz2Uqm4&#10;sE25U5YcGTpgH79J/adtSpO+oDfZIhsJ/FUijd+fJDrp0cpKdgW9Pm9ieeD2RlfRaJ5JNc4xZaUn&#10;kIHdSNEP5UBkhRyiMwPYEqoTorUwWhefGk5asN8p6dG2BXXfDswKStQ7je25ma9WwedxscrWKETs&#10;ZaS8jDDNUaqgnpJxuvPxbQRwGu6wjbWMgJ8zmXJGO0bu09MJfr9cx13PD3z7AwAA//8DAFBLAwQU&#10;AAYACAAAACEAzFSVBN4AAAAJAQAADwAAAGRycy9kb3ducmV2LnhtbEyPzU7DMBCE70i8g7VIXBB1&#10;IFH+iFMhJBDcoKD26sZuEmGvg+2m4e1ZTnDcmdHsN816sYbN2ofRoYCbVQJMY+fUiL2Aj/fH6xJY&#10;iBKVNA61gG8dYN2enzWyVu6Eb3rexJ5RCYZaChhinGrOQzdoK8PKTRrJOzhvZaTT91x5eaJya/ht&#10;kuTcyhHpwyAn/TDo7nNztALK7HnehZf0ddvlB1PFq2J++vJCXF4s93fAol7iXxh+8QkdWmLauyOq&#10;wIyAIq0oSXpJC8ivipyEvYAsq1LgbcP/L2h/AAAA//8DAFBLAQItABQABgAIAAAAIQC2gziS/gAA&#10;AOEBAAATAAAAAAAAAAAAAAAAAAAAAABbQ29udGVudF9UeXBlc10ueG1sUEsBAi0AFAAGAAgAAAAh&#10;ADj9If/WAAAAlAEAAAsAAAAAAAAAAAAAAAAALwEAAF9yZWxzLy5yZWxzUEsBAi0AFAAGAAgAAAAh&#10;ADyjIjAVAgAAKAQAAA4AAAAAAAAAAAAAAAAALgIAAGRycy9lMm9Eb2MueG1sUEsBAi0AFAAGAAgA&#10;AAAhAMxUlQTeAAAACQEAAA8AAAAAAAAAAAAAAAAAbwQAAGRycy9kb3ducmV2LnhtbFBLBQYAAAAA&#10;BAAEAPMAAAB6BQAAAAA=&#10;">
                <v:textbox>
                  <w:txbxContent>
                    <w:p w14:paraId="25DACA92" w14:textId="77777777" w:rsidR="004A6E7B" w:rsidRDefault="004A6E7B" w:rsidP="004A6E7B">
                      <w:pPr>
                        <w:rPr>
                          <w:sz w:val="22"/>
                        </w:rPr>
                      </w:pPr>
                      <w:r>
                        <w:rPr>
                          <w:sz w:val="22"/>
                        </w:rPr>
                        <w:t xml:space="preserve">Weighted weekly median wage (age group) = (No. Employees x Median weekly pay) </w:t>
                      </w:r>
                      <w:r>
                        <w:rPr>
                          <w:rFonts w:cs="Arial"/>
                          <w:sz w:val="22"/>
                        </w:rPr>
                        <w:t>÷</w:t>
                      </w:r>
                      <w:r>
                        <w:rPr>
                          <w:sz w:val="22"/>
                        </w:rPr>
                        <w:t xml:space="preserve"> Total No. Employees</w:t>
                      </w:r>
                    </w:p>
                    <w:p w14:paraId="559A1C47" w14:textId="77777777" w:rsidR="004A6E7B" w:rsidRDefault="004A6E7B" w:rsidP="004A6E7B">
                      <w:pPr>
                        <w:rPr>
                          <w:sz w:val="22"/>
                        </w:rPr>
                      </w:pPr>
                    </w:p>
                    <w:p w14:paraId="143BB673" w14:textId="77777777" w:rsidR="004A6E7B" w:rsidRDefault="004A6E7B" w:rsidP="004A6E7B">
                      <w:pPr>
                        <w:rPr>
                          <w:sz w:val="22"/>
                        </w:rPr>
                      </w:pPr>
                      <w:r w:rsidRPr="0019392C">
                        <w:rPr>
                          <w:sz w:val="22"/>
                        </w:rPr>
                        <w:t>Weighted weekly median wage (</w:t>
                      </w:r>
                      <w:r>
                        <w:rPr>
                          <w:sz w:val="22"/>
                        </w:rPr>
                        <w:t>16 - 29</w:t>
                      </w:r>
                      <w:r w:rsidRPr="0019392C">
                        <w:rPr>
                          <w:sz w:val="22"/>
                        </w:rPr>
                        <w:t xml:space="preserve">) = </w:t>
                      </w:r>
                      <w:r>
                        <w:rPr>
                          <w:sz w:val="22"/>
                        </w:rPr>
                        <w:t>[(</w:t>
                      </w:r>
                      <w:r w:rsidRPr="0019392C">
                        <w:rPr>
                          <w:sz w:val="22"/>
                        </w:rPr>
                        <w:t>No. Employees</w:t>
                      </w:r>
                      <w:r>
                        <w:rPr>
                          <w:sz w:val="22"/>
                        </w:rPr>
                        <w:t xml:space="preserve"> (16 -17)</w:t>
                      </w:r>
                      <w:r w:rsidRPr="0019392C">
                        <w:rPr>
                          <w:sz w:val="22"/>
                        </w:rPr>
                        <w:t xml:space="preserve"> x Median weekly pay</w:t>
                      </w:r>
                      <w:r>
                        <w:rPr>
                          <w:sz w:val="22"/>
                        </w:rPr>
                        <w:t xml:space="preserve"> (16 -17)) + (</w:t>
                      </w:r>
                      <w:r w:rsidRPr="0019392C">
                        <w:rPr>
                          <w:sz w:val="22"/>
                        </w:rPr>
                        <w:t>No. Employees</w:t>
                      </w:r>
                      <w:r>
                        <w:rPr>
                          <w:sz w:val="22"/>
                        </w:rPr>
                        <w:t xml:space="preserve"> (18 - 21)</w:t>
                      </w:r>
                      <w:r w:rsidRPr="0019392C">
                        <w:rPr>
                          <w:sz w:val="22"/>
                        </w:rPr>
                        <w:t xml:space="preserve"> x Median weekly pay</w:t>
                      </w:r>
                      <w:r>
                        <w:rPr>
                          <w:sz w:val="22"/>
                        </w:rPr>
                        <w:t xml:space="preserve"> (18 - 21)) + (</w:t>
                      </w:r>
                      <w:r w:rsidRPr="0019392C">
                        <w:rPr>
                          <w:sz w:val="22"/>
                        </w:rPr>
                        <w:t>No. Employees</w:t>
                      </w:r>
                      <w:r>
                        <w:rPr>
                          <w:sz w:val="22"/>
                        </w:rPr>
                        <w:t xml:space="preserve"> (22 - 29)</w:t>
                      </w:r>
                      <w:r w:rsidRPr="0019392C">
                        <w:rPr>
                          <w:sz w:val="22"/>
                        </w:rPr>
                        <w:t xml:space="preserve"> x Median weekly pay</w:t>
                      </w:r>
                      <w:r>
                        <w:rPr>
                          <w:sz w:val="22"/>
                        </w:rPr>
                        <w:t xml:space="preserve"> (22 -29))] </w:t>
                      </w:r>
                      <w:r>
                        <w:rPr>
                          <w:rFonts w:cs="Arial"/>
                          <w:sz w:val="22"/>
                        </w:rPr>
                        <w:t>÷</w:t>
                      </w:r>
                      <w:r>
                        <w:rPr>
                          <w:sz w:val="22"/>
                        </w:rPr>
                        <w:t xml:space="preserve"> (No. Employees (16 - 17) + No. Employees (18 – 21) + No. Employees (22 – 29))</w:t>
                      </w:r>
                    </w:p>
                    <w:p w14:paraId="51D30768" w14:textId="77777777" w:rsidR="004A6E7B" w:rsidRDefault="004A6E7B" w:rsidP="004A6E7B">
                      <w:pPr>
                        <w:rPr>
                          <w:sz w:val="22"/>
                        </w:rPr>
                      </w:pPr>
                    </w:p>
                    <w:p w14:paraId="27D01260" w14:textId="125ADC8A" w:rsidR="004A6E7B" w:rsidRDefault="004A6E7B" w:rsidP="004A6E7B">
                      <w:pPr>
                        <w:rPr>
                          <w:sz w:val="22"/>
                        </w:rPr>
                      </w:pPr>
                      <w:r w:rsidRPr="009F4E58">
                        <w:rPr>
                          <w:sz w:val="22"/>
                        </w:rPr>
                        <w:t xml:space="preserve">= (124 x 71.50) + (611 x 185.30) + (2,239 x 437.90) </w:t>
                      </w:r>
                      <w:r w:rsidR="005D725A" w:rsidRPr="009F4E58">
                        <w:rPr>
                          <w:sz w:val="22"/>
                        </w:rPr>
                        <w:t>/</w:t>
                      </w:r>
                      <w:r w:rsidR="00B7470A" w:rsidRPr="009F4E58">
                        <w:rPr>
                          <w:sz w:val="22"/>
                        </w:rPr>
                        <w:t xml:space="preserve"> </w:t>
                      </w:r>
                      <w:r w:rsidR="002710FC" w:rsidRPr="009F4E58">
                        <w:rPr>
                          <w:sz w:val="22"/>
                        </w:rPr>
                        <w:t>(124 + 611 + 2,239)</w:t>
                      </w:r>
                      <w:r w:rsidR="005D725A" w:rsidRPr="009F4E58">
                        <w:rPr>
                          <w:sz w:val="22"/>
                        </w:rPr>
                        <w:t xml:space="preserve"> </w:t>
                      </w:r>
                      <w:r w:rsidRPr="009F4E58">
                        <w:rPr>
                          <w:sz w:val="22"/>
                        </w:rPr>
                        <w:t>= £370.70</w:t>
                      </w:r>
                    </w:p>
                    <w:p w14:paraId="745DAE6F" w14:textId="77777777" w:rsidR="004A6E7B" w:rsidRDefault="004A6E7B" w:rsidP="004A6E7B">
                      <w:pPr>
                        <w:rPr>
                          <w:sz w:val="22"/>
                        </w:rPr>
                      </w:pPr>
                    </w:p>
                    <w:p w14:paraId="48F9D60E" w14:textId="77777777" w:rsidR="004A6E7B" w:rsidRDefault="004A6E7B" w:rsidP="004A6E7B">
                      <w:pPr>
                        <w:rPr>
                          <w:sz w:val="22"/>
                        </w:rPr>
                      </w:pPr>
                      <w:r>
                        <w:rPr>
                          <w:sz w:val="22"/>
                        </w:rPr>
                        <w:t>When continued to cover 30 to 60+ age group.</w:t>
                      </w:r>
                    </w:p>
                    <w:p w14:paraId="3395A922" w14:textId="77777777" w:rsidR="004A6E7B" w:rsidRDefault="004A6E7B" w:rsidP="004A6E7B">
                      <w:pPr>
                        <w:rPr>
                          <w:sz w:val="22"/>
                        </w:rPr>
                      </w:pPr>
                      <w:r>
                        <w:rPr>
                          <w:sz w:val="22"/>
                        </w:rPr>
                        <w:t>Weighted weekly median wage (new and expectant mothers) = (Weekly median pay x % live births by age of mother</w:t>
                      </w:r>
                    </w:p>
                    <w:p w14:paraId="0F865339" w14:textId="77777777" w:rsidR="004A6E7B" w:rsidRDefault="004A6E7B" w:rsidP="004A6E7B">
                      <w:pPr>
                        <w:rPr>
                          <w:sz w:val="22"/>
                        </w:rPr>
                      </w:pPr>
                    </w:p>
                    <w:p w14:paraId="2F336B54" w14:textId="77777777" w:rsidR="004A6E7B" w:rsidRDefault="004A6E7B" w:rsidP="004A6E7B">
                      <w:pPr>
                        <w:rPr>
                          <w:sz w:val="22"/>
                        </w:rPr>
                      </w:pPr>
                      <w:r>
                        <w:rPr>
                          <w:sz w:val="22"/>
                        </w:rPr>
                        <w:t xml:space="preserve">= (£370.70 x 43.4%) + (£470.20 x 52.0%) + (£409.90 x 4.6%) = </w:t>
                      </w:r>
                      <w:r w:rsidRPr="009F4E58">
                        <w:rPr>
                          <w:sz w:val="22"/>
                        </w:rPr>
                        <w:t>£424.21</w:t>
                      </w:r>
                    </w:p>
                    <w:p w14:paraId="62A94324" w14:textId="77777777" w:rsidR="004A6E7B" w:rsidRDefault="004A6E7B" w:rsidP="004A6E7B">
                      <w:pPr>
                        <w:rPr>
                          <w:sz w:val="22"/>
                        </w:rPr>
                      </w:pPr>
                    </w:p>
                    <w:p w14:paraId="12819CD0" w14:textId="77777777" w:rsidR="004A6E7B" w:rsidRDefault="004A6E7B" w:rsidP="004A6E7B">
                      <w:pPr>
                        <w:rPr>
                          <w:sz w:val="22"/>
                        </w:rPr>
                      </w:pPr>
                    </w:p>
                    <w:p w14:paraId="11699E26" w14:textId="77777777" w:rsidR="004A6E7B" w:rsidRPr="0019392C" w:rsidRDefault="004A6E7B" w:rsidP="004A6E7B">
                      <w:pPr>
                        <w:rPr>
                          <w:sz w:val="22"/>
                        </w:rPr>
                      </w:pPr>
                    </w:p>
                    <w:p w14:paraId="1BE4CF54" w14:textId="77777777" w:rsidR="004A6E7B" w:rsidRPr="00FD7DF9" w:rsidRDefault="004A6E7B" w:rsidP="004A6E7B">
                      <w:pPr>
                        <w:rPr>
                          <w:sz w:val="22"/>
                        </w:rPr>
                      </w:pPr>
                    </w:p>
                  </w:txbxContent>
                </v:textbox>
                <w10:wrap type="square" anchorx="margin"/>
              </v:shape>
            </w:pict>
          </mc:Fallback>
        </mc:AlternateContent>
      </w:r>
    </w:p>
    <w:p w14:paraId="707F1295" w14:textId="77777777" w:rsidR="004A6E7B" w:rsidRPr="00E639A0" w:rsidRDefault="004A6E7B" w:rsidP="004A6E7B">
      <w:pPr>
        <w:pStyle w:val="ListParagraph"/>
        <w:rPr>
          <w:rFonts w:cs="Arial"/>
        </w:rPr>
      </w:pPr>
    </w:p>
    <w:p w14:paraId="55F8C41B" w14:textId="781AC6D0" w:rsidR="004A6E7B" w:rsidRPr="00E639A0" w:rsidRDefault="004A6E7B" w:rsidP="004A6E7B">
      <w:pPr>
        <w:pStyle w:val="EBBodyPara"/>
        <w:numPr>
          <w:ilvl w:val="0"/>
          <w:numId w:val="7"/>
        </w:numPr>
        <w:rPr>
          <w:sz w:val="24"/>
          <w:szCs w:val="24"/>
        </w:rPr>
      </w:pPr>
      <w:r w:rsidRPr="00E639A0">
        <w:rPr>
          <w:sz w:val="24"/>
          <w:szCs w:val="24"/>
        </w:rPr>
        <w:t xml:space="preserve">Table </w:t>
      </w:r>
      <w:r w:rsidR="00CD4C06" w:rsidRPr="00E639A0">
        <w:rPr>
          <w:sz w:val="24"/>
          <w:szCs w:val="24"/>
        </w:rPr>
        <w:t>11</w:t>
      </w:r>
      <w:r w:rsidRPr="00E639A0">
        <w:rPr>
          <w:sz w:val="24"/>
          <w:szCs w:val="24"/>
        </w:rPr>
        <w:t xml:space="preserve"> sets out the calculations for labour costs for the central estimate, where 50% of companies fall into scenario 2.</w:t>
      </w:r>
    </w:p>
    <w:p w14:paraId="5888F8C0" w14:textId="0F4DE1FD" w:rsidR="004A6E7B" w:rsidRPr="00E639A0" w:rsidRDefault="004A6E7B" w:rsidP="004A6E7B">
      <w:pPr>
        <w:pStyle w:val="EBBodyPara"/>
        <w:numPr>
          <w:ilvl w:val="0"/>
          <w:numId w:val="7"/>
        </w:numPr>
        <w:rPr>
          <w:sz w:val="24"/>
          <w:szCs w:val="24"/>
        </w:rPr>
      </w:pPr>
      <w:r w:rsidRPr="00E639A0">
        <w:rPr>
          <w:sz w:val="24"/>
          <w:szCs w:val="24"/>
        </w:rPr>
        <w:t xml:space="preserve">For the pregnant women otherwise made redundant, we estimate the labour costs for the 20 weeks before maternity leave and 39 weeks after the end of maternity leave. For new mothers and adoptive parents returning to work, we follow a similar approach but only estimate labour costs for nine months of protection after they return from maternity/adoption leave. For </w:t>
      </w:r>
      <w:r w:rsidR="004328AA" w:rsidRPr="00E639A0">
        <w:rPr>
          <w:sz w:val="24"/>
          <w:szCs w:val="24"/>
        </w:rPr>
        <w:t>partners</w:t>
      </w:r>
      <w:r w:rsidRPr="00E639A0">
        <w:rPr>
          <w:sz w:val="24"/>
          <w:szCs w:val="24"/>
        </w:rPr>
        <w:t xml:space="preserve"> returning from SPL, we estimate the labour costs for 15.7 months of redundancy protection. Wages are uplifted to account for the time away from work. Following the approach set out in Table 10 for each group of parents, we </w:t>
      </w:r>
      <w:r w:rsidRPr="00E639A0">
        <w:rPr>
          <w:b/>
          <w:i/>
          <w:sz w:val="24"/>
          <w:szCs w:val="24"/>
        </w:rPr>
        <w:t>estimate illustrative labour costs to employers of keeping mother employed at £89.5m per year. In our low-cost estimate</w:t>
      </w:r>
      <w:r w:rsidR="00A72F83" w:rsidRPr="00E639A0">
        <w:rPr>
          <w:b/>
          <w:i/>
          <w:sz w:val="24"/>
          <w:szCs w:val="24"/>
        </w:rPr>
        <w:t xml:space="preserve"> (where all business fall under Scenario 1)</w:t>
      </w:r>
      <w:r w:rsidRPr="00E639A0">
        <w:rPr>
          <w:b/>
          <w:i/>
          <w:sz w:val="24"/>
          <w:szCs w:val="24"/>
        </w:rPr>
        <w:t>, businesses do not incur any labour costs and in our high cost estimate</w:t>
      </w:r>
      <w:r w:rsidR="00A72F83" w:rsidRPr="00E639A0">
        <w:rPr>
          <w:b/>
          <w:i/>
          <w:sz w:val="24"/>
          <w:szCs w:val="24"/>
        </w:rPr>
        <w:t xml:space="preserve"> (where all businesses fall under Scenario 2)</w:t>
      </w:r>
      <w:r w:rsidRPr="00E639A0">
        <w:rPr>
          <w:b/>
          <w:i/>
          <w:sz w:val="24"/>
          <w:szCs w:val="24"/>
        </w:rPr>
        <w:t xml:space="preserve"> labour costs are £178.9m per year.</w:t>
      </w:r>
      <w:r w:rsidRPr="00E639A0">
        <w:rPr>
          <w:sz w:val="24"/>
          <w:szCs w:val="24"/>
        </w:rPr>
        <w:t xml:space="preserve"> </w:t>
      </w:r>
    </w:p>
    <w:p w14:paraId="571CFA72" w14:textId="77777777" w:rsidR="004A6E7B" w:rsidRPr="00E639A0" w:rsidRDefault="004A6E7B" w:rsidP="00CD4C06">
      <w:pPr>
        <w:pStyle w:val="Heading4"/>
        <w:rPr>
          <w:sz w:val="24"/>
          <w:szCs w:val="24"/>
        </w:rPr>
      </w:pPr>
      <w:r w:rsidRPr="00E639A0">
        <w:rPr>
          <w:sz w:val="24"/>
          <w:szCs w:val="24"/>
        </w:rPr>
        <w:t>Table 11 – Illustrative labour costs for pregnant women and mothers returning to work (best estimate)</w:t>
      </w:r>
    </w:p>
    <w:p w14:paraId="0DC0CF91" w14:textId="77777777" w:rsidR="004A6E7B" w:rsidRPr="00E639A0" w:rsidRDefault="004A6E7B" w:rsidP="004A6E7B">
      <w:pPr>
        <w:rPr>
          <w:rFonts w:cs="Arial"/>
        </w:rPr>
      </w:pPr>
    </w:p>
    <w:tbl>
      <w:tblPr>
        <w:tblW w:w="8359" w:type="dxa"/>
        <w:jc w:val="center"/>
        <w:tblLook w:val="04A0" w:firstRow="1" w:lastRow="0" w:firstColumn="1" w:lastColumn="0" w:noHBand="0" w:noVBand="1"/>
      </w:tblPr>
      <w:tblGrid>
        <w:gridCol w:w="3823"/>
        <w:gridCol w:w="1842"/>
        <w:gridCol w:w="2694"/>
      </w:tblGrid>
      <w:tr w:rsidR="004A6E7B" w:rsidRPr="00E639A0" w14:paraId="3B13EB3E" w14:textId="77777777">
        <w:trPr>
          <w:trHeight w:val="300"/>
          <w:jc w:val="center"/>
        </w:trPr>
        <w:tc>
          <w:tcPr>
            <w:tcW w:w="382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7B396" w14:textId="77777777" w:rsidR="004A6E7B" w:rsidRPr="00E639A0" w:rsidRDefault="004A6E7B">
            <w:pPr>
              <w:rPr>
                <w:rFonts w:cs="Arial"/>
                <w:color w:val="000000"/>
                <w:lang w:eastAsia="en-GB"/>
              </w:rPr>
            </w:pPr>
            <w:r w:rsidRPr="00E639A0">
              <w:rPr>
                <w:rFonts w:cs="Arial"/>
                <w:color w:val="000000"/>
                <w:lang w:eastAsia="en-GB"/>
              </w:rPr>
              <w:t> </w:t>
            </w:r>
          </w:p>
        </w:tc>
        <w:tc>
          <w:tcPr>
            <w:tcW w:w="1842" w:type="dxa"/>
            <w:tcBorders>
              <w:top w:val="single" w:sz="4" w:space="0" w:color="auto"/>
              <w:left w:val="nil"/>
              <w:bottom w:val="single" w:sz="4" w:space="0" w:color="auto"/>
              <w:right w:val="single" w:sz="4" w:space="0" w:color="auto"/>
            </w:tcBorders>
            <w:shd w:val="clear" w:color="auto" w:fill="auto"/>
            <w:noWrap/>
            <w:vAlign w:val="bottom"/>
            <w:hideMark/>
          </w:tcPr>
          <w:p w14:paraId="2BE14707" w14:textId="77777777" w:rsidR="004A6E7B" w:rsidRPr="00E639A0" w:rsidRDefault="004A6E7B">
            <w:pPr>
              <w:jc w:val="center"/>
              <w:rPr>
                <w:rFonts w:cs="Arial"/>
                <w:b/>
                <w:bCs/>
                <w:color w:val="000000"/>
                <w:lang w:eastAsia="en-GB"/>
              </w:rPr>
            </w:pPr>
            <w:r w:rsidRPr="00E639A0">
              <w:rPr>
                <w:rFonts w:cs="Arial"/>
                <w:b/>
                <w:bCs/>
                <w:color w:val="000000"/>
                <w:lang w:eastAsia="en-GB"/>
              </w:rPr>
              <w:t>Pregnant women</w:t>
            </w:r>
          </w:p>
        </w:tc>
        <w:tc>
          <w:tcPr>
            <w:tcW w:w="2694" w:type="dxa"/>
            <w:tcBorders>
              <w:top w:val="single" w:sz="4" w:space="0" w:color="auto"/>
              <w:left w:val="nil"/>
              <w:bottom w:val="single" w:sz="4" w:space="0" w:color="auto"/>
              <w:right w:val="single" w:sz="4" w:space="0" w:color="auto"/>
            </w:tcBorders>
            <w:shd w:val="clear" w:color="auto" w:fill="auto"/>
            <w:noWrap/>
            <w:vAlign w:val="bottom"/>
            <w:hideMark/>
          </w:tcPr>
          <w:p w14:paraId="7C6EA098" w14:textId="77777777" w:rsidR="004A6E7B" w:rsidRPr="00E639A0" w:rsidRDefault="004A6E7B">
            <w:pPr>
              <w:jc w:val="center"/>
              <w:rPr>
                <w:rFonts w:cs="Arial"/>
                <w:b/>
                <w:bCs/>
                <w:color w:val="000000"/>
                <w:lang w:eastAsia="en-GB"/>
              </w:rPr>
            </w:pPr>
            <w:r w:rsidRPr="00E639A0">
              <w:rPr>
                <w:rFonts w:cs="Arial"/>
                <w:b/>
                <w:bCs/>
                <w:color w:val="000000"/>
                <w:lang w:eastAsia="en-GB"/>
              </w:rPr>
              <w:t>Mothers returning to work</w:t>
            </w:r>
          </w:p>
        </w:tc>
      </w:tr>
      <w:tr w:rsidR="004A6E7B" w:rsidRPr="00E639A0" w14:paraId="79D43A17" w14:textId="77777777">
        <w:trPr>
          <w:trHeight w:val="30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06348577" w14:textId="77777777" w:rsidR="004A6E7B" w:rsidRPr="00E639A0" w:rsidRDefault="004A6E7B">
            <w:pPr>
              <w:rPr>
                <w:rFonts w:cs="Arial"/>
                <w:color w:val="000000"/>
                <w:lang w:eastAsia="en-GB"/>
              </w:rPr>
            </w:pPr>
            <w:r w:rsidRPr="00E639A0">
              <w:rPr>
                <w:rFonts w:cs="Arial"/>
                <w:color w:val="000000"/>
                <w:lang w:eastAsia="en-GB"/>
              </w:rPr>
              <w:t>Population size</w:t>
            </w:r>
          </w:p>
        </w:tc>
        <w:tc>
          <w:tcPr>
            <w:tcW w:w="1842" w:type="dxa"/>
            <w:tcBorders>
              <w:top w:val="nil"/>
              <w:left w:val="nil"/>
              <w:bottom w:val="single" w:sz="4" w:space="0" w:color="auto"/>
              <w:right w:val="single" w:sz="4" w:space="0" w:color="auto"/>
            </w:tcBorders>
            <w:shd w:val="clear" w:color="auto" w:fill="auto"/>
            <w:noWrap/>
            <w:vAlign w:val="bottom"/>
            <w:hideMark/>
          </w:tcPr>
          <w:p w14:paraId="27F0D4D6" w14:textId="77777777" w:rsidR="004A6E7B" w:rsidRPr="00E639A0" w:rsidRDefault="004A6E7B">
            <w:pPr>
              <w:jc w:val="center"/>
              <w:rPr>
                <w:rFonts w:cs="Arial"/>
                <w:color w:val="000000"/>
                <w:lang w:eastAsia="en-GB"/>
              </w:rPr>
            </w:pPr>
            <w:r w:rsidRPr="00E639A0">
              <w:rPr>
                <w:rFonts w:cs="Arial"/>
                <w:color w:val="000000"/>
                <w:lang w:eastAsia="en-GB"/>
              </w:rPr>
              <w:t>2,500</w:t>
            </w:r>
          </w:p>
        </w:tc>
        <w:tc>
          <w:tcPr>
            <w:tcW w:w="2694" w:type="dxa"/>
            <w:tcBorders>
              <w:top w:val="nil"/>
              <w:left w:val="nil"/>
              <w:bottom w:val="single" w:sz="4" w:space="0" w:color="auto"/>
              <w:right w:val="single" w:sz="4" w:space="0" w:color="auto"/>
            </w:tcBorders>
            <w:shd w:val="clear" w:color="auto" w:fill="auto"/>
            <w:noWrap/>
            <w:vAlign w:val="bottom"/>
            <w:hideMark/>
          </w:tcPr>
          <w:p w14:paraId="5D21EED5" w14:textId="77777777" w:rsidR="004A6E7B" w:rsidRPr="00E639A0" w:rsidRDefault="004A6E7B">
            <w:pPr>
              <w:jc w:val="center"/>
              <w:rPr>
                <w:rFonts w:cs="Arial"/>
                <w:color w:val="000000"/>
                <w:lang w:eastAsia="en-GB"/>
              </w:rPr>
            </w:pPr>
            <w:r w:rsidRPr="00E639A0">
              <w:rPr>
                <w:rFonts w:cs="Arial"/>
                <w:color w:val="000000"/>
                <w:lang w:eastAsia="en-GB"/>
              </w:rPr>
              <w:t>5,000</w:t>
            </w:r>
          </w:p>
        </w:tc>
      </w:tr>
      <w:tr w:rsidR="004A6E7B" w:rsidRPr="00E639A0" w14:paraId="4845FAEC" w14:textId="77777777">
        <w:trPr>
          <w:trHeight w:val="30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DC586F4" w14:textId="77777777" w:rsidR="004A6E7B" w:rsidRPr="00E639A0" w:rsidRDefault="004A6E7B">
            <w:pPr>
              <w:rPr>
                <w:rFonts w:cs="Arial"/>
                <w:color w:val="000000"/>
                <w:lang w:eastAsia="en-GB"/>
              </w:rPr>
            </w:pPr>
            <w:r w:rsidRPr="00E639A0">
              <w:rPr>
                <w:rFonts w:cs="Arial"/>
                <w:color w:val="000000"/>
                <w:lang w:eastAsia="en-GB"/>
              </w:rPr>
              <w:t>% of businesses falling into scenario 2</w:t>
            </w:r>
          </w:p>
        </w:tc>
        <w:tc>
          <w:tcPr>
            <w:tcW w:w="1842" w:type="dxa"/>
            <w:tcBorders>
              <w:top w:val="nil"/>
              <w:left w:val="nil"/>
              <w:bottom w:val="single" w:sz="4" w:space="0" w:color="auto"/>
              <w:right w:val="single" w:sz="4" w:space="0" w:color="auto"/>
            </w:tcBorders>
            <w:shd w:val="clear" w:color="auto" w:fill="auto"/>
            <w:noWrap/>
            <w:vAlign w:val="bottom"/>
            <w:hideMark/>
          </w:tcPr>
          <w:p w14:paraId="7DD72F8E" w14:textId="77777777" w:rsidR="004A6E7B" w:rsidRPr="00E639A0" w:rsidRDefault="004A6E7B">
            <w:pPr>
              <w:jc w:val="center"/>
              <w:rPr>
                <w:rFonts w:cs="Arial"/>
                <w:color w:val="000000"/>
                <w:lang w:eastAsia="en-GB"/>
              </w:rPr>
            </w:pPr>
            <w:r w:rsidRPr="00E639A0">
              <w:rPr>
                <w:rFonts w:cs="Arial"/>
                <w:color w:val="000000"/>
                <w:lang w:eastAsia="en-GB"/>
              </w:rPr>
              <w:t>50%</w:t>
            </w:r>
          </w:p>
        </w:tc>
        <w:tc>
          <w:tcPr>
            <w:tcW w:w="2694" w:type="dxa"/>
            <w:tcBorders>
              <w:top w:val="nil"/>
              <w:left w:val="nil"/>
              <w:bottom w:val="single" w:sz="4" w:space="0" w:color="auto"/>
              <w:right w:val="single" w:sz="4" w:space="0" w:color="auto"/>
            </w:tcBorders>
            <w:shd w:val="clear" w:color="auto" w:fill="auto"/>
            <w:noWrap/>
            <w:vAlign w:val="bottom"/>
            <w:hideMark/>
          </w:tcPr>
          <w:p w14:paraId="43485086" w14:textId="77777777" w:rsidR="004A6E7B" w:rsidRPr="00E639A0" w:rsidRDefault="004A6E7B">
            <w:pPr>
              <w:jc w:val="center"/>
              <w:rPr>
                <w:rFonts w:cs="Arial"/>
                <w:color w:val="000000"/>
                <w:lang w:eastAsia="en-GB"/>
              </w:rPr>
            </w:pPr>
            <w:r w:rsidRPr="00E639A0">
              <w:rPr>
                <w:rFonts w:cs="Arial"/>
                <w:color w:val="000000"/>
                <w:lang w:eastAsia="en-GB"/>
              </w:rPr>
              <w:t>50%</w:t>
            </w:r>
          </w:p>
        </w:tc>
      </w:tr>
      <w:tr w:rsidR="004A6E7B" w:rsidRPr="00E639A0" w14:paraId="17D83A92" w14:textId="77777777">
        <w:trPr>
          <w:trHeight w:val="30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FB80C32" w14:textId="77777777" w:rsidR="004A6E7B" w:rsidRPr="00E639A0" w:rsidRDefault="004A6E7B">
            <w:pPr>
              <w:rPr>
                <w:rFonts w:cs="Arial"/>
                <w:color w:val="000000"/>
                <w:lang w:eastAsia="en-GB"/>
              </w:rPr>
            </w:pPr>
            <w:r w:rsidRPr="00E639A0">
              <w:rPr>
                <w:rFonts w:cs="Arial"/>
                <w:color w:val="000000"/>
                <w:lang w:eastAsia="en-GB"/>
              </w:rPr>
              <w:t>Adjusted population</w:t>
            </w:r>
            <w:r w:rsidRPr="00E639A0">
              <w:rPr>
                <w:rStyle w:val="FootnoteReference"/>
                <w:rFonts w:cs="Arial"/>
                <w:color w:val="000000"/>
                <w:sz w:val="24"/>
                <w:lang w:eastAsia="en-GB"/>
              </w:rPr>
              <w:footnoteReference w:id="56"/>
            </w:r>
          </w:p>
        </w:tc>
        <w:tc>
          <w:tcPr>
            <w:tcW w:w="1842" w:type="dxa"/>
            <w:tcBorders>
              <w:top w:val="nil"/>
              <w:left w:val="nil"/>
              <w:bottom w:val="single" w:sz="4" w:space="0" w:color="auto"/>
              <w:right w:val="single" w:sz="4" w:space="0" w:color="auto"/>
            </w:tcBorders>
            <w:shd w:val="clear" w:color="auto" w:fill="auto"/>
            <w:noWrap/>
            <w:vAlign w:val="bottom"/>
            <w:hideMark/>
          </w:tcPr>
          <w:p w14:paraId="12B8B98D" w14:textId="355882CD" w:rsidR="004A6E7B" w:rsidRPr="00E639A0" w:rsidRDefault="004A6E7B">
            <w:pPr>
              <w:jc w:val="center"/>
              <w:rPr>
                <w:rFonts w:cs="Arial"/>
                <w:b/>
                <w:color w:val="000000"/>
                <w:lang w:eastAsia="en-GB"/>
              </w:rPr>
            </w:pPr>
            <w:r w:rsidRPr="00E639A0">
              <w:rPr>
                <w:rFonts w:cs="Arial"/>
                <w:b/>
                <w:color w:val="000000"/>
                <w:lang w:eastAsia="en-GB"/>
              </w:rPr>
              <w:t>1,200</w:t>
            </w:r>
          </w:p>
        </w:tc>
        <w:tc>
          <w:tcPr>
            <w:tcW w:w="2694" w:type="dxa"/>
            <w:tcBorders>
              <w:top w:val="nil"/>
              <w:left w:val="nil"/>
              <w:bottom w:val="single" w:sz="4" w:space="0" w:color="auto"/>
              <w:right w:val="single" w:sz="4" w:space="0" w:color="auto"/>
            </w:tcBorders>
            <w:shd w:val="clear" w:color="auto" w:fill="auto"/>
            <w:noWrap/>
            <w:vAlign w:val="bottom"/>
            <w:hideMark/>
          </w:tcPr>
          <w:p w14:paraId="53B31277" w14:textId="77777777" w:rsidR="004A6E7B" w:rsidRPr="00E639A0" w:rsidRDefault="004A6E7B">
            <w:pPr>
              <w:jc w:val="center"/>
              <w:rPr>
                <w:rFonts w:cs="Arial"/>
                <w:b/>
                <w:color w:val="000000"/>
                <w:lang w:eastAsia="en-GB"/>
              </w:rPr>
            </w:pPr>
            <w:r w:rsidRPr="00E639A0">
              <w:rPr>
                <w:rFonts w:cs="Arial"/>
                <w:b/>
                <w:color w:val="000000"/>
                <w:lang w:eastAsia="en-GB"/>
              </w:rPr>
              <w:t>2,500</w:t>
            </w:r>
          </w:p>
        </w:tc>
      </w:tr>
      <w:tr w:rsidR="004A6E7B" w:rsidRPr="00E639A0" w14:paraId="76A1F7C5" w14:textId="77777777" w:rsidTr="00780E24">
        <w:trPr>
          <w:trHeight w:val="30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5D4BB69F" w14:textId="77777777" w:rsidR="004A6E7B" w:rsidRPr="00E639A0" w:rsidRDefault="004A6E7B">
            <w:pPr>
              <w:rPr>
                <w:rFonts w:cs="Arial"/>
                <w:color w:val="000000"/>
                <w:lang w:eastAsia="en-GB"/>
              </w:rPr>
            </w:pPr>
            <w:r w:rsidRPr="00E639A0">
              <w:rPr>
                <w:rFonts w:cs="Arial"/>
                <w:color w:val="000000"/>
                <w:lang w:eastAsia="en-GB"/>
              </w:rPr>
              <w:t>Unit labour costs (before Maternity leave)</w:t>
            </w:r>
          </w:p>
        </w:tc>
        <w:tc>
          <w:tcPr>
            <w:tcW w:w="1842" w:type="dxa"/>
            <w:tcBorders>
              <w:top w:val="nil"/>
              <w:left w:val="nil"/>
              <w:bottom w:val="single" w:sz="4" w:space="0" w:color="auto"/>
              <w:right w:val="single" w:sz="4" w:space="0" w:color="auto"/>
            </w:tcBorders>
            <w:shd w:val="clear" w:color="auto" w:fill="auto"/>
            <w:noWrap/>
            <w:vAlign w:val="bottom"/>
            <w:hideMark/>
          </w:tcPr>
          <w:p w14:paraId="3CA9EBD2" w14:textId="77777777" w:rsidR="004A6E7B" w:rsidRPr="00E639A0" w:rsidRDefault="004A6E7B">
            <w:pPr>
              <w:jc w:val="center"/>
              <w:rPr>
                <w:rFonts w:cs="Arial"/>
                <w:color w:val="000000"/>
                <w:lang w:eastAsia="en-GB"/>
              </w:rPr>
            </w:pPr>
            <w:r w:rsidRPr="00E639A0">
              <w:rPr>
                <w:rFonts w:cs="Arial"/>
                <w:color w:val="000000"/>
                <w:lang w:eastAsia="en-GB"/>
              </w:rPr>
              <w:t>£516.67</w:t>
            </w:r>
          </w:p>
        </w:tc>
        <w:tc>
          <w:tcPr>
            <w:tcW w:w="2694" w:type="dxa"/>
            <w:tcBorders>
              <w:top w:val="nil"/>
              <w:left w:val="nil"/>
              <w:bottom w:val="single" w:sz="4" w:space="0" w:color="auto"/>
              <w:right w:val="single" w:sz="4" w:space="0" w:color="auto"/>
            </w:tcBorders>
            <w:shd w:val="clear" w:color="auto" w:fill="auto"/>
            <w:noWrap/>
            <w:vAlign w:val="bottom"/>
            <w:hideMark/>
          </w:tcPr>
          <w:p w14:paraId="5DC8AD01" w14:textId="77777777" w:rsidR="004A6E7B" w:rsidRPr="00E639A0" w:rsidRDefault="004A6E7B">
            <w:pPr>
              <w:rPr>
                <w:rFonts w:cs="Arial"/>
                <w:color w:val="000000"/>
                <w:lang w:eastAsia="en-GB"/>
              </w:rPr>
            </w:pPr>
            <w:r w:rsidRPr="00E639A0">
              <w:rPr>
                <w:rFonts w:cs="Arial"/>
                <w:color w:val="000000"/>
                <w:lang w:eastAsia="en-GB"/>
              </w:rPr>
              <w:t> </w:t>
            </w:r>
          </w:p>
        </w:tc>
      </w:tr>
      <w:tr w:rsidR="004A6E7B" w:rsidRPr="00E639A0" w14:paraId="263EA07C" w14:textId="77777777" w:rsidTr="00780E24">
        <w:trPr>
          <w:trHeight w:val="30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3EAB3CCC" w14:textId="77777777" w:rsidR="004A6E7B" w:rsidRPr="00E639A0" w:rsidRDefault="004A6E7B">
            <w:pPr>
              <w:rPr>
                <w:rFonts w:cs="Arial"/>
                <w:color w:val="000000"/>
                <w:lang w:eastAsia="en-GB"/>
              </w:rPr>
            </w:pPr>
            <w:r w:rsidRPr="00E639A0">
              <w:rPr>
                <w:rFonts w:cs="Arial"/>
                <w:color w:val="000000"/>
                <w:lang w:eastAsia="en-GB"/>
              </w:rPr>
              <w:t>Total labour costs (before Maternity leave) – 20 weeks</w:t>
            </w:r>
          </w:p>
        </w:tc>
        <w:tc>
          <w:tcPr>
            <w:tcW w:w="1842" w:type="dxa"/>
            <w:tcBorders>
              <w:top w:val="nil"/>
              <w:left w:val="nil"/>
              <w:bottom w:val="single" w:sz="4" w:space="0" w:color="auto"/>
              <w:right w:val="single" w:sz="4" w:space="0" w:color="auto"/>
            </w:tcBorders>
            <w:shd w:val="clear" w:color="auto" w:fill="auto"/>
            <w:noWrap/>
            <w:vAlign w:val="bottom"/>
            <w:hideMark/>
          </w:tcPr>
          <w:p w14:paraId="4A483E3E" w14:textId="77777777" w:rsidR="004A6E7B" w:rsidRPr="00E639A0" w:rsidRDefault="004A6E7B">
            <w:pPr>
              <w:jc w:val="center"/>
              <w:rPr>
                <w:rFonts w:cs="Arial"/>
                <w:color w:val="000000"/>
                <w:lang w:eastAsia="en-GB"/>
              </w:rPr>
            </w:pPr>
            <w:r w:rsidRPr="00E639A0">
              <w:rPr>
                <w:rFonts w:cs="Arial"/>
                <w:color w:val="000000"/>
                <w:lang w:eastAsia="en-GB"/>
              </w:rPr>
              <w:t>£12.8m</w:t>
            </w:r>
          </w:p>
        </w:tc>
        <w:tc>
          <w:tcPr>
            <w:tcW w:w="2694" w:type="dxa"/>
            <w:tcBorders>
              <w:top w:val="nil"/>
              <w:left w:val="nil"/>
              <w:bottom w:val="single" w:sz="4" w:space="0" w:color="auto"/>
              <w:right w:val="single" w:sz="4" w:space="0" w:color="auto"/>
            </w:tcBorders>
            <w:shd w:val="clear" w:color="auto" w:fill="auto"/>
            <w:noWrap/>
            <w:vAlign w:val="bottom"/>
            <w:hideMark/>
          </w:tcPr>
          <w:p w14:paraId="5088AC16" w14:textId="77777777" w:rsidR="004A6E7B" w:rsidRPr="00E639A0" w:rsidRDefault="004A6E7B">
            <w:pPr>
              <w:rPr>
                <w:rFonts w:cs="Arial"/>
                <w:color w:val="000000"/>
                <w:lang w:eastAsia="en-GB"/>
              </w:rPr>
            </w:pPr>
            <w:r w:rsidRPr="00E639A0">
              <w:rPr>
                <w:rFonts w:cs="Arial"/>
                <w:color w:val="000000"/>
                <w:lang w:eastAsia="en-GB"/>
              </w:rPr>
              <w:t> </w:t>
            </w:r>
          </w:p>
        </w:tc>
      </w:tr>
      <w:tr w:rsidR="004A6E7B" w:rsidRPr="00E639A0" w14:paraId="3263FBF4" w14:textId="77777777">
        <w:trPr>
          <w:trHeight w:val="30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B9F7C61" w14:textId="77777777" w:rsidR="004A6E7B" w:rsidRPr="00E639A0" w:rsidRDefault="004A6E7B">
            <w:pPr>
              <w:rPr>
                <w:rFonts w:cs="Arial"/>
                <w:color w:val="000000"/>
                <w:lang w:eastAsia="en-GB"/>
              </w:rPr>
            </w:pPr>
            <w:r w:rsidRPr="00E639A0">
              <w:rPr>
                <w:rFonts w:cs="Arial"/>
                <w:color w:val="000000"/>
                <w:lang w:eastAsia="en-GB"/>
              </w:rPr>
              <w:t>Unit labour costs (upon return to work)</w:t>
            </w:r>
            <w:r w:rsidRPr="00E639A0">
              <w:rPr>
                <w:rStyle w:val="FootnoteReference"/>
                <w:rFonts w:cs="Arial"/>
                <w:color w:val="000000"/>
                <w:sz w:val="24"/>
                <w:lang w:eastAsia="en-GB"/>
              </w:rPr>
              <w:footnoteReference w:id="57"/>
            </w:r>
          </w:p>
        </w:tc>
        <w:tc>
          <w:tcPr>
            <w:tcW w:w="1842" w:type="dxa"/>
            <w:tcBorders>
              <w:top w:val="nil"/>
              <w:left w:val="nil"/>
              <w:bottom w:val="single" w:sz="4" w:space="0" w:color="auto"/>
              <w:right w:val="single" w:sz="4" w:space="0" w:color="auto"/>
            </w:tcBorders>
            <w:shd w:val="clear" w:color="auto" w:fill="auto"/>
            <w:noWrap/>
            <w:vAlign w:val="bottom"/>
            <w:hideMark/>
          </w:tcPr>
          <w:p w14:paraId="40736C15" w14:textId="77777777" w:rsidR="004A6E7B" w:rsidRPr="00E639A0" w:rsidRDefault="004A6E7B">
            <w:pPr>
              <w:jc w:val="center"/>
              <w:rPr>
                <w:rFonts w:cs="Arial"/>
                <w:color w:val="000000"/>
                <w:lang w:eastAsia="en-GB"/>
              </w:rPr>
            </w:pPr>
            <w:r w:rsidRPr="00E639A0">
              <w:rPr>
                <w:rFonts w:cs="Arial"/>
                <w:color w:val="000000"/>
                <w:lang w:eastAsia="en-GB"/>
              </w:rPr>
              <w:t>£529.31</w:t>
            </w:r>
          </w:p>
        </w:tc>
        <w:tc>
          <w:tcPr>
            <w:tcW w:w="2694" w:type="dxa"/>
            <w:tcBorders>
              <w:top w:val="nil"/>
              <w:left w:val="nil"/>
              <w:bottom w:val="single" w:sz="4" w:space="0" w:color="auto"/>
              <w:right w:val="single" w:sz="4" w:space="0" w:color="auto"/>
            </w:tcBorders>
            <w:shd w:val="clear" w:color="auto" w:fill="auto"/>
            <w:noWrap/>
            <w:vAlign w:val="bottom"/>
            <w:hideMark/>
          </w:tcPr>
          <w:p w14:paraId="2706291D" w14:textId="77777777" w:rsidR="004A6E7B" w:rsidRPr="00E639A0" w:rsidRDefault="004A6E7B">
            <w:pPr>
              <w:jc w:val="center"/>
              <w:rPr>
                <w:rFonts w:cs="Arial"/>
                <w:color w:val="000000"/>
                <w:lang w:eastAsia="en-GB"/>
              </w:rPr>
            </w:pPr>
            <w:r w:rsidRPr="00E639A0">
              <w:rPr>
                <w:rFonts w:cs="Arial"/>
                <w:color w:val="000000"/>
                <w:lang w:eastAsia="en-GB"/>
              </w:rPr>
              <w:t>£529.31</w:t>
            </w:r>
          </w:p>
        </w:tc>
      </w:tr>
      <w:tr w:rsidR="004A6E7B" w:rsidRPr="00E639A0" w14:paraId="2B7F1B2C" w14:textId="77777777">
        <w:trPr>
          <w:trHeight w:val="30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0C57EE1" w14:textId="77777777" w:rsidR="004A6E7B" w:rsidRPr="00E639A0" w:rsidRDefault="004A6E7B">
            <w:pPr>
              <w:rPr>
                <w:rFonts w:cs="Arial"/>
                <w:color w:val="000000"/>
                <w:lang w:eastAsia="en-GB"/>
              </w:rPr>
            </w:pPr>
            <w:r w:rsidRPr="00E639A0">
              <w:rPr>
                <w:rFonts w:cs="Arial"/>
                <w:color w:val="000000"/>
                <w:lang w:eastAsia="en-GB"/>
              </w:rPr>
              <w:t>Total labour costs (upon return to work) – 39 weeks</w:t>
            </w:r>
          </w:p>
        </w:tc>
        <w:tc>
          <w:tcPr>
            <w:tcW w:w="1842" w:type="dxa"/>
            <w:tcBorders>
              <w:top w:val="nil"/>
              <w:left w:val="nil"/>
              <w:bottom w:val="single" w:sz="4" w:space="0" w:color="auto"/>
              <w:right w:val="single" w:sz="4" w:space="0" w:color="auto"/>
            </w:tcBorders>
            <w:shd w:val="clear" w:color="auto" w:fill="auto"/>
            <w:noWrap/>
            <w:vAlign w:val="bottom"/>
            <w:hideMark/>
          </w:tcPr>
          <w:p w14:paraId="73A16343" w14:textId="77777777" w:rsidR="004A6E7B" w:rsidRPr="00E639A0" w:rsidRDefault="004A6E7B">
            <w:pPr>
              <w:jc w:val="center"/>
              <w:rPr>
                <w:rFonts w:cs="Arial"/>
                <w:color w:val="000000"/>
                <w:lang w:eastAsia="en-GB"/>
              </w:rPr>
            </w:pPr>
            <w:r w:rsidRPr="00E639A0">
              <w:rPr>
                <w:rFonts w:cs="Arial"/>
                <w:color w:val="000000"/>
                <w:lang w:eastAsia="en-GB"/>
              </w:rPr>
              <w:t>£25.6m</w:t>
            </w:r>
          </w:p>
        </w:tc>
        <w:tc>
          <w:tcPr>
            <w:tcW w:w="2694" w:type="dxa"/>
            <w:tcBorders>
              <w:top w:val="nil"/>
              <w:left w:val="nil"/>
              <w:bottom w:val="single" w:sz="4" w:space="0" w:color="auto"/>
              <w:right w:val="single" w:sz="4" w:space="0" w:color="auto"/>
            </w:tcBorders>
            <w:shd w:val="clear" w:color="auto" w:fill="auto"/>
            <w:noWrap/>
            <w:vAlign w:val="bottom"/>
            <w:hideMark/>
          </w:tcPr>
          <w:p w14:paraId="116A0644" w14:textId="77777777" w:rsidR="004A6E7B" w:rsidRPr="00E639A0" w:rsidRDefault="004A6E7B">
            <w:pPr>
              <w:jc w:val="center"/>
              <w:rPr>
                <w:rFonts w:cs="Arial"/>
                <w:color w:val="000000"/>
                <w:lang w:eastAsia="en-GB"/>
              </w:rPr>
            </w:pPr>
            <w:r w:rsidRPr="00E639A0">
              <w:rPr>
                <w:rFonts w:cs="Arial"/>
                <w:color w:val="000000"/>
                <w:lang w:eastAsia="en-GB"/>
              </w:rPr>
              <w:t>£51.1m</w:t>
            </w:r>
          </w:p>
        </w:tc>
      </w:tr>
      <w:tr w:rsidR="004A6E7B" w:rsidRPr="00E639A0" w14:paraId="0B879C89" w14:textId="77777777">
        <w:trPr>
          <w:trHeight w:val="300"/>
          <w:jc w:val="center"/>
        </w:trPr>
        <w:tc>
          <w:tcPr>
            <w:tcW w:w="3823" w:type="dxa"/>
            <w:tcBorders>
              <w:top w:val="nil"/>
              <w:left w:val="single" w:sz="4" w:space="0" w:color="auto"/>
              <w:bottom w:val="single" w:sz="4" w:space="0" w:color="auto"/>
              <w:right w:val="single" w:sz="4" w:space="0" w:color="auto"/>
            </w:tcBorders>
            <w:shd w:val="clear" w:color="auto" w:fill="auto"/>
            <w:noWrap/>
            <w:vAlign w:val="bottom"/>
            <w:hideMark/>
          </w:tcPr>
          <w:p w14:paraId="464230DD" w14:textId="77777777" w:rsidR="004A6E7B" w:rsidRPr="00E639A0" w:rsidRDefault="004A6E7B">
            <w:pPr>
              <w:rPr>
                <w:rFonts w:cs="Arial"/>
                <w:b/>
                <w:bCs/>
                <w:color w:val="000000"/>
                <w:lang w:eastAsia="en-GB"/>
              </w:rPr>
            </w:pPr>
            <w:r w:rsidRPr="00E639A0">
              <w:rPr>
                <w:rFonts w:cs="Arial"/>
                <w:b/>
                <w:bCs/>
                <w:color w:val="000000"/>
                <w:lang w:eastAsia="en-GB"/>
              </w:rPr>
              <w:t>Total Labour costs</w:t>
            </w:r>
          </w:p>
        </w:tc>
        <w:tc>
          <w:tcPr>
            <w:tcW w:w="1842" w:type="dxa"/>
            <w:tcBorders>
              <w:top w:val="nil"/>
              <w:left w:val="nil"/>
              <w:bottom w:val="single" w:sz="4" w:space="0" w:color="auto"/>
              <w:right w:val="single" w:sz="4" w:space="0" w:color="auto"/>
            </w:tcBorders>
            <w:shd w:val="clear" w:color="auto" w:fill="auto"/>
            <w:noWrap/>
            <w:vAlign w:val="bottom"/>
            <w:hideMark/>
          </w:tcPr>
          <w:p w14:paraId="74596BDE" w14:textId="77777777" w:rsidR="004A6E7B" w:rsidRPr="00E639A0" w:rsidRDefault="004A6E7B">
            <w:pPr>
              <w:jc w:val="center"/>
              <w:rPr>
                <w:rFonts w:cs="Arial"/>
                <w:b/>
                <w:color w:val="000000"/>
                <w:lang w:eastAsia="en-GB"/>
              </w:rPr>
            </w:pPr>
            <w:r w:rsidRPr="00E639A0">
              <w:rPr>
                <w:rFonts w:cs="Arial"/>
                <w:b/>
                <w:color w:val="000000"/>
                <w:lang w:eastAsia="en-GB"/>
              </w:rPr>
              <w:t>£38.4m</w:t>
            </w:r>
          </w:p>
        </w:tc>
        <w:tc>
          <w:tcPr>
            <w:tcW w:w="2694" w:type="dxa"/>
            <w:tcBorders>
              <w:top w:val="nil"/>
              <w:left w:val="nil"/>
              <w:bottom w:val="single" w:sz="4" w:space="0" w:color="auto"/>
              <w:right w:val="single" w:sz="4" w:space="0" w:color="auto"/>
            </w:tcBorders>
            <w:shd w:val="clear" w:color="auto" w:fill="auto"/>
            <w:noWrap/>
            <w:vAlign w:val="bottom"/>
            <w:hideMark/>
          </w:tcPr>
          <w:p w14:paraId="258C1ED5" w14:textId="77777777" w:rsidR="004A6E7B" w:rsidRPr="00E639A0" w:rsidRDefault="004A6E7B">
            <w:pPr>
              <w:jc w:val="center"/>
              <w:rPr>
                <w:rFonts w:cs="Arial"/>
                <w:b/>
                <w:color w:val="000000"/>
                <w:lang w:eastAsia="en-GB"/>
              </w:rPr>
            </w:pPr>
            <w:r w:rsidRPr="00E639A0">
              <w:rPr>
                <w:rFonts w:cs="Arial"/>
                <w:b/>
                <w:color w:val="000000"/>
                <w:lang w:eastAsia="en-GB"/>
              </w:rPr>
              <w:t>£51.1m</w:t>
            </w:r>
          </w:p>
        </w:tc>
      </w:tr>
    </w:tbl>
    <w:p w14:paraId="6C8CEE5C" w14:textId="77777777" w:rsidR="004A6E7B" w:rsidRPr="00E639A0" w:rsidRDefault="004A6E7B" w:rsidP="004A6E7B">
      <w:pPr>
        <w:pStyle w:val="ListParagraph"/>
        <w:rPr>
          <w:rFonts w:cs="Arial"/>
        </w:rPr>
      </w:pPr>
    </w:p>
    <w:p w14:paraId="75A14145" w14:textId="0CB1A6BF" w:rsidR="004A6E7B" w:rsidRPr="00E639A0" w:rsidRDefault="004A6E7B" w:rsidP="004A6E7B">
      <w:pPr>
        <w:pStyle w:val="EBBodyPara"/>
        <w:rPr>
          <w:b/>
          <w:bCs w:val="0"/>
          <w:iCs/>
          <w:sz w:val="24"/>
          <w:szCs w:val="24"/>
          <w:u w:val="single"/>
        </w:rPr>
      </w:pPr>
      <w:r w:rsidRPr="00E639A0">
        <w:rPr>
          <w:b/>
          <w:bCs w:val="0"/>
          <w:iCs/>
          <w:sz w:val="24"/>
          <w:szCs w:val="24"/>
          <w:u w:val="single"/>
        </w:rPr>
        <w:t>Benefits</w:t>
      </w:r>
    </w:p>
    <w:p w14:paraId="01A1E49B" w14:textId="77777777" w:rsidR="004A6E7B" w:rsidRPr="00E639A0" w:rsidRDefault="004A6E7B" w:rsidP="004A6E7B">
      <w:pPr>
        <w:rPr>
          <w:rFonts w:cs="Arial"/>
        </w:rPr>
      </w:pPr>
    </w:p>
    <w:p w14:paraId="33A2A70B" w14:textId="224BD683" w:rsidR="004A6E7B" w:rsidRPr="00E639A0" w:rsidRDefault="004A6E7B" w:rsidP="00332DC0">
      <w:pPr>
        <w:pStyle w:val="EBBodyPara"/>
        <w:rPr>
          <w:sz w:val="24"/>
          <w:szCs w:val="24"/>
          <w:u w:val="single"/>
        </w:rPr>
      </w:pPr>
      <w:r w:rsidRPr="00E639A0">
        <w:rPr>
          <w:iCs/>
          <w:sz w:val="24"/>
          <w:szCs w:val="24"/>
          <w:u w:val="single"/>
        </w:rPr>
        <w:t>Business Benefits</w:t>
      </w:r>
      <w:r w:rsidR="008C0B37" w:rsidRPr="00E639A0">
        <w:rPr>
          <w:iCs/>
          <w:sz w:val="24"/>
          <w:szCs w:val="24"/>
          <w:u w:val="single"/>
        </w:rPr>
        <w:t xml:space="preserve">: </w:t>
      </w:r>
      <w:r w:rsidRPr="00E639A0">
        <w:rPr>
          <w:sz w:val="24"/>
          <w:szCs w:val="24"/>
          <w:u w:val="single"/>
        </w:rPr>
        <w:t>Savings from not having to pay Statutory Redundancy Pay</w:t>
      </w:r>
    </w:p>
    <w:p w14:paraId="4B8270FF" w14:textId="77777777" w:rsidR="004A6E7B" w:rsidRPr="00E639A0" w:rsidRDefault="004A6E7B" w:rsidP="004A6E7B">
      <w:pPr>
        <w:pStyle w:val="EBBodyPara"/>
        <w:numPr>
          <w:ilvl w:val="0"/>
          <w:numId w:val="7"/>
        </w:numPr>
        <w:rPr>
          <w:sz w:val="24"/>
          <w:szCs w:val="24"/>
        </w:rPr>
      </w:pPr>
      <w:r w:rsidRPr="00E639A0">
        <w:rPr>
          <w:sz w:val="24"/>
          <w:szCs w:val="24"/>
        </w:rPr>
        <w:t>Savings from not paying Statutory Redundancy Pay are discussed here as illustrative impacts but are not captured in the main economic assessment as it remains unclear whether the employee will be made redundant after the end of the protection period. If an employee is made redundant after the protection period we simply delay, rather than avoid, impact.</w:t>
      </w:r>
    </w:p>
    <w:p w14:paraId="6635C7BE" w14:textId="603B2907" w:rsidR="004A6E7B" w:rsidRPr="00E639A0" w:rsidRDefault="004A6E7B" w:rsidP="004A6E7B">
      <w:pPr>
        <w:pStyle w:val="EBBodyPara"/>
        <w:numPr>
          <w:ilvl w:val="0"/>
          <w:numId w:val="7"/>
        </w:numPr>
        <w:rPr>
          <w:sz w:val="24"/>
          <w:szCs w:val="24"/>
        </w:rPr>
      </w:pPr>
      <w:r w:rsidRPr="00E639A0">
        <w:rPr>
          <w:sz w:val="24"/>
          <w:szCs w:val="24"/>
        </w:rPr>
        <w:t>Under scenario 2, following the introduction of the policy, businesses will benefit from no longer paying Statutory Redundancy Pay to pregnant women and parents returning to work. Under scenario 1, those businesses who would have made someone else redundant still face these payments and thus will not experience these savings.</w:t>
      </w:r>
    </w:p>
    <w:p w14:paraId="383CC474" w14:textId="174B9C28" w:rsidR="004A6E7B" w:rsidRPr="00E639A0" w:rsidRDefault="004A6E7B" w:rsidP="004A6E7B">
      <w:pPr>
        <w:pStyle w:val="EBBodyPara"/>
        <w:numPr>
          <w:ilvl w:val="0"/>
          <w:numId w:val="7"/>
        </w:numPr>
        <w:rPr>
          <w:sz w:val="24"/>
          <w:szCs w:val="24"/>
        </w:rPr>
      </w:pPr>
      <w:r w:rsidRPr="00E639A0">
        <w:rPr>
          <w:sz w:val="24"/>
          <w:szCs w:val="24"/>
        </w:rPr>
        <w:t>Since these benefits only materialise in scenario 2, we apply a factor of 50% to the population eligible for Statutory Redundancy Pay</w:t>
      </w:r>
      <w:r w:rsidR="00287D34" w:rsidRPr="00E639A0">
        <w:rPr>
          <w:sz w:val="24"/>
          <w:szCs w:val="24"/>
        </w:rPr>
        <w:t xml:space="preserve"> for our best estimate</w:t>
      </w:r>
      <w:r w:rsidRPr="00E639A0">
        <w:rPr>
          <w:sz w:val="24"/>
          <w:szCs w:val="24"/>
        </w:rPr>
        <w:t xml:space="preserve">. Statutory Redundancy Pay depends on length of service and the age of the employee during service. Employees are also required to have worked for at least two years with their current employer to receive the entitlement. </w:t>
      </w:r>
    </w:p>
    <w:p w14:paraId="76462A70" w14:textId="77777777" w:rsidR="004A6E7B" w:rsidRPr="00E639A0" w:rsidRDefault="004A6E7B" w:rsidP="004A6E7B">
      <w:pPr>
        <w:pStyle w:val="EBBodyPara"/>
        <w:numPr>
          <w:ilvl w:val="0"/>
          <w:numId w:val="7"/>
        </w:numPr>
        <w:rPr>
          <w:sz w:val="24"/>
          <w:szCs w:val="24"/>
        </w:rPr>
      </w:pPr>
      <w:r w:rsidRPr="00E639A0">
        <w:rPr>
          <w:sz w:val="24"/>
          <w:szCs w:val="24"/>
        </w:rPr>
        <w:t>Since some of the information used is not in the public domain, we cannot provide a full derivation of the population figures, but instead describe the broad approach. We have analysed LFS micro data to calculate the average number of years served for employees aged 21 or under, 22 – 40 and 41+</w:t>
      </w:r>
      <w:r w:rsidRPr="00E639A0">
        <w:rPr>
          <w:rStyle w:val="FootnoteReference"/>
          <w:rFonts w:cs="Arial"/>
          <w:sz w:val="24"/>
          <w:szCs w:val="24"/>
        </w:rPr>
        <w:footnoteReference w:id="58"/>
      </w:r>
      <w:r w:rsidRPr="00E639A0">
        <w:rPr>
          <w:sz w:val="24"/>
          <w:szCs w:val="24"/>
        </w:rPr>
        <w:t xml:space="preserve"> to mirror the age bands upon which redundancy pay rates are based</w:t>
      </w:r>
      <w:r w:rsidRPr="00E639A0">
        <w:rPr>
          <w:rStyle w:val="FootnoteReference"/>
          <w:rFonts w:cs="Arial"/>
          <w:sz w:val="24"/>
          <w:szCs w:val="24"/>
        </w:rPr>
        <w:footnoteReference w:id="59"/>
      </w:r>
      <w:r w:rsidRPr="00E639A0">
        <w:rPr>
          <w:sz w:val="24"/>
          <w:szCs w:val="24"/>
        </w:rPr>
        <w:t>. Calculation of Statutory Redundancy Pay can be found in the tables below for pregnant women and returning mothers.</w:t>
      </w:r>
    </w:p>
    <w:p w14:paraId="2E82AE16" w14:textId="69D1792B" w:rsidR="004A6E7B" w:rsidRPr="00E639A0" w:rsidRDefault="004A6E7B" w:rsidP="004A6E7B">
      <w:pPr>
        <w:pStyle w:val="EBBodyPara"/>
        <w:numPr>
          <w:ilvl w:val="0"/>
          <w:numId w:val="7"/>
        </w:numPr>
        <w:rPr>
          <w:sz w:val="24"/>
          <w:szCs w:val="24"/>
        </w:rPr>
      </w:pPr>
      <w:r w:rsidRPr="00E639A0">
        <w:rPr>
          <w:noProof/>
          <w:sz w:val="24"/>
          <w:szCs w:val="24"/>
        </w:rPr>
        <mc:AlternateContent>
          <mc:Choice Requires="wps">
            <w:drawing>
              <wp:anchor distT="45720" distB="45720" distL="114300" distR="114300" simplePos="0" relativeHeight="251658247" behindDoc="0" locked="0" layoutInCell="1" allowOverlap="1" wp14:anchorId="2FE0D112" wp14:editId="5EC16DEA">
                <wp:simplePos x="0" y="0"/>
                <wp:positionH relativeFrom="column">
                  <wp:posOffset>354758</wp:posOffset>
                </wp:positionH>
                <wp:positionV relativeFrom="paragraph">
                  <wp:posOffset>786130</wp:posOffset>
                </wp:positionV>
                <wp:extent cx="5990590" cy="1409700"/>
                <wp:effectExtent l="0" t="0" r="10160" b="19050"/>
                <wp:wrapSquare wrapText="bothSides"/>
                <wp:docPr id="12822468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90590" cy="1409700"/>
                        </a:xfrm>
                        <a:prstGeom prst="rect">
                          <a:avLst/>
                        </a:prstGeom>
                        <a:solidFill>
                          <a:srgbClr val="FFFFFF"/>
                        </a:solidFill>
                        <a:ln w="9525">
                          <a:solidFill>
                            <a:srgbClr val="000000"/>
                          </a:solidFill>
                          <a:miter lim="800000"/>
                          <a:headEnd/>
                          <a:tailEnd/>
                        </a:ln>
                      </wps:spPr>
                      <wps:txbx>
                        <w:txbxContent>
                          <w:p w14:paraId="6A423CD4" w14:textId="77777777" w:rsidR="004A6E7B" w:rsidRPr="00D01772" w:rsidRDefault="004A6E7B" w:rsidP="004A6E7B">
                            <w:pPr>
                              <w:rPr>
                                <w:sz w:val="22"/>
                                <w:szCs w:val="22"/>
                              </w:rPr>
                            </w:pPr>
                            <w:r w:rsidRPr="00D01772">
                              <w:rPr>
                                <w:sz w:val="22"/>
                                <w:szCs w:val="22"/>
                              </w:rPr>
                              <w:t>Redundancy pay per year of service age 41 and more = 1.5 weeks of pay x average no. years of service age 41 and more</w:t>
                            </w:r>
                          </w:p>
                          <w:p w14:paraId="0A24939F" w14:textId="77777777" w:rsidR="004A6E7B" w:rsidRPr="00D01772" w:rsidRDefault="004A6E7B" w:rsidP="004A6E7B">
                            <w:pPr>
                              <w:rPr>
                                <w:sz w:val="22"/>
                                <w:szCs w:val="22"/>
                              </w:rPr>
                            </w:pPr>
                          </w:p>
                          <w:p w14:paraId="383FDEE1" w14:textId="77777777" w:rsidR="004A6E7B" w:rsidRPr="00D01772" w:rsidRDefault="004A6E7B" w:rsidP="004A6E7B">
                            <w:pPr>
                              <w:rPr>
                                <w:sz w:val="22"/>
                                <w:szCs w:val="22"/>
                              </w:rPr>
                            </w:pPr>
                            <w:r w:rsidRPr="00D01772">
                              <w:rPr>
                                <w:sz w:val="22"/>
                                <w:szCs w:val="22"/>
                              </w:rPr>
                              <w:t>Redundancy pay per year of service age 22 – 40 = 1 weeks of pay x average no. years of service age 22 – 40</w:t>
                            </w:r>
                          </w:p>
                          <w:p w14:paraId="05562659" w14:textId="77777777" w:rsidR="004A6E7B" w:rsidRPr="00D01772" w:rsidRDefault="004A6E7B" w:rsidP="004A6E7B">
                            <w:pPr>
                              <w:rPr>
                                <w:sz w:val="22"/>
                                <w:szCs w:val="22"/>
                              </w:rPr>
                            </w:pPr>
                          </w:p>
                          <w:p w14:paraId="5509D82E" w14:textId="77777777" w:rsidR="004A6E7B" w:rsidRPr="00D01772" w:rsidRDefault="004A6E7B" w:rsidP="004A6E7B">
                            <w:pPr>
                              <w:rPr>
                                <w:sz w:val="22"/>
                                <w:szCs w:val="22"/>
                              </w:rPr>
                            </w:pPr>
                            <w:r w:rsidRPr="00D01772">
                              <w:rPr>
                                <w:sz w:val="22"/>
                                <w:szCs w:val="22"/>
                              </w:rPr>
                              <w:t>Redundancy pay per year of service age less than 22 = 1/2 weeks of pay x average no. years of service age less than 22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E0D112" id="_x0000_s1052" type="#_x0000_t202" style="position:absolute;left:0;text-align:left;margin-left:27.95pt;margin-top:61.9pt;width:471.7pt;height:111pt;z-index:25165824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vqgFQIAACgEAAAOAAAAZHJzL2Uyb0RvYy54bWysk1Fv0zAQx9+R+A6W32nSqmVL1HQaHUVI&#10;YyANPsDFcRoLx2dst0n59JzdrqsGvCD8YPl89t93vzsvb8Zes710XqGp+HSScyaNwEaZbcW/fd28&#10;uebMBzANaDSy4gfp+c3q9avlYEs5ww51Ix0jEePLwVa8C8GWWeZFJ3vwE7TSkLNF10Mg022zxsFA&#10;6r3OZnn+NhvQNdahkN7T7t3RyVdJv22lCJ/b1svAdMUptpBml+Y6ztlqCeXWge2UOIUB/xBFD8rQ&#10;o2epOwjAdk79JtUr4dBjGyYC+wzbVgmZcqBspvmLbB47sDLlQnC8PWPy/09WPOwf7RfHwvgORypg&#10;SsLbexTfPTO47sBs5a1zOHQSGnp4GpFlg/Xl6WpE7UsfRerhEzZUZNgFTEJj6/pIhfJkpE4FOJyh&#10;yzEwQZuLosgXBbkE+abzvLjKU1kyKJ+uW+fDB4k9i4uKO6pqkof9vQ8xHCifjsTXPGrVbJTWyXDb&#10;eq0d2wN1wCaNlMGLY9qwoeLFYrY4EvirRJ7GnyR6FaiVteorfn0+BGXk9t40qdECKH1cU8janEBG&#10;dkeKYaxHppqKzxLmCLbG5kBoHR5bl74aLTp0PzkbqG0r7n/swEnO9EdD5Smm83ns82TMF1czMtyl&#10;p770gBEkVfHA2XG5DulvRHAGb6mMrUqAnyM5xUztmLifvk7s90s7nXr+4KtfAAAA//8DAFBLAwQU&#10;AAYACAAAACEA8BGYNuAAAAAKAQAADwAAAGRycy9kb3ducmV2LnhtbEyPy07DMBBF90j8gzVIbBB1&#10;aJoShzgVQgLBDgqCrRtPkwg/gu2m4e8ZVrCcmaM759ab2Ro2YYiDdxKuFhkwdK3Xg+skvL3eX5bA&#10;YlJOK+MdSvjGCJvm9KRWlfZH94LTNnWMQlyslIQ+pbHiPLY9WhUXfkRHt70PViUaQ8d1UEcKt4Yv&#10;s2zNrRocfejViHc9tp/bg5VQrh6nj/iUP7+3670R6eJ6evgKUp6fzbc3wBLO6Q+GX31Sh4acdv7g&#10;dGRGQlEIImm/zKkCAUKIHNhOQr4qSuBNzf9XaH4AAAD//wMAUEsBAi0AFAAGAAgAAAAhALaDOJL+&#10;AAAA4QEAABMAAAAAAAAAAAAAAAAAAAAAAFtDb250ZW50X1R5cGVzXS54bWxQSwECLQAUAAYACAAA&#10;ACEAOP0h/9YAAACUAQAACwAAAAAAAAAAAAAAAAAvAQAAX3JlbHMvLnJlbHNQSwECLQAUAAYACAAA&#10;ACEARq76oBUCAAAoBAAADgAAAAAAAAAAAAAAAAAuAgAAZHJzL2Uyb0RvYy54bWxQSwECLQAUAAYA&#10;CAAAACEA8BGYNuAAAAAKAQAADwAAAAAAAAAAAAAAAABvBAAAZHJzL2Rvd25yZXYueG1sUEsFBgAA&#10;AAAEAAQA8wAAAHwFAAAAAA==&#10;">
                <v:textbox>
                  <w:txbxContent>
                    <w:p w14:paraId="6A423CD4" w14:textId="77777777" w:rsidR="004A6E7B" w:rsidRPr="00D01772" w:rsidRDefault="004A6E7B" w:rsidP="004A6E7B">
                      <w:pPr>
                        <w:rPr>
                          <w:sz w:val="22"/>
                          <w:szCs w:val="22"/>
                        </w:rPr>
                      </w:pPr>
                      <w:r w:rsidRPr="00D01772">
                        <w:rPr>
                          <w:sz w:val="22"/>
                          <w:szCs w:val="22"/>
                        </w:rPr>
                        <w:t>Redundancy pay per year of service age 41 and more = 1.5 weeks of pay x average no. years of service age 41 and more</w:t>
                      </w:r>
                    </w:p>
                    <w:p w14:paraId="0A24939F" w14:textId="77777777" w:rsidR="004A6E7B" w:rsidRPr="00D01772" w:rsidRDefault="004A6E7B" w:rsidP="004A6E7B">
                      <w:pPr>
                        <w:rPr>
                          <w:sz w:val="22"/>
                          <w:szCs w:val="22"/>
                        </w:rPr>
                      </w:pPr>
                    </w:p>
                    <w:p w14:paraId="383FDEE1" w14:textId="77777777" w:rsidR="004A6E7B" w:rsidRPr="00D01772" w:rsidRDefault="004A6E7B" w:rsidP="004A6E7B">
                      <w:pPr>
                        <w:rPr>
                          <w:sz w:val="22"/>
                          <w:szCs w:val="22"/>
                        </w:rPr>
                      </w:pPr>
                      <w:r w:rsidRPr="00D01772">
                        <w:rPr>
                          <w:sz w:val="22"/>
                          <w:szCs w:val="22"/>
                        </w:rPr>
                        <w:t>Redundancy pay per year of service age 22 – 40 = 1 weeks of pay x average no. years of service age 22 – 40</w:t>
                      </w:r>
                    </w:p>
                    <w:p w14:paraId="05562659" w14:textId="77777777" w:rsidR="004A6E7B" w:rsidRPr="00D01772" w:rsidRDefault="004A6E7B" w:rsidP="004A6E7B">
                      <w:pPr>
                        <w:rPr>
                          <w:sz w:val="22"/>
                          <w:szCs w:val="22"/>
                        </w:rPr>
                      </w:pPr>
                    </w:p>
                    <w:p w14:paraId="5509D82E" w14:textId="77777777" w:rsidR="004A6E7B" w:rsidRPr="00D01772" w:rsidRDefault="004A6E7B" w:rsidP="004A6E7B">
                      <w:pPr>
                        <w:rPr>
                          <w:sz w:val="22"/>
                          <w:szCs w:val="22"/>
                        </w:rPr>
                      </w:pPr>
                      <w:r w:rsidRPr="00D01772">
                        <w:rPr>
                          <w:sz w:val="22"/>
                          <w:szCs w:val="22"/>
                        </w:rPr>
                        <w:t>Redundancy pay per year of service age less than 22 = 1/2 weeks of pay x average no. years of service age less than 22</w:t>
                      </w:r>
                    </w:p>
                  </w:txbxContent>
                </v:textbox>
                <w10:wrap type="square"/>
              </v:shape>
            </w:pict>
          </mc:Fallback>
        </mc:AlternateContent>
      </w:r>
      <w:r w:rsidRPr="00E639A0">
        <w:rPr>
          <w:sz w:val="24"/>
          <w:szCs w:val="24"/>
        </w:rPr>
        <w:t xml:space="preserve">The approach to calculating Statutory Redundancy Pay is cautiously an </w:t>
      </w:r>
      <w:r w:rsidR="004461D6" w:rsidRPr="00E639A0">
        <w:rPr>
          <w:sz w:val="24"/>
          <w:szCs w:val="24"/>
        </w:rPr>
        <w:t>upper bound</w:t>
      </w:r>
      <w:r w:rsidRPr="00E639A0">
        <w:rPr>
          <w:sz w:val="24"/>
          <w:szCs w:val="24"/>
        </w:rPr>
        <w:t xml:space="preserve"> estimate as it is based on simple averages whereas, in practice, the calculation of Statutory Redundancy Pay will account for the number of </w:t>
      </w:r>
      <w:r w:rsidR="004461D6" w:rsidRPr="00E639A0">
        <w:rPr>
          <w:sz w:val="24"/>
          <w:szCs w:val="24"/>
        </w:rPr>
        <w:t>years’ service</w:t>
      </w:r>
      <w:r w:rsidRPr="00E639A0">
        <w:rPr>
          <w:sz w:val="24"/>
          <w:szCs w:val="24"/>
        </w:rPr>
        <w:t xml:space="preserve"> at each age band and capped amounts relating to length of service, weekly and total pay amounts.</w:t>
      </w:r>
    </w:p>
    <w:p w14:paraId="665D5157" w14:textId="77777777" w:rsidR="004A6E7B" w:rsidRPr="00E639A0" w:rsidRDefault="004A6E7B" w:rsidP="004A6E7B">
      <w:pPr>
        <w:pStyle w:val="EBBodyPara"/>
        <w:rPr>
          <w:sz w:val="24"/>
          <w:szCs w:val="24"/>
        </w:rPr>
      </w:pPr>
    </w:p>
    <w:p w14:paraId="25065E29" w14:textId="77777777" w:rsidR="004A6E7B" w:rsidRPr="00E639A0" w:rsidRDefault="004A6E7B" w:rsidP="004A6E7B">
      <w:pPr>
        <w:pStyle w:val="ListParagraph"/>
        <w:rPr>
          <w:rFonts w:cs="Arial"/>
          <w:b/>
          <w:bCs/>
        </w:rPr>
      </w:pPr>
    </w:p>
    <w:p w14:paraId="55D289B4" w14:textId="77777777" w:rsidR="004461D6" w:rsidRPr="00E639A0" w:rsidRDefault="004461D6" w:rsidP="004A6E7B">
      <w:pPr>
        <w:pStyle w:val="ListParagraph"/>
        <w:rPr>
          <w:rFonts w:cs="Arial"/>
          <w:b/>
          <w:bCs/>
        </w:rPr>
      </w:pPr>
    </w:p>
    <w:p w14:paraId="6CDB83E0" w14:textId="77777777" w:rsidR="004461D6" w:rsidRPr="00E639A0" w:rsidRDefault="004461D6" w:rsidP="004A6E7B">
      <w:pPr>
        <w:pStyle w:val="ListParagraph"/>
        <w:rPr>
          <w:rFonts w:cs="Arial"/>
          <w:b/>
          <w:bCs/>
        </w:rPr>
      </w:pPr>
    </w:p>
    <w:p w14:paraId="27FB1AA8" w14:textId="77777777" w:rsidR="004461D6" w:rsidRPr="00E639A0" w:rsidRDefault="004461D6" w:rsidP="004A6E7B">
      <w:pPr>
        <w:pStyle w:val="ListParagraph"/>
        <w:rPr>
          <w:rFonts w:cs="Arial"/>
          <w:b/>
          <w:bCs/>
        </w:rPr>
      </w:pPr>
    </w:p>
    <w:p w14:paraId="0056FF6C" w14:textId="72529C62" w:rsidR="004A6E7B" w:rsidRPr="00E639A0" w:rsidRDefault="004A6E7B" w:rsidP="00734872">
      <w:pPr>
        <w:pStyle w:val="Heading4"/>
        <w:rPr>
          <w:sz w:val="24"/>
          <w:szCs w:val="24"/>
        </w:rPr>
      </w:pPr>
      <w:r w:rsidRPr="00E639A0">
        <w:rPr>
          <w:sz w:val="24"/>
          <w:szCs w:val="24"/>
        </w:rPr>
        <w:t>Table 12: Statutory Redundancy Pay previously paid to pregnant women</w:t>
      </w:r>
      <w:r w:rsidR="00486B95" w:rsidRPr="00E639A0">
        <w:rPr>
          <w:sz w:val="24"/>
          <w:szCs w:val="24"/>
        </w:rPr>
        <w:t xml:space="preserve"> (high cost scenario)</w:t>
      </w:r>
    </w:p>
    <w:p w14:paraId="53D2675E" w14:textId="77777777" w:rsidR="00780E24" w:rsidRPr="00E639A0" w:rsidRDefault="00780E24" w:rsidP="004A6E7B">
      <w:pPr>
        <w:pStyle w:val="ListParagraph"/>
        <w:rPr>
          <w:rFonts w:cs="Arial"/>
          <w:b/>
          <w:bCs/>
        </w:rPr>
      </w:pPr>
    </w:p>
    <w:tbl>
      <w:tblPr>
        <w:tblW w:w="9474"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623"/>
        <w:gridCol w:w="2165"/>
        <w:gridCol w:w="1874"/>
        <w:gridCol w:w="1111"/>
      </w:tblGrid>
      <w:tr w:rsidR="004A6E7B" w:rsidRPr="00E639A0" w14:paraId="4F458C66" w14:textId="77777777">
        <w:trPr>
          <w:trHeight w:val="491"/>
        </w:trPr>
        <w:tc>
          <w:tcPr>
            <w:tcW w:w="1701" w:type="dxa"/>
            <w:shd w:val="clear" w:color="auto" w:fill="auto"/>
            <w:vAlign w:val="center"/>
            <w:hideMark/>
          </w:tcPr>
          <w:p w14:paraId="24919260" w14:textId="77777777" w:rsidR="004A6E7B" w:rsidRPr="00E639A0" w:rsidRDefault="004A6E7B">
            <w:pPr>
              <w:jc w:val="center"/>
              <w:rPr>
                <w:rFonts w:cs="Arial"/>
                <w:b/>
                <w:bCs/>
                <w:color w:val="000000"/>
                <w:lang w:eastAsia="en-GB"/>
              </w:rPr>
            </w:pPr>
            <w:r w:rsidRPr="00E639A0">
              <w:rPr>
                <w:rFonts w:cs="Arial"/>
                <w:b/>
                <w:bCs/>
                <w:color w:val="000000"/>
                <w:lang w:eastAsia="en-GB"/>
              </w:rPr>
              <w:t>Age group</w:t>
            </w:r>
          </w:p>
        </w:tc>
        <w:tc>
          <w:tcPr>
            <w:tcW w:w="2623" w:type="dxa"/>
            <w:shd w:val="clear" w:color="auto" w:fill="auto"/>
            <w:vAlign w:val="center"/>
            <w:hideMark/>
          </w:tcPr>
          <w:p w14:paraId="7FA932EE" w14:textId="77777777" w:rsidR="004A6E7B" w:rsidRPr="00E639A0" w:rsidRDefault="004A6E7B">
            <w:pPr>
              <w:jc w:val="center"/>
              <w:rPr>
                <w:rFonts w:cs="Arial"/>
                <w:b/>
                <w:bCs/>
                <w:color w:val="000000"/>
                <w:lang w:eastAsia="en-GB"/>
              </w:rPr>
            </w:pPr>
            <w:r w:rsidRPr="00E639A0">
              <w:rPr>
                <w:rFonts w:cs="Arial"/>
                <w:b/>
                <w:bCs/>
                <w:color w:val="000000"/>
                <w:lang w:eastAsia="en-GB"/>
              </w:rPr>
              <w:t>Population</w:t>
            </w:r>
            <w:r w:rsidRPr="00E639A0">
              <w:rPr>
                <w:rStyle w:val="FootnoteReference"/>
                <w:rFonts w:cs="Arial"/>
                <w:b/>
                <w:bCs/>
                <w:color w:val="000000"/>
                <w:sz w:val="24"/>
                <w:lang w:eastAsia="en-GB"/>
              </w:rPr>
              <w:footnoteReference w:id="60"/>
            </w:r>
            <w:r w:rsidRPr="00E639A0">
              <w:rPr>
                <w:rFonts w:cs="Arial"/>
                <w:b/>
                <w:bCs/>
                <w:color w:val="000000"/>
                <w:lang w:eastAsia="en-GB"/>
              </w:rPr>
              <w:t xml:space="preserve"> </w:t>
            </w:r>
          </w:p>
        </w:tc>
        <w:tc>
          <w:tcPr>
            <w:tcW w:w="2165" w:type="dxa"/>
            <w:shd w:val="clear" w:color="auto" w:fill="auto"/>
            <w:vAlign w:val="center"/>
            <w:hideMark/>
          </w:tcPr>
          <w:p w14:paraId="1913DCAF" w14:textId="77777777" w:rsidR="004A6E7B" w:rsidRPr="00E639A0" w:rsidRDefault="004A6E7B">
            <w:pPr>
              <w:jc w:val="center"/>
              <w:rPr>
                <w:rFonts w:cs="Arial"/>
                <w:b/>
                <w:bCs/>
                <w:color w:val="000000"/>
                <w:lang w:eastAsia="en-GB"/>
              </w:rPr>
            </w:pPr>
            <w:r w:rsidRPr="00E639A0">
              <w:rPr>
                <w:rFonts w:cs="Arial"/>
                <w:b/>
                <w:bCs/>
                <w:color w:val="000000"/>
                <w:lang w:eastAsia="en-GB"/>
              </w:rPr>
              <w:t>Average Statutory Redundancy Pay per employee per year</w:t>
            </w:r>
            <w:r w:rsidRPr="00E639A0">
              <w:rPr>
                <w:rStyle w:val="FootnoteReference"/>
                <w:rFonts w:cs="Arial"/>
                <w:b/>
                <w:bCs/>
                <w:color w:val="000000"/>
                <w:sz w:val="24"/>
                <w:lang w:eastAsia="en-GB"/>
              </w:rPr>
              <w:footnoteReference w:id="61"/>
            </w:r>
          </w:p>
        </w:tc>
        <w:tc>
          <w:tcPr>
            <w:tcW w:w="1874" w:type="dxa"/>
            <w:shd w:val="clear" w:color="auto" w:fill="auto"/>
            <w:vAlign w:val="center"/>
            <w:hideMark/>
          </w:tcPr>
          <w:p w14:paraId="2A05E1BE" w14:textId="77777777" w:rsidR="004A6E7B" w:rsidRPr="00E639A0" w:rsidRDefault="004A6E7B">
            <w:pPr>
              <w:jc w:val="center"/>
              <w:rPr>
                <w:rFonts w:cs="Arial"/>
                <w:b/>
                <w:bCs/>
                <w:color w:val="000000"/>
                <w:lang w:eastAsia="en-GB"/>
              </w:rPr>
            </w:pPr>
            <w:r w:rsidRPr="00E639A0">
              <w:rPr>
                <w:rFonts w:cs="Arial"/>
                <w:b/>
                <w:bCs/>
                <w:color w:val="000000"/>
                <w:lang w:eastAsia="en-GB"/>
              </w:rPr>
              <w:t>Average no. of years service</w:t>
            </w:r>
            <w:r w:rsidRPr="00E639A0">
              <w:rPr>
                <w:rStyle w:val="FootnoteReference"/>
                <w:rFonts w:cs="Arial"/>
                <w:b/>
                <w:bCs/>
                <w:color w:val="000000"/>
                <w:sz w:val="24"/>
                <w:lang w:eastAsia="en-GB"/>
              </w:rPr>
              <w:footnoteReference w:id="62"/>
            </w:r>
          </w:p>
        </w:tc>
        <w:tc>
          <w:tcPr>
            <w:tcW w:w="1111" w:type="dxa"/>
            <w:shd w:val="clear" w:color="auto" w:fill="auto"/>
            <w:vAlign w:val="center"/>
            <w:hideMark/>
          </w:tcPr>
          <w:p w14:paraId="3EB20A65" w14:textId="77777777" w:rsidR="004A6E7B" w:rsidRPr="00E639A0" w:rsidRDefault="004A6E7B">
            <w:pPr>
              <w:jc w:val="center"/>
              <w:rPr>
                <w:rFonts w:cs="Arial"/>
                <w:b/>
                <w:bCs/>
                <w:color w:val="000000"/>
                <w:lang w:eastAsia="en-GB"/>
              </w:rPr>
            </w:pPr>
            <w:r w:rsidRPr="00E639A0">
              <w:rPr>
                <w:rFonts w:cs="Arial"/>
                <w:b/>
                <w:bCs/>
                <w:color w:val="000000"/>
                <w:lang w:eastAsia="en-GB"/>
              </w:rPr>
              <w:t>Total Cost</w:t>
            </w:r>
          </w:p>
        </w:tc>
      </w:tr>
      <w:tr w:rsidR="004A6E7B" w:rsidRPr="00E639A0" w14:paraId="5D785E26" w14:textId="77777777">
        <w:trPr>
          <w:trHeight w:val="491"/>
        </w:trPr>
        <w:tc>
          <w:tcPr>
            <w:tcW w:w="1701" w:type="dxa"/>
            <w:shd w:val="clear" w:color="auto" w:fill="auto"/>
            <w:vAlign w:val="center"/>
            <w:hideMark/>
          </w:tcPr>
          <w:p w14:paraId="3A27F860" w14:textId="77777777" w:rsidR="004A6E7B" w:rsidRPr="00E639A0" w:rsidRDefault="004A6E7B">
            <w:pPr>
              <w:rPr>
                <w:rFonts w:cs="Arial"/>
                <w:color w:val="000000"/>
                <w:lang w:eastAsia="en-GB"/>
              </w:rPr>
            </w:pPr>
            <w:r w:rsidRPr="00E639A0">
              <w:rPr>
                <w:rFonts w:cs="Arial"/>
              </w:rPr>
              <w:t>Proportion of mothers aged 41+</w:t>
            </w:r>
          </w:p>
        </w:tc>
        <w:tc>
          <w:tcPr>
            <w:tcW w:w="2623" w:type="dxa"/>
            <w:shd w:val="clear" w:color="auto" w:fill="auto"/>
            <w:vAlign w:val="center"/>
            <w:hideMark/>
          </w:tcPr>
          <w:p w14:paraId="2A70541E" w14:textId="77777777" w:rsidR="004A6E7B" w:rsidRPr="00E639A0" w:rsidRDefault="004A6E7B">
            <w:pPr>
              <w:jc w:val="center"/>
              <w:rPr>
                <w:rFonts w:cs="Arial"/>
                <w:color w:val="000000"/>
                <w:lang w:eastAsia="en-GB"/>
              </w:rPr>
            </w:pPr>
            <w:r w:rsidRPr="00E639A0">
              <w:rPr>
                <w:rFonts w:cs="Arial"/>
              </w:rPr>
              <w:t>100</w:t>
            </w:r>
          </w:p>
        </w:tc>
        <w:tc>
          <w:tcPr>
            <w:tcW w:w="2165" w:type="dxa"/>
            <w:shd w:val="clear" w:color="auto" w:fill="auto"/>
            <w:vAlign w:val="center"/>
            <w:hideMark/>
          </w:tcPr>
          <w:p w14:paraId="3257C330" w14:textId="77777777" w:rsidR="004A6E7B" w:rsidRPr="00E639A0" w:rsidRDefault="004A6E7B">
            <w:pPr>
              <w:jc w:val="center"/>
              <w:rPr>
                <w:rFonts w:cs="Arial"/>
                <w:color w:val="000000"/>
                <w:lang w:eastAsia="en-GB"/>
              </w:rPr>
            </w:pPr>
            <w:r w:rsidRPr="00E639A0">
              <w:rPr>
                <w:rFonts w:cs="Arial"/>
              </w:rPr>
              <w:t>£640</w:t>
            </w:r>
          </w:p>
        </w:tc>
        <w:tc>
          <w:tcPr>
            <w:tcW w:w="1874" w:type="dxa"/>
            <w:shd w:val="clear" w:color="auto" w:fill="auto"/>
            <w:vAlign w:val="center"/>
            <w:hideMark/>
          </w:tcPr>
          <w:p w14:paraId="6BE7DC6E" w14:textId="77777777" w:rsidR="004A6E7B" w:rsidRPr="00E639A0" w:rsidRDefault="004A6E7B">
            <w:pPr>
              <w:jc w:val="center"/>
              <w:rPr>
                <w:rFonts w:cs="Arial"/>
                <w:color w:val="000000"/>
                <w:lang w:eastAsia="en-GB"/>
              </w:rPr>
            </w:pPr>
            <w:r w:rsidRPr="00E639A0">
              <w:rPr>
                <w:rFonts w:cs="Arial"/>
              </w:rPr>
              <w:t>10</w:t>
            </w:r>
          </w:p>
        </w:tc>
        <w:tc>
          <w:tcPr>
            <w:tcW w:w="1111" w:type="dxa"/>
            <w:shd w:val="clear" w:color="auto" w:fill="auto"/>
            <w:vAlign w:val="center"/>
            <w:hideMark/>
          </w:tcPr>
          <w:p w14:paraId="3900598E" w14:textId="77777777" w:rsidR="004A6E7B" w:rsidRPr="00E639A0" w:rsidRDefault="004A6E7B">
            <w:pPr>
              <w:jc w:val="center"/>
              <w:rPr>
                <w:rFonts w:cs="Arial"/>
                <w:color w:val="000000"/>
                <w:lang w:eastAsia="en-GB"/>
              </w:rPr>
            </w:pPr>
            <w:r w:rsidRPr="00E639A0">
              <w:rPr>
                <w:rFonts w:cs="Arial"/>
              </w:rPr>
              <w:t>£0.6m</w:t>
            </w:r>
          </w:p>
        </w:tc>
      </w:tr>
      <w:tr w:rsidR="004A6E7B" w:rsidRPr="00E639A0" w14:paraId="4C79470C" w14:textId="77777777">
        <w:trPr>
          <w:trHeight w:val="491"/>
        </w:trPr>
        <w:tc>
          <w:tcPr>
            <w:tcW w:w="1701" w:type="dxa"/>
            <w:shd w:val="clear" w:color="auto" w:fill="auto"/>
            <w:vAlign w:val="center"/>
            <w:hideMark/>
          </w:tcPr>
          <w:p w14:paraId="6DC0AF2B" w14:textId="77777777" w:rsidR="004A6E7B" w:rsidRPr="00E639A0" w:rsidRDefault="004A6E7B">
            <w:pPr>
              <w:rPr>
                <w:rFonts w:cs="Arial"/>
                <w:color w:val="000000"/>
                <w:lang w:eastAsia="en-GB"/>
              </w:rPr>
            </w:pPr>
            <w:r w:rsidRPr="00E639A0">
              <w:rPr>
                <w:rFonts w:cs="Arial"/>
              </w:rPr>
              <w:t>Proportion of mothers aged 22-40</w:t>
            </w:r>
          </w:p>
        </w:tc>
        <w:tc>
          <w:tcPr>
            <w:tcW w:w="2623" w:type="dxa"/>
            <w:shd w:val="clear" w:color="auto" w:fill="auto"/>
            <w:vAlign w:val="center"/>
            <w:hideMark/>
          </w:tcPr>
          <w:p w14:paraId="140CFCE2" w14:textId="77777777" w:rsidR="004A6E7B" w:rsidRPr="00E639A0" w:rsidRDefault="004A6E7B">
            <w:pPr>
              <w:jc w:val="center"/>
              <w:rPr>
                <w:rFonts w:cs="Arial"/>
                <w:color w:val="000000"/>
                <w:lang w:eastAsia="en-GB"/>
              </w:rPr>
            </w:pPr>
            <w:r w:rsidRPr="00E639A0">
              <w:rPr>
                <w:rFonts w:cs="Arial"/>
              </w:rPr>
              <w:t>1,700</w:t>
            </w:r>
          </w:p>
        </w:tc>
        <w:tc>
          <w:tcPr>
            <w:tcW w:w="2165" w:type="dxa"/>
            <w:shd w:val="clear" w:color="auto" w:fill="auto"/>
            <w:vAlign w:val="center"/>
            <w:hideMark/>
          </w:tcPr>
          <w:p w14:paraId="514E321B" w14:textId="77777777" w:rsidR="004A6E7B" w:rsidRPr="00E639A0" w:rsidRDefault="004A6E7B">
            <w:pPr>
              <w:jc w:val="center"/>
              <w:rPr>
                <w:rFonts w:cs="Arial"/>
                <w:color w:val="000000"/>
                <w:lang w:eastAsia="en-GB"/>
              </w:rPr>
            </w:pPr>
            <w:r w:rsidRPr="00E639A0">
              <w:rPr>
                <w:rFonts w:cs="Arial"/>
              </w:rPr>
              <w:t>£420</w:t>
            </w:r>
          </w:p>
        </w:tc>
        <w:tc>
          <w:tcPr>
            <w:tcW w:w="1874" w:type="dxa"/>
            <w:shd w:val="clear" w:color="auto" w:fill="auto"/>
            <w:vAlign w:val="center"/>
            <w:hideMark/>
          </w:tcPr>
          <w:p w14:paraId="3FE52501" w14:textId="77777777" w:rsidR="004A6E7B" w:rsidRPr="00E639A0" w:rsidRDefault="004A6E7B">
            <w:pPr>
              <w:jc w:val="center"/>
              <w:rPr>
                <w:rFonts w:cs="Arial"/>
                <w:color w:val="000000"/>
                <w:lang w:eastAsia="en-GB"/>
              </w:rPr>
            </w:pPr>
            <w:r w:rsidRPr="00E639A0">
              <w:rPr>
                <w:rFonts w:cs="Arial"/>
                <w:color w:val="000000"/>
              </w:rPr>
              <w:t>5</w:t>
            </w:r>
          </w:p>
        </w:tc>
        <w:tc>
          <w:tcPr>
            <w:tcW w:w="1111" w:type="dxa"/>
            <w:shd w:val="clear" w:color="auto" w:fill="auto"/>
            <w:vAlign w:val="center"/>
            <w:hideMark/>
          </w:tcPr>
          <w:p w14:paraId="54C9601E" w14:textId="77777777" w:rsidR="004A6E7B" w:rsidRPr="00E639A0" w:rsidRDefault="004A6E7B">
            <w:pPr>
              <w:jc w:val="center"/>
              <w:rPr>
                <w:rFonts w:cs="Arial"/>
                <w:color w:val="000000"/>
                <w:lang w:eastAsia="en-GB"/>
              </w:rPr>
            </w:pPr>
            <w:r w:rsidRPr="00E639A0">
              <w:rPr>
                <w:rFonts w:cs="Arial"/>
              </w:rPr>
              <w:t>£3.8m</w:t>
            </w:r>
          </w:p>
        </w:tc>
      </w:tr>
      <w:tr w:rsidR="004A6E7B" w:rsidRPr="00E639A0" w14:paraId="0C6F8048" w14:textId="77777777">
        <w:trPr>
          <w:trHeight w:val="491"/>
        </w:trPr>
        <w:tc>
          <w:tcPr>
            <w:tcW w:w="1701" w:type="dxa"/>
            <w:shd w:val="clear" w:color="auto" w:fill="auto"/>
            <w:vAlign w:val="center"/>
            <w:hideMark/>
          </w:tcPr>
          <w:p w14:paraId="63A783A1" w14:textId="77777777" w:rsidR="004A6E7B" w:rsidRPr="00E639A0" w:rsidRDefault="004A6E7B">
            <w:pPr>
              <w:rPr>
                <w:rFonts w:cs="Arial"/>
                <w:color w:val="000000"/>
                <w:lang w:eastAsia="en-GB"/>
              </w:rPr>
            </w:pPr>
            <w:r w:rsidRPr="00E639A0">
              <w:rPr>
                <w:rFonts w:cs="Arial"/>
              </w:rPr>
              <w:t>Proportion of mothers aged under 22</w:t>
            </w:r>
          </w:p>
        </w:tc>
        <w:tc>
          <w:tcPr>
            <w:tcW w:w="2623" w:type="dxa"/>
            <w:shd w:val="clear" w:color="auto" w:fill="auto"/>
            <w:vAlign w:val="center"/>
            <w:hideMark/>
          </w:tcPr>
          <w:p w14:paraId="2C71A363" w14:textId="77777777" w:rsidR="004A6E7B" w:rsidRPr="00E639A0" w:rsidRDefault="004A6E7B">
            <w:pPr>
              <w:jc w:val="center"/>
              <w:rPr>
                <w:rFonts w:cs="Arial"/>
                <w:color w:val="000000"/>
                <w:lang w:eastAsia="en-GB"/>
              </w:rPr>
            </w:pPr>
            <w:r w:rsidRPr="00E639A0">
              <w:rPr>
                <w:rFonts w:cs="Arial"/>
                <w:color w:val="000000"/>
              </w:rPr>
              <w:t>300</w:t>
            </w:r>
          </w:p>
        </w:tc>
        <w:tc>
          <w:tcPr>
            <w:tcW w:w="2165" w:type="dxa"/>
            <w:shd w:val="clear" w:color="auto" w:fill="auto"/>
            <w:vAlign w:val="center"/>
            <w:hideMark/>
          </w:tcPr>
          <w:p w14:paraId="1E95D606" w14:textId="77777777" w:rsidR="004A6E7B" w:rsidRPr="00E639A0" w:rsidRDefault="004A6E7B">
            <w:pPr>
              <w:jc w:val="center"/>
              <w:rPr>
                <w:rFonts w:cs="Arial"/>
                <w:color w:val="000000"/>
                <w:lang w:eastAsia="en-GB"/>
              </w:rPr>
            </w:pPr>
            <w:r w:rsidRPr="00E639A0">
              <w:rPr>
                <w:rFonts w:cs="Arial"/>
              </w:rPr>
              <w:t>£210</w:t>
            </w:r>
          </w:p>
        </w:tc>
        <w:tc>
          <w:tcPr>
            <w:tcW w:w="1874" w:type="dxa"/>
            <w:shd w:val="clear" w:color="auto" w:fill="auto"/>
            <w:vAlign w:val="center"/>
            <w:hideMark/>
          </w:tcPr>
          <w:p w14:paraId="75405B79" w14:textId="77777777" w:rsidR="004A6E7B" w:rsidRPr="00E639A0" w:rsidRDefault="004A6E7B">
            <w:pPr>
              <w:jc w:val="center"/>
              <w:rPr>
                <w:rFonts w:cs="Arial"/>
                <w:color w:val="000000"/>
                <w:lang w:eastAsia="en-GB"/>
              </w:rPr>
            </w:pPr>
            <w:r w:rsidRPr="00E639A0">
              <w:rPr>
                <w:rFonts w:cs="Arial"/>
                <w:color w:val="000000"/>
              </w:rPr>
              <w:t>2</w:t>
            </w:r>
          </w:p>
        </w:tc>
        <w:tc>
          <w:tcPr>
            <w:tcW w:w="1111" w:type="dxa"/>
            <w:shd w:val="clear" w:color="auto" w:fill="auto"/>
            <w:vAlign w:val="center"/>
            <w:hideMark/>
          </w:tcPr>
          <w:p w14:paraId="4102331C" w14:textId="77777777" w:rsidR="004A6E7B" w:rsidRPr="00E639A0" w:rsidRDefault="004A6E7B">
            <w:pPr>
              <w:jc w:val="center"/>
              <w:rPr>
                <w:rFonts w:cs="Arial"/>
                <w:color w:val="000000"/>
                <w:lang w:eastAsia="en-GB"/>
              </w:rPr>
            </w:pPr>
            <w:r w:rsidRPr="00E639A0">
              <w:rPr>
                <w:rFonts w:cs="Arial"/>
              </w:rPr>
              <w:t>£0.1m</w:t>
            </w:r>
          </w:p>
        </w:tc>
      </w:tr>
      <w:tr w:rsidR="004C6841" w:rsidRPr="00E639A0" w14:paraId="3686F0DF" w14:textId="77777777">
        <w:trPr>
          <w:trHeight w:val="491"/>
        </w:trPr>
        <w:tc>
          <w:tcPr>
            <w:tcW w:w="1701" w:type="dxa"/>
            <w:shd w:val="clear" w:color="auto" w:fill="auto"/>
            <w:vAlign w:val="center"/>
          </w:tcPr>
          <w:p w14:paraId="0E5A9A72" w14:textId="2FD4A4D2" w:rsidR="004C6841" w:rsidRPr="00E639A0" w:rsidRDefault="004C6841">
            <w:pPr>
              <w:rPr>
                <w:rFonts w:cs="Arial"/>
              </w:rPr>
            </w:pPr>
            <w:r w:rsidRPr="00E639A0">
              <w:rPr>
                <w:rFonts w:cs="Arial"/>
              </w:rPr>
              <w:t>Total</w:t>
            </w:r>
            <w:r w:rsidR="007D2942" w:rsidRPr="00E639A0">
              <w:rPr>
                <w:rFonts w:cs="Arial"/>
              </w:rPr>
              <w:t xml:space="preserve"> (high cost scenario)</w:t>
            </w:r>
          </w:p>
        </w:tc>
        <w:tc>
          <w:tcPr>
            <w:tcW w:w="6662" w:type="dxa"/>
            <w:gridSpan w:val="3"/>
            <w:shd w:val="clear" w:color="auto" w:fill="auto"/>
            <w:vAlign w:val="center"/>
          </w:tcPr>
          <w:p w14:paraId="28AD272D" w14:textId="77777777" w:rsidR="004C6841" w:rsidRPr="00E639A0" w:rsidRDefault="004C6841">
            <w:pPr>
              <w:jc w:val="center"/>
              <w:rPr>
                <w:rFonts w:cs="Arial"/>
                <w:color w:val="000000"/>
              </w:rPr>
            </w:pPr>
          </w:p>
        </w:tc>
        <w:tc>
          <w:tcPr>
            <w:tcW w:w="1111" w:type="dxa"/>
            <w:shd w:val="clear" w:color="auto" w:fill="auto"/>
            <w:vAlign w:val="center"/>
          </w:tcPr>
          <w:p w14:paraId="15C4B601" w14:textId="67C53F7F" w:rsidR="004C6841" w:rsidRPr="00E639A0" w:rsidRDefault="004C6841">
            <w:pPr>
              <w:jc w:val="center"/>
              <w:rPr>
                <w:rFonts w:cs="Arial"/>
              </w:rPr>
            </w:pPr>
            <w:r w:rsidRPr="00E639A0">
              <w:rPr>
                <w:rFonts w:cs="Arial"/>
              </w:rPr>
              <w:t>£4.</w:t>
            </w:r>
            <w:r w:rsidR="00A47075" w:rsidRPr="00E639A0">
              <w:rPr>
                <w:rFonts w:cs="Arial"/>
              </w:rPr>
              <w:t>6</w:t>
            </w:r>
            <w:r w:rsidRPr="00E639A0">
              <w:rPr>
                <w:rFonts w:cs="Arial"/>
              </w:rPr>
              <w:t>m</w:t>
            </w:r>
          </w:p>
        </w:tc>
      </w:tr>
      <w:tr w:rsidR="007D2942" w:rsidRPr="00E639A0" w14:paraId="1FF41B50" w14:textId="77777777">
        <w:trPr>
          <w:trHeight w:val="491"/>
        </w:trPr>
        <w:tc>
          <w:tcPr>
            <w:tcW w:w="1701" w:type="dxa"/>
            <w:shd w:val="clear" w:color="auto" w:fill="auto"/>
            <w:vAlign w:val="center"/>
          </w:tcPr>
          <w:p w14:paraId="247F2E85" w14:textId="5E4B5A16" w:rsidR="007D2942" w:rsidRPr="00E639A0" w:rsidRDefault="007D2942">
            <w:pPr>
              <w:rPr>
                <w:rFonts w:cs="Arial"/>
                <w:b/>
                <w:bCs/>
              </w:rPr>
            </w:pPr>
            <w:r w:rsidRPr="00E639A0">
              <w:rPr>
                <w:rFonts w:cs="Arial"/>
                <w:b/>
                <w:bCs/>
              </w:rPr>
              <w:t>Total (central scenario</w:t>
            </w:r>
            <w:r w:rsidR="000A0F61" w:rsidRPr="00E639A0">
              <w:rPr>
                <w:rFonts w:cs="Arial"/>
                <w:b/>
                <w:bCs/>
              </w:rPr>
              <w:t xml:space="preserve"> adjustment</w:t>
            </w:r>
            <w:r w:rsidRPr="00E639A0">
              <w:rPr>
                <w:rFonts w:cs="Arial"/>
                <w:b/>
                <w:bCs/>
              </w:rPr>
              <w:t>)</w:t>
            </w:r>
          </w:p>
        </w:tc>
        <w:tc>
          <w:tcPr>
            <w:tcW w:w="6662" w:type="dxa"/>
            <w:gridSpan w:val="3"/>
            <w:shd w:val="clear" w:color="auto" w:fill="auto"/>
            <w:vAlign w:val="center"/>
          </w:tcPr>
          <w:p w14:paraId="3E287AB6" w14:textId="77777777" w:rsidR="007D2942" w:rsidRPr="00E639A0" w:rsidRDefault="007D2942">
            <w:pPr>
              <w:jc w:val="center"/>
              <w:rPr>
                <w:rFonts w:cs="Arial"/>
                <w:b/>
                <w:bCs/>
                <w:color w:val="000000"/>
              </w:rPr>
            </w:pPr>
          </w:p>
        </w:tc>
        <w:tc>
          <w:tcPr>
            <w:tcW w:w="1111" w:type="dxa"/>
            <w:shd w:val="clear" w:color="auto" w:fill="auto"/>
            <w:vAlign w:val="center"/>
          </w:tcPr>
          <w:p w14:paraId="31F85C27" w14:textId="020EB0CE" w:rsidR="007D2942" w:rsidRPr="00E639A0" w:rsidRDefault="007D2942">
            <w:pPr>
              <w:jc w:val="center"/>
              <w:rPr>
                <w:rFonts w:cs="Arial"/>
                <w:b/>
                <w:bCs/>
              </w:rPr>
            </w:pPr>
            <w:r w:rsidRPr="00E639A0">
              <w:rPr>
                <w:rFonts w:cs="Arial"/>
                <w:b/>
                <w:bCs/>
              </w:rPr>
              <w:t>£2.3m</w:t>
            </w:r>
          </w:p>
        </w:tc>
      </w:tr>
    </w:tbl>
    <w:p w14:paraId="2C990C18" w14:textId="77777777" w:rsidR="004A6E7B" w:rsidRPr="00E639A0" w:rsidRDefault="004A6E7B" w:rsidP="00734872">
      <w:pPr>
        <w:rPr>
          <w:rFonts w:cs="Arial"/>
          <w:b/>
          <w:bCs/>
        </w:rPr>
      </w:pPr>
    </w:p>
    <w:p w14:paraId="724EA24E" w14:textId="167B64B5" w:rsidR="00734872" w:rsidRPr="00E639A0" w:rsidRDefault="00734872" w:rsidP="00734872">
      <w:pPr>
        <w:rPr>
          <w:rFonts w:cs="Arial"/>
        </w:rPr>
      </w:pPr>
      <w:r w:rsidRPr="00E639A0">
        <w:rPr>
          <w:rFonts w:cs="Arial"/>
        </w:rPr>
        <w:t>*Figures may not total due to rounding.</w:t>
      </w:r>
    </w:p>
    <w:p w14:paraId="0671C891" w14:textId="085F0C18" w:rsidR="004A6E7B" w:rsidRPr="00E639A0" w:rsidRDefault="004A6E7B" w:rsidP="00734872">
      <w:pPr>
        <w:pStyle w:val="Heading4"/>
        <w:rPr>
          <w:sz w:val="24"/>
          <w:szCs w:val="24"/>
        </w:rPr>
      </w:pPr>
      <w:r w:rsidRPr="00E639A0">
        <w:rPr>
          <w:sz w:val="24"/>
          <w:szCs w:val="24"/>
        </w:rPr>
        <w:t>Table 13: Statutory Redundancy Pay previously paid to returning mothers</w:t>
      </w:r>
      <w:r w:rsidR="00486B95" w:rsidRPr="00E639A0">
        <w:rPr>
          <w:sz w:val="24"/>
          <w:szCs w:val="24"/>
        </w:rPr>
        <w:t xml:space="preserve"> (high cost scenario)</w:t>
      </w:r>
    </w:p>
    <w:tbl>
      <w:tblPr>
        <w:tblW w:w="9474"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1"/>
        <w:gridCol w:w="2623"/>
        <w:gridCol w:w="2165"/>
        <w:gridCol w:w="1874"/>
        <w:gridCol w:w="1111"/>
      </w:tblGrid>
      <w:tr w:rsidR="004A6E7B" w:rsidRPr="00E639A0" w14:paraId="129357DB" w14:textId="77777777">
        <w:trPr>
          <w:trHeight w:val="491"/>
        </w:trPr>
        <w:tc>
          <w:tcPr>
            <w:tcW w:w="1701" w:type="dxa"/>
            <w:shd w:val="clear" w:color="auto" w:fill="auto"/>
            <w:vAlign w:val="center"/>
            <w:hideMark/>
          </w:tcPr>
          <w:p w14:paraId="56281FF7" w14:textId="77777777" w:rsidR="004A6E7B" w:rsidRPr="00E639A0" w:rsidRDefault="004A6E7B">
            <w:pPr>
              <w:jc w:val="center"/>
              <w:rPr>
                <w:rFonts w:cs="Arial"/>
                <w:b/>
                <w:bCs/>
                <w:color w:val="000000"/>
                <w:lang w:eastAsia="en-GB"/>
              </w:rPr>
            </w:pPr>
            <w:r w:rsidRPr="00E639A0">
              <w:rPr>
                <w:rFonts w:cs="Arial"/>
                <w:b/>
                <w:bCs/>
                <w:color w:val="000000"/>
                <w:lang w:eastAsia="en-GB"/>
              </w:rPr>
              <w:t>Age group</w:t>
            </w:r>
          </w:p>
        </w:tc>
        <w:tc>
          <w:tcPr>
            <w:tcW w:w="2623" w:type="dxa"/>
            <w:shd w:val="clear" w:color="auto" w:fill="auto"/>
            <w:vAlign w:val="center"/>
            <w:hideMark/>
          </w:tcPr>
          <w:p w14:paraId="5C5F36E6" w14:textId="77777777" w:rsidR="004A6E7B" w:rsidRPr="00E639A0" w:rsidRDefault="004A6E7B">
            <w:pPr>
              <w:jc w:val="center"/>
              <w:rPr>
                <w:rFonts w:cs="Arial"/>
                <w:b/>
                <w:bCs/>
                <w:color w:val="000000"/>
                <w:lang w:eastAsia="en-GB"/>
              </w:rPr>
            </w:pPr>
            <w:r w:rsidRPr="00E639A0">
              <w:rPr>
                <w:rFonts w:cs="Arial"/>
                <w:b/>
                <w:bCs/>
                <w:color w:val="000000"/>
                <w:lang w:eastAsia="en-GB"/>
              </w:rPr>
              <w:t>Population</w:t>
            </w:r>
          </w:p>
        </w:tc>
        <w:tc>
          <w:tcPr>
            <w:tcW w:w="2165" w:type="dxa"/>
            <w:shd w:val="clear" w:color="auto" w:fill="auto"/>
            <w:vAlign w:val="center"/>
            <w:hideMark/>
          </w:tcPr>
          <w:p w14:paraId="4BC9EC2C" w14:textId="77777777" w:rsidR="004A6E7B" w:rsidRPr="00E639A0" w:rsidRDefault="004A6E7B">
            <w:pPr>
              <w:jc w:val="center"/>
              <w:rPr>
                <w:rFonts w:cs="Arial"/>
                <w:b/>
                <w:bCs/>
                <w:color w:val="000000"/>
                <w:lang w:eastAsia="en-GB"/>
              </w:rPr>
            </w:pPr>
            <w:r w:rsidRPr="00E639A0">
              <w:rPr>
                <w:rFonts w:cs="Arial"/>
                <w:b/>
                <w:bCs/>
                <w:color w:val="000000"/>
                <w:lang w:eastAsia="en-GB"/>
              </w:rPr>
              <w:t>Average Statutory Redundancy Pay per employee per year</w:t>
            </w:r>
          </w:p>
        </w:tc>
        <w:tc>
          <w:tcPr>
            <w:tcW w:w="1874" w:type="dxa"/>
            <w:shd w:val="clear" w:color="auto" w:fill="auto"/>
            <w:vAlign w:val="center"/>
            <w:hideMark/>
          </w:tcPr>
          <w:p w14:paraId="1C762CED" w14:textId="77777777" w:rsidR="004A6E7B" w:rsidRPr="00E639A0" w:rsidRDefault="004A6E7B">
            <w:pPr>
              <w:jc w:val="center"/>
              <w:rPr>
                <w:rFonts w:cs="Arial"/>
                <w:b/>
                <w:bCs/>
                <w:color w:val="000000"/>
                <w:lang w:eastAsia="en-GB"/>
              </w:rPr>
            </w:pPr>
            <w:r w:rsidRPr="00E639A0">
              <w:rPr>
                <w:rFonts w:cs="Arial"/>
                <w:b/>
                <w:bCs/>
                <w:color w:val="000000"/>
                <w:lang w:eastAsia="en-GB"/>
              </w:rPr>
              <w:t>Average no. of years service</w:t>
            </w:r>
          </w:p>
        </w:tc>
        <w:tc>
          <w:tcPr>
            <w:tcW w:w="1111" w:type="dxa"/>
            <w:shd w:val="clear" w:color="auto" w:fill="auto"/>
            <w:vAlign w:val="center"/>
            <w:hideMark/>
          </w:tcPr>
          <w:p w14:paraId="7CA64ADF" w14:textId="77777777" w:rsidR="004A6E7B" w:rsidRPr="00E639A0" w:rsidRDefault="004A6E7B">
            <w:pPr>
              <w:jc w:val="center"/>
              <w:rPr>
                <w:rFonts w:cs="Arial"/>
                <w:b/>
                <w:bCs/>
                <w:color w:val="000000"/>
                <w:lang w:eastAsia="en-GB"/>
              </w:rPr>
            </w:pPr>
            <w:r w:rsidRPr="00E639A0">
              <w:rPr>
                <w:rFonts w:cs="Arial"/>
                <w:b/>
                <w:bCs/>
                <w:color w:val="000000"/>
                <w:lang w:eastAsia="en-GB"/>
              </w:rPr>
              <w:t>Total Cost</w:t>
            </w:r>
          </w:p>
        </w:tc>
      </w:tr>
      <w:tr w:rsidR="004A6E7B" w:rsidRPr="00E639A0" w14:paraId="2A6E1B75" w14:textId="77777777">
        <w:trPr>
          <w:trHeight w:val="491"/>
        </w:trPr>
        <w:tc>
          <w:tcPr>
            <w:tcW w:w="1701" w:type="dxa"/>
            <w:shd w:val="clear" w:color="auto" w:fill="auto"/>
            <w:vAlign w:val="center"/>
            <w:hideMark/>
          </w:tcPr>
          <w:p w14:paraId="399E365D" w14:textId="77777777" w:rsidR="004A6E7B" w:rsidRPr="00E639A0" w:rsidRDefault="004A6E7B">
            <w:pPr>
              <w:rPr>
                <w:rFonts w:cs="Arial"/>
                <w:color w:val="000000"/>
                <w:lang w:eastAsia="en-GB"/>
              </w:rPr>
            </w:pPr>
            <w:r w:rsidRPr="00E639A0">
              <w:rPr>
                <w:rFonts w:cs="Arial"/>
                <w:color w:val="000000"/>
                <w:lang w:eastAsia="en-GB"/>
              </w:rPr>
              <w:t>Proportion of mothers aged 41+</w:t>
            </w:r>
          </w:p>
        </w:tc>
        <w:tc>
          <w:tcPr>
            <w:tcW w:w="2623" w:type="dxa"/>
            <w:shd w:val="clear" w:color="auto" w:fill="auto"/>
            <w:vAlign w:val="center"/>
            <w:hideMark/>
          </w:tcPr>
          <w:p w14:paraId="05986468" w14:textId="77777777" w:rsidR="004A6E7B" w:rsidRPr="00E639A0" w:rsidRDefault="004A6E7B">
            <w:pPr>
              <w:jc w:val="center"/>
              <w:rPr>
                <w:rFonts w:cs="Arial"/>
                <w:color w:val="000000"/>
                <w:lang w:eastAsia="en-GB"/>
              </w:rPr>
            </w:pPr>
            <w:r w:rsidRPr="00E639A0">
              <w:rPr>
                <w:rFonts w:cs="Arial"/>
                <w:color w:val="000000"/>
                <w:lang w:eastAsia="en-GB"/>
              </w:rPr>
              <w:t>200</w:t>
            </w:r>
          </w:p>
        </w:tc>
        <w:tc>
          <w:tcPr>
            <w:tcW w:w="2165" w:type="dxa"/>
            <w:shd w:val="clear" w:color="auto" w:fill="auto"/>
            <w:vAlign w:val="center"/>
            <w:hideMark/>
          </w:tcPr>
          <w:p w14:paraId="42509C5C" w14:textId="77777777" w:rsidR="004A6E7B" w:rsidRPr="00E639A0" w:rsidRDefault="004A6E7B">
            <w:pPr>
              <w:jc w:val="center"/>
              <w:rPr>
                <w:rFonts w:cs="Arial"/>
                <w:color w:val="000000"/>
                <w:lang w:eastAsia="en-GB"/>
              </w:rPr>
            </w:pPr>
            <w:r w:rsidRPr="00E639A0">
              <w:rPr>
                <w:rFonts w:cs="Arial"/>
              </w:rPr>
              <w:t>£640</w:t>
            </w:r>
          </w:p>
        </w:tc>
        <w:tc>
          <w:tcPr>
            <w:tcW w:w="1874" w:type="dxa"/>
            <w:shd w:val="clear" w:color="auto" w:fill="auto"/>
            <w:vAlign w:val="center"/>
            <w:hideMark/>
          </w:tcPr>
          <w:p w14:paraId="298B4034" w14:textId="77777777" w:rsidR="004A6E7B" w:rsidRPr="00E639A0" w:rsidRDefault="004A6E7B">
            <w:pPr>
              <w:jc w:val="center"/>
              <w:rPr>
                <w:rFonts w:cs="Arial"/>
                <w:color w:val="000000"/>
                <w:lang w:eastAsia="en-GB"/>
              </w:rPr>
            </w:pPr>
            <w:r w:rsidRPr="00E639A0">
              <w:rPr>
                <w:rFonts w:cs="Arial"/>
              </w:rPr>
              <w:t>10</w:t>
            </w:r>
          </w:p>
        </w:tc>
        <w:tc>
          <w:tcPr>
            <w:tcW w:w="1111" w:type="dxa"/>
            <w:shd w:val="clear" w:color="auto" w:fill="auto"/>
            <w:vAlign w:val="center"/>
            <w:hideMark/>
          </w:tcPr>
          <w:p w14:paraId="5E2AC901" w14:textId="77777777" w:rsidR="004A6E7B" w:rsidRPr="00E639A0" w:rsidRDefault="004A6E7B">
            <w:pPr>
              <w:jc w:val="center"/>
              <w:rPr>
                <w:rFonts w:cs="Arial"/>
                <w:color w:val="000000"/>
                <w:lang w:eastAsia="en-GB"/>
              </w:rPr>
            </w:pPr>
            <w:r w:rsidRPr="00E639A0">
              <w:rPr>
                <w:rFonts w:cs="Arial"/>
                <w:color w:val="000000"/>
                <w:lang w:eastAsia="en-GB"/>
              </w:rPr>
              <w:t>£1.2m</w:t>
            </w:r>
          </w:p>
        </w:tc>
      </w:tr>
      <w:tr w:rsidR="004A6E7B" w:rsidRPr="00E639A0" w14:paraId="23E2B833" w14:textId="77777777">
        <w:trPr>
          <w:trHeight w:val="491"/>
        </w:trPr>
        <w:tc>
          <w:tcPr>
            <w:tcW w:w="1701" w:type="dxa"/>
            <w:shd w:val="clear" w:color="auto" w:fill="auto"/>
            <w:vAlign w:val="center"/>
            <w:hideMark/>
          </w:tcPr>
          <w:p w14:paraId="5D202727" w14:textId="77777777" w:rsidR="004A6E7B" w:rsidRPr="00E639A0" w:rsidRDefault="004A6E7B">
            <w:pPr>
              <w:rPr>
                <w:rFonts w:cs="Arial"/>
                <w:color w:val="000000"/>
                <w:lang w:eastAsia="en-GB"/>
              </w:rPr>
            </w:pPr>
            <w:r w:rsidRPr="00E639A0">
              <w:rPr>
                <w:rFonts w:cs="Arial"/>
                <w:color w:val="000000"/>
                <w:lang w:eastAsia="en-GB"/>
              </w:rPr>
              <w:t>Proportion of mothers aged 22-40</w:t>
            </w:r>
          </w:p>
        </w:tc>
        <w:tc>
          <w:tcPr>
            <w:tcW w:w="2623" w:type="dxa"/>
            <w:shd w:val="clear" w:color="auto" w:fill="auto"/>
            <w:vAlign w:val="center"/>
            <w:hideMark/>
          </w:tcPr>
          <w:p w14:paraId="358AE03B" w14:textId="77777777" w:rsidR="004A6E7B" w:rsidRPr="00E639A0" w:rsidRDefault="004A6E7B">
            <w:pPr>
              <w:jc w:val="center"/>
              <w:rPr>
                <w:rFonts w:cs="Arial"/>
                <w:color w:val="000000"/>
                <w:lang w:eastAsia="en-GB"/>
              </w:rPr>
            </w:pPr>
            <w:r w:rsidRPr="00E639A0">
              <w:rPr>
                <w:rFonts w:cs="Arial"/>
                <w:color w:val="000000"/>
                <w:lang w:eastAsia="en-GB"/>
              </w:rPr>
              <w:t>3,400</w:t>
            </w:r>
          </w:p>
        </w:tc>
        <w:tc>
          <w:tcPr>
            <w:tcW w:w="2165" w:type="dxa"/>
            <w:shd w:val="clear" w:color="auto" w:fill="auto"/>
            <w:vAlign w:val="center"/>
            <w:hideMark/>
          </w:tcPr>
          <w:p w14:paraId="2BC901D7" w14:textId="77777777" w:rsidR="004A6E7B" w:rsidRPr="00E639A0" w:rsidRDefault="004A6E7B">
            <w:pPr>
              <w:jc w:val="center"/>
              <w:rPr>
                <w:rFonts w:cs="Arial"/>
                <w:color w:val="000000"/>
                <w:lang w:eastAsia="en-GB"/>
              </w:rPr>
            </w:pPr>
            <w:r w:rsidRPr="00E639A0">
              <w:rPr>
                <w:rFonts w:cs="Arial"/>
              </w:rPr>
              <w:t>£420</w:t>
            </w:r>
          </w:p>
        </w:tc>
        <w:tc>
          <w:tcPr>
            <w:tcW w:w="1874" w:type="dxa"/>
            <w:shd w:val="clear" w:color="auto" w:fill="auto"/>
            <w:vAlign w:val="center"/>
            <w:hideMark/>
          </w:tcPr>
          <w:p w14:paraId="595856BE" w14:textId="77777777" w:rsidR="004A6E7B" w:rsidRPr="00E639A0" w:rsidRDefault="004A6E7B">
            <w:pPr>
              <w:jc w:val="center"/>
              <w:rPr>
                <w:rFonts w:cs="Arial"/>
                <w:color w:val="000000"/>
                <w:lang w:eastAsia="en-GB"/>
              </w:rPr>
            </w:pPr>
            <w:r w:rsidRPr="00E639A0">
              <w:rPr>
                <w:rFonts w:cs="Arial"/>
                <w:color w:val="000000"/>
              </w:rPr>
              <w:t>5</w:t>
            </w:r>
          </w:p>
        </w:tc>
        <w:tc>
          <w:tcPr>
            <w:tcW w:w="1111" w:type="dxa"/>
            <w:shd w:val="clear" w:color="auto" w:fill="auto"/>
            <w:vAlign w:val="center"/>
            <w:hideMark/>
          </w:tcPr>
          <w:p w14:paraId="2D04955C" w14:textId="77777777" w:rsidR="004A6E7B" w:rsidRPr="00E639A0" w:rsidRDefault="004A6E7B">
            <w:pPr>
              <w:jc w:val="center"/>
              <w:rPr>
                <w:rFonts w:cs="Arial"/>
                <w:color w:val="000000"/>
                <w:lang w:eastAsia="en-GB"/>
              </w:rPr>
            </w:pPr>
            <w:r w:rsidRPr="00E639A0">
              <w:rPr>
                <w:rFonts w:cs="Arial"/>
                <w:color w:val="000000"/>
                <w:lang w:eastAsia="en-GB"/>
              </w:rPr>
              <w:t>£7.7m</w:t>
            </w:r>
          </w:p>
        </w:tc>
      </w:tr>
      <w:tr w:rsidR="004A6E7B" w:rsidRPr="00E639A0" w14:paraId="5F30C9FF" w14:textId="77777777">
        <w:trPr>
          <w:trHeight w:val="491"/>
        </w:trPr>
        <w:tc>
          <w:tcPr>
            <w:tcW w:w="1701" w:type="dxa"/>
            <w:shd w:val="clear" w:color="auto" w:fill="auto"/>
            <w:vAlign w:val="center"/>
            <w:hideMark/>
          </w:tcPr>
          <w:p w14:paraId="4BC144D5" w14:textId="77777777" w:rsidR="004A6E7B" w:rsidRPr="00E639A0" w:rsidRDefault="004A6E7B">
            <w:pPr>
              <w:rPr>
                <w:rFonts w:cs="Arial"/>
                <w:color w:val="000000"/>
                <w:lang w:eastAsia="en-GB"/>
              </w:rPr>
            </w:pPr>
            <w:r w:rsidRPr="00E639A0">
              <w:rPr>
                <w:rFonts w:cs="Arial"/>
                <w:color w:val="000000"/>
                <w:lang w:eastAsia="en-GB"/>
              </w:rPr>
              <w:t>Proportion of mothers aged under 22</w:t>
            </w:r>
          </w:p>
        </w:tc>
        <w:tc>
          <w:tcPr>
            <w:tcW w:w="2623" w:type="dxa"/>
            <w:shd w:val="clear" w:color="auto" w:fill="auto"/>
            <w:vAlign w:val="center"/>
            <w:hideMark/>
          </w:tcPr>
          <w:p w14:paraId="507A8415" w14:textId="77777777" w:rsidR="004A6E7B" w:rsidRPr="00E639A0" w:rsidRDefault="004A6E7B">
            <w:pPr>
              <w:jc w:val="center"/>
              <w:rPr>
                <w:rFonts w:cs="Arial"/>
                <w:color w:val="000000"/>
                <w:lang w:eastAsia="en-GB"/>
              </w:rPr>
            </w:pPr>
            <w:r w:rsidRPr="00E639A0">
              <w:rPr>
                <w:rFonts w:cs="Arial"/>
                <w:color w:val="000000"/>
                <w:lang w:eastAsia="en-GB"/>
              </w:rPr>
              <w:t>700</w:t>
            </w:r>
          </w:p>
        </w:tc>
        <w:tc>
          <w:tcPr>
            <w:tcW w:w="2165" w:type="dxa"/>
            <w:shd w:val="clear" w:color="auto" w:fill="auto"/>
            <w:vAlign w:val="center"/>
            <w:hideMark/>
          </w:tcPr>
          <w:p w14:paraId="0729F844" w14:textId="77777777" w:rsidR="004A6E7B" w:rsidRPr="00E639A0" w:rsidRDefault="004A6E7B">
            <w:pPr>
              <w:jc w:val="center"/>
              <w:rPr>
                <w:rFonts w:cs="Arial"/>
                <w:color w:val="000000"/>
                <w:lang w:eastAsia="en-GB"/>
              </w:rPr>
            </w:pPr>
            <w:r w:rsidRPr="00E639A0">
              <w:rPr>
                <w:rFonts w:cs="Arial"/>
              </w:rPr>
              <w:t>£210</w:t>
            </w:r>
          </w:p>
        </w:tc>
        <w:tc>
          <w:tcPr>
            <w:tcW w:w="1874" w:type="dxa"/>
            <w:shd w:val="clear" w:color="auto" w:fill="auto"/>
            <w:vAlign w:val="center"/>
            <w:hideMark/>
          </w:tcPr>
          <w:p w14:paraId="70260BFC" w14:textId="77777777" w:rsidR="004A6E7B" w:rsidRPr="00E639A0" w:rsidRDefault="004A6E7B">
            <w:pPr>
              <w:jc w:val="center"/>
              <w:rPr>
                <w:rFonts w:cs="Arial"/>
                <w:color w:val="000000"/>
                <w:lang w:eastAsia="en-GB"/>
              </w:rPr>
            </w:pPr>
            <w:r w:rsidRPr="00E639A0">
              <w:rPr>
                <w:rFonts w:cs="Arial"/>
                <w:color w:val="000000"/>
              </w:rPr>
              <w:t>2</w:t>
            </w:r>
          </w:p>
        </w:tc>
        <w:tc>
          <w:tcPr>
            <w:tcW w:w="1111" w:type="dxa"/>
            <w:shd w:val="clear" w:color="auto" w:fill="auto"/>
            <w:vAlign w:val="center"/>
            <w:hideMark/>
          </w:tcPr>
          <w:p w14:paraId="7EA6C717" w14:textId="77777777" w:rsidR="004A6E7B" w:rsidRPr="00E639A0" w:rsidRDefault="004A6E7B">
            <w:pPr>
              <w:jc w:val="center"/>
              <w:rPr>
                <w:rFonts w:cs="Arial"/>
                <w:color w:val="000000"/>
                <w:lang w:eastAsia="en-GB"/>
              </w:rPr>
            </w:pPr>
            <w:r w:rsidRPr="00E639A0">
              <w:rPr>
                <w:rFonts w:cs="Arial"/>
                <w:color w:val="000000"/>
                <w:lang w:eastAsia="en-GB"/>
              </w:rPr>
              <w:t>£0.3m</w:t>
            </w:r>
          </w:p>
        </w:tc>
      </w:tr>
      <w:tr w:rsidR="004C6841" w:rsidRPr="00E639A0" w14:paraId="6C9759BE" w14:textId="77777777">
        <w:trPr>
          <w:trHeight w:val="491"/>
        </w:trPr>
        <w:tc>
          <w:tcPr>
            <w:tcW w:w="1701" w:type="dxa"/>
            <w:shd w:val="clear" w:color="auto" w:fill="auto"/>
            <w:vAlign w:val="center"/>
          </w:tcPr>
          <w:p w14:paraId="54EA6E1C" w14:textId="75565B5E" w:rsidR="004C6841" w:rsidRPr="00E639A0" w:rsidRDefault="004C6841">
            <w:pPr>
              <w:rPr>
                <w:rFonts w:cs="Arial"/>
                <w:color w:val="000000"/>
                <w:lang w:eastAsia="en-GB"/>
              </w:rPr>
            </w:pPr>
            <w:r w:rsidRPr="00E639A0">
              <w:rPr>
                <w:rFonts w:cs="Arial"/>
                <w:color w:val="000000"/>
                <w:lang w:eastAsia="en-GB"/>
              </w:rPr>
              <w:t>Total</w:t>
            </w:r>
          </w:p>
        </w:tc>
        <w:tc>
          <w:tcPr>
            <w:tcW w:w="6662" w:type="dxa"/>
            <w:gridSpan w:val="3"/>
            <w:shd w:val="clear" w:color="auto" w:fill="auto"/>
            <w:vAlign w:val="center"/>
          </w:tcPr>
          <w:p w14:paraId="6A6C72F0" w14:textId="77777777" w:rsidR="004C6841" w:rsidRPr="00E639A0" w:rsidRDefault="004C6841">
            <w:pPr>
              <w:jc w:val="center"/>
              <w:rPr>
                <w:rFonts w:cs="Arial"/>
                <w:color w:val="000000"/>
              </w:rPr>
            </w:pPr>
          </w:p>
        </w:tc>
        <w:tc>
          <w:tcPr>
            <w:tcW w:w="1111" w:type="dxa"/>
            <w:shd w:val="clear" w:color="auto" w:fill="auto"/>
            <w:vAlign w:val="center"/>
          </w:tcPr>
          <w:p w14:paraId="5D8258D9" w14:textId="48778CD9" w:rsidR="004C6841" w:rsidRPr="00E639A0" w:rsidRDefault="004C6841">
            <w:pPr>
              <w:jc w:val="center"/>
              <w:rPr>
                <w:rFonts w:cs="Arial"/>
                <w:color w:val="000000"/>
                <w:lang w:eastAsia="en-GB"/>
              </w:rPr>
            </w:pPr>
            <w:r w:rsidRPr="00E639A0">
              <w:rPr>
                <w:rFonts w:cs="Arial"/>
                <w:color w:val="000000"/>
                <w:lang w:eastAsia="en-GB"/>
              </w:rPr>
              <w:t>£9.2m</w:t>
            </w:r>
          </w:p>
        </w:tc>
      </w:tr>
      <w:tr w:rsidR="007D2942" w:rsidRPr="00E639A0" w14:paraId="03C67D36" w14:textId="77777777">
        <w:trPr>
          <w:trHeight w:val="491"/>
        </w:trPr>
        <w:tc>
          <w:tcPr>
            <w:tcW w:w="1701" w:type="dxa"/>
            <w:shd w:val="clear" w:color="auto" w:fill="auto"/>
            <w:vAlign w:val="center"/>
          </w:tcPr>
          <w:p w14:paraId="3CA3B13A" w14:textId="60165106" w:rsidR="007D2942" w:rsidRPr="00E639A0" w:rsidRDefault="007D2942">
            <w:pPr>
              <w:rPr>
                <w:rFonts w:cs="Arial"/>
                <w:b/>
                <w:bCs/>
              </w:rPr>
            </w:pPr>
            <w:r w:rsidRPr="00E639A0">
              <w:rPr>
                <w:rFonts w:cs="Arial"/>
                <w:b/>
                <w:bCs/>
              </w:rPr>
              <w:t>Total (central scenario</w:t>
            </w:r>
            <w:r w:rsidR="000A0F61" w:rsidRPr="00E639A0">
              <w:rPr>
                <w:rFonts w:cs="Arial"/>
                <w:b/>
                <w:bCs/>
              </w:rPr>
              <w:t xml:space="preserve"> adjustment</w:t>
            </w:r>
            <w:r w:rsidRPr="00E639A0">
              <w:rPr>
                <w:rFonts w:cs="Arial"/>
                <w:b/>
                <w:bCs/>
              </w:rPr>
              <w:t>)</w:t>
            </w:r>
          </w:p>
        </w:tc>
        <w:tc>
          <w:tcPr>
            <w:tcW w:w="6662" w:type="dxa"/>
            <w:gridSpan w:val="3"/>
            <w:shd w:val="clear" w:color="auto" w:fill="auto"/>
            <w:vAlign w:val="center"/>
          </w:tcPr>
          <w:p w14:paraId="6ED2BFB4" w14:textId="77777777" w:rsidR="007D2942" w:rsidRPr="00E639A0" w:rsidRDefault="007D2942">
            <w:pPr>
              <w:jc w:val="center"/>
              <w:rPr>
                <w:rFonts w:cs="Arial"/>
                <w:b/>
                <w:bCs/>
                <w:color w:val="000000"/>
              </w:rPr>
            </w:pPr>
          </w:p>
        </w:tc>
        <w:tc>
          <w:tcPr>
            <w:tcW w:w="1111" w:type="dxa"/>
            <w:shd w:val="clear" w:color="auto" w:fill="auto"/>
            <w:vAlign w:val="center"/>
          </w:tcPr>
          <w:p w14:paraId="26116117" w14:textId="5889F8AC" w:rsidR="007D2942" w:rsidRPr="00E639A0" w:rsidRDefault="007D2942">
            <w:pPr>
              <w:jc w:val="center"/>
              <w:rPr>
                <w:rFonts w:cs="Arial"/>
                <w:b/>
                <w:bCs/>
              </w:rPr>
            </w:pPr>
            <w:r w:rsidRPr="00E639A0">
              <w:rPr>
                <w:rFonts w:cs="Arial"/>
                <w:b/>
                <w:bCs/>
              </w:rPr>
              <w:t>£</w:t>
            </w:r>
            <w:r w:rsidR="00985A50" w:rsidRPr="00E639A0">
              <w:rPr>
                <w:rFonts w:cs="Arial"/>
                <w:b/>
                <w:bCs/>
              </w:rPr>
              <w:t>4.6</w:t>
            </w:r>
            <w:r w:rsidRPr="00E639A0">
              <w:rPr>
                <w:rFonts w:cs="Arial"/>
                <w:b/>
                <w:bCs/>
              </w:rPr>
              <w:t>m</w:t>
            </w:r>
          </w:p>
        </w:tc>
      </w:tr>
    </w:tbl>
    <w:p w14:paraId="6DC2133A" w14:textId="77777777" w:rsidR="004A6E7B" w:rsidRPr="00E639A0" w:rsidRDefault="004A6E7B" w:rsidP="004A6E7B">
      <w:pPr>
        <w:pStyle w:val="ListParagraph"/>
        <w:rPr>
          <w:rFonts w:cs="Arial"/>
        </w:rPr>
      </w:pPr>
    </w:p>
    <w:p w14:paraId="598EAF1E" w14:textId="77777777" w:rsidR="00734872" w:rsidRPr="00E639A0" w:rsidRDefault="00734872" w:rsidP="00734872">
      <w:pPr>
        <w:rPr>
          <w:rFonts w:cs="Arial"/>
        </w:rPr>
      </w:pPr>
      <w:r w:rsidRPr="00E639A0">
        <w:rPr>
          <w:rFonts w:cs="Arial"/>
        </w:rPr>
        <w:t>*Figures may not total due to rounding.</w:t>
      </w:r>
    </w:p>
    <w:p w14:paraId="056191DF" w14:textId="77777777" w:rsidR="00734872" w:rsidRPr="00E639A0" w:rsidRDefault="00734872" w:rsidP="004A6E7B">
      <w:pPr>
        <w:pStyle w:val="ListParagraph"/>
        <w:rPr>
          <w:rFonts w:cs="Arial"/>
        </w:rPr>
      </w:pPr>
    </w:p>
    <w:p w14:paraId="53A3BD94" w14:textId="77777777" w:rsidR="00734872" w:rsidRPr="00E639A0" w:rsidRDefault="00734872" w:rsidP="004A6E7B">
      <w:pPr>
        <w:pStyle w:val="ListParagraph"/>
        <w:rPr>
          <w:rFonts w:cs="Arial"/>
        </w:rPr>
      </w:pPr>
    </w:p>
    <w:p w14:paraId="49687EDF" w14:textId="77777777" w:rsidR="004A6E7B" w:rsidRPr="00E639A0" w:rsidRDefault="004A6E7B" w:rsidP="004A6E7B">
      <w:pPr>
        <w:pStyle w:val="EBBodyPara"/>
        <w:numPr>
          <w:ilvl w:val="0"/>
          <w:numId w:val="7"/>
        </w:numPr>
        <w:rPr>
          <w:sz w:val="24"/>
          <w:szCs w:val="24"/>
        </w:rPr>
      </w:pPr>
      <w:r w:rsidRPr="00E639A0">
        <w:rPr>
          <w:sz w:val="24"/>
          <w:szCs w:val="24"/>
        </w:rPr>
        <w:t>The estimated savings on Statutory Redundancy Pay depends on what proportion of businesses we assume fall into each of the scenarios set out above. If all businesses behave as in Scenario 1 there are no savings on Statutory Redundancy Pay, as businesses will have to pay these out to the staff members who they lay off instead of pregnant women/returning parents</w:t>
      </w:r>
      <w:r w:rsidRPr="00E639A0">
        <w:rPr>
          <w:b/>
          <w:bCs w:val="0"/>
          <w:sz w:val="24"/>
          <w:szCs w:val="24"/>
        </w:rPr>
        <w:t>. In the high cost estimate, where all businesses previously made pregnant women/returning parents redundant, we estimate annual savings of £14.0m.</w:t>
      </w:r>
      <w:r w:rsidRPr="00E639A0">
        <w:rPr>
          <w:sz w:val="24"/>
          <w:szCs w:val="24"/>
        </w:rPr>
        <w:t xml:space="preserve"> </w:t>
      </w:r>
      <w:r w:rsidRPr="00E639A0">
        <w:rPr>
          <w:b/>
          <w:bCs w:val="0"/>
          <w:sz w:val="24"/>
          <w:szCs w:val="24"/>
        </w:rPr>
        <w:t>In our best estimate, we estimate illustrative annual savings on Statutory Redundancy Pay of £7.0m</w:t>
      </w:r>
      <w:r w:rsidRPr="00E639A0">
        <w:rPr>
          <w:b/>
          <w:bCs w:val="0"/>
          <w:sz w:val="24"/>
          <w:szCs w:val="24"/>
          <w:vertAlign w:val="superscript"/>
        </w:rPr>
        <w:footnoteReference w:id="63"/>
      </w:r>
      <w:r w:rsidRPr="00E639A0">
        <w:rPr>
          <w:b/>
          <w:bCs w:val="0"/>
          <w:sz w:val="24"/>
          <w:szCs w:val="24"/>
        </w:rPr>
        <w:t>.</w:t>
      </w:r>
    </w:p>
    <w:p w14:paraId="48D812F1" w14:textId="77777777" w:rsidR="004A6E7B" w:rsidRPr="00E639A0" w:rsidRDefault="004A6E7B" w:rsidP="004A6E7B">
      <w:pPr>
        <w:rPr>
          <w:rFonts w:cs="Arial"/>
        </w:rPr>
      </w:pPr>
    </w:p>
    <w:p w14:paraId="17521387" w14:textId="47F0D7DA" w:rsidR="00701FED" w:rsidRPr="00E639A0" w:rsidRDefault="00701FED" w:rsidP="00701FED">
      <w:pPr>
        <w:pStyle w:val="EBBodyPara"/>
        <w:rPr>
          <w:sz w:val="24"/>
          <w:szCs w:val="24"/>
          <w:u w:val="single"/>
        </w:rPr>
      </w:pPr>
      <w:r w:rsidRPr="00E639A0">
        <w:rPr>
          <w:iCs/>
          <w:sz w:val="24"/>
          <w:szCs w:val="24"/>
          <w:u w:val="single"/>
        </w:rPr>
        <w:t xml:space="preserve">Business Benefits: </w:t>
      </w:r>
      <w:r w:rsidR="00A74F7C" w:rsidRPr="00E639A0">
        <w:rPr>
          <w:sz w:val="24"/>
          <w:szCs w:val="24"/>
          <w:u w:val="single"/>
        </w:rPr>
        <w:t>Output benefit of keeping the parent for the period of protection (pregnant and returning parents) – this will presumably be lower than the cost of employing the worker</w:t>
      </w:r>
    </w:p>
    <w:p w14:paraId="010F67BB" w14:textId="40D2FCF0" w:rsidR="00D515F6" w:rsidRPr="00E639A0" w:rsidRDefault="00B91A00" w:rsidP="00020B04">
      <w:pPr>
        <w:pStyle w:val="BodyText1"/>
        <w:rPr>
          <w:sz w:val="24"/>
          <w:szCs w:val="24"/>
        </w:rPr>
      </w:pPr>
      <w:r w:rsidRPr="00E639A0">
        <w:rPr>
          <w:sz w:val="24"/>
          <w:szCs w:val="24"/>
        </w:rPr>
        <w:t xml:space="preserve">As discussed in the non-monetised costs and benefits section, there will be some output benefit associated with </w:t>
      </w:r>
      <w:r w:rsidR="0015433F" w:rsidRPr="00E639A0">
        <w:rPr>
          <w:sz w:val="24"/>
          <w:szCs w:val="24"/>
        </w:rPr>
        <w:t xml:space="preserve">retaining pregnant women and/or employees returning from Maternity/Shared Parental/Adoption Leave, who would, in the absence of legislation be made redundant. </w:t>
      </w:r>
      <w:r w:rsidR="000B56C6" w:rsidRPr="00E639A0">
        <w:rPr>
          <w:sz w:val="24"/>
          <w:szCs w:val="24"/>
        </w:rPr>
        <w:t xml:space="preserve">However we assume that the </w:t>
      </w:r>
      <w:r w:rsidR="00D515F6" w:rsidRPr="00E639A0">
        <w:rPr>
          <w:sz w:val="24"/>
          <w:szCs w:val="24"/>
        </w:rPr>
        <w:t>benefit to the business of keeping someone employed, who would otherwise be made redundant, is less than the cost of employing them. We have not attempted to estimate this benefit</w:t>
      </w:r>
      <w:r w:rsidR="00A74F7C" w:rsidRPr="00E639A0">
        <w:rPr>
          <w:sz w:val="24"/>
          <w:szCs w:val="24"/>
        </w:rPr>
        <w:t xml:space="preserve"> as it requires a number of theoretical assumptions which go well beyond the available evidence,</w:t>
      </w:r>
      <w:r w:rsidR="00D515F6" w:rsidRPr="00E639A0">
        <w:rPr>
          <w:sz w:val="24"/>
          <w:szCs w:val="24"/>
        </w:rPr>
        <w:t xml:space="preserve"> but arguably there is output value which mean the net impacts will be negative but close to zero in marginal redundancy cases.</w:t>
      </w:r>
    </w:p>
    <w:p w14:paraId="72B767A0" w14:textId="77777777" w:rsidR="00D515F6" w:rsidRPr="00E639A0" w:rsidRDefault="00D515F6" w:rsidP="00020B04">
      <w:pPr>
        <w:pStyle w:val="BodyText1"/>
        <w:rPr>
          <w:sz w:val="24"/>
          <w:szCs w:val="24"/>
        </w:rPr>
      </w:pPr>
    </w:p>
    <w:p w14:paraId="68DCD23C" w14:textId="78FCDA5D" w:rsidR="00FE7A30" w:rsidRPr="00E639A0" w:rsidRDefault="00FE7A30">
      <w:pPr>
        <w:rPr>
          <w:rFonts w:cs="Arial"/>
          <w:b/>
          <w:bCs/>
          <w:color w:val="000000"/>
          <w:lang w:eastAsia="en-GB"/>
        </w:rPr>
      </w:pPr>
    </w:p>
    <w:p w14:paraId="0EEF5502" w14:textId="77777777" w:rsidR="00784966" w:rsidRPr="00E639A0" w:rsidRDefault="00784966" w:rsidP="00784966">
      <w:pPr>
        <w:pStyle w:val="EBBodyPara"/>
        <w:rPr>
          <w:iCs/>
          <w:sz w:val="24"/>
          <w:szCs w:val="24"/>
          <w:u w:val="single"/>
        </w:rPr>
      </w:pPr>
      <w:r w:rsidRPr="00E639A0">
        <w:rPr>
          <w:iCs/>
          <w:sz w:val="24"/>
          <w:szCs w:val="24"/>
          <w:u w:val="single"/>
        </w:rPr>
        <w:t>Individual Benefits: Wages received from employers less Statutory Redundancy Pay</w:t>
      </w:r>
    </w:p>
    <w:p w14:paraId="1804E63B" w14:textId="77777777" w:rsidR="00260CD5" w:rsidRPr="00E639A0" w:rsidRDefault="00784966" w:rsidP="00260CD5">
      <w:pPr>
        <w:pStyle w:val="EBBodyPara"/>
        <w:numPr>
          <w:ilvl w:val="0"/>
          <w:numId w:val="7"/>
        </w:numPr>
        <w:rPr>
          <w:sz w:val="24"/>
          <w:szCs w:val="24"/>
        </w:rPr>
      </w:pPr>
      <w:r w:rsidRPr="00E639A0">
        <w:rPr>
          <w:sz w:val="24"/>
          <w:szCs w:val="24"/>
        </w:rPr>
        <w:t>Extending the MAPLE protections into the return to work period means pregnant mothers will benefit from continuing to receive a salary before going on leave and during the redundancy protection period. Parents returning from Maternity Leave, Adoption Leave and Shared Parental Leave will also benefit from continuing to receive a salary during the redundancy protection period. The salary payments represent a direct transfer from businesses to individuals. We do not include a wage uplift in calculating the salary benefits, as non-wage costs are incurred by employers.</w:t>
      </w:r>
    </w:p>
    <w:p w14:paraId="08CB4607" w14:textId="77777777" w:rsidR="00260CD5" w:rsidRPr="00E639A0" w:rsidRDefault="00784966" w:rsidP="00260CD5">
      <w:pPr>
        <w:pStyle w:val="EBBodyPara"/>
        <w:numPr>
          <w:ilvl w:val="0"/>
          <w:numId w:val="7"/>
        </w:numPr>
        <w:rPr>
          <w:sz w:val="24"/>
          <w:szCs w:val="24"/>
        </w:rPr>
      </w:pPr>
      <w:r w:rsidRPr="00E639A0">
        <w:rPr>
          <w:sz w:val="24"/>
          <w:szCs w:val="24"/>
        </w:rPr>
        <w:t>The policy involves an 18-month window of redundancy protection for eligible parents, but under MAPLE parents are already protected against redundancy whilst on maternity/adoption/shared parental leave. To estimate the additional salary benefit over the remaining protection period, we estimate the duration of maternity, adoption and shared parental leave taken. We estimate the length of maternity and adoption leave taken at 9 months, based on evidence from the Parental Rights Survey (2018) on the average number of weeks of maternity leave taken. We estimate the length of SPL taken at 10 weeks, based on MWPS evidence on the average duration of SPL taken by men.</w:t>
      </w:r>
    </w:p>
    <w:p w14:paraId="65AB15B6" w14:textId="77777777" w:rsidR="00260CD5" w:rsidRPr="00E639A0" w:rsidRDefault="00784966" w:rsidP="00260CD5">
      <w:pPr>
        <w:pStyle w:val="EBBodyPara"/>
        <w:numPr>
          <w:ilvl w:val="0"/>
          <w:numId w:val="7"/>
        </w:numPr>
        <w:rPr>
          <w:sz w:val="24"/>
          <w:szCs w:val="24"/>
        </w:rPr>
      </w:pPr>
      <w:r w:rsidRPr="00E639A0">
        <w:rPr>
          <w:sz w:val="24"/>
          <w:szCs w:val="24"/>
        </w:rPr>
        <w:t>For pregnant women now protected from redundancy the salary benefits are calculated for the 20 weeks before they go on maternity leave and the nine months upon return to work. For other parents we estimate the salary benefits across the estimated period of protection. The median weekly earnings for males and females aged over 16, excluding overtime, are applied to the relevant eligible populations to estimate the total salary benefits.</w:t>
      </w:r>
    </w:p>
    <w:p w14:paraId="730AF202" w14:textId="77777777" w:rsidR="00260CD5" w:rsidRPr="00E639A0" w:rsidRDefault="00784966" w:rsidP="00260CD5">
      <w:pPr>
        <w:pStyle w:val="EBBodyPara"/>
        <w:numPr>
          <w:ilvl w:val="0"/>
          <w:numId w:val="7"/>
        </w:numPr>
        <w:rPr>
          <w:sz w:val="24"/>
          <w:szCs w:val="24"/>
        </w:rPr>
      </w:pPr>
      <w:r w:rsidRPr="00E639A0">
        <w:rPr>
          <w:sz w:val="24"/>
          <w:szCs w:val="24"/>
        </w:rPr>
        <w:t>The source of salary data used throughout the IA is the Annual Survey of Hours and Earnings (ASHE) 2021. We calculate a weighted median weekly wage for women and men, weighted by the age of mothers and fathers for live births across Great Britain in 2019/20. The earnings estimates are used to estimate the individual benefits of wages over the redundancy protection period. Wages are uplifted to adjust for non-wage costs incurred by businesses, based on Eurostat data.</w:t>
      </w:r>
    </w:p>
    <w:p w14:paraId="2C83D654" w14:textId="39E3596A" w:rsidR="00784966" w:rsidRPr="00E639A0" w:rsidRDefault="00784966" w:rsidP="00260CD5">
      <w:pPr>
        <w:pStyle w:val="EBBodyPara"/>
        <w:numPr>
          <w:ilvl w:val="0"/>
          <w:numId w:val="7"/>
        </w:numPr>
        <w:rPr>
          <w:sz w:val="24"/>
          <w:szCs w:val="24"/>
        </w:rPr>
      </w:pPr>
      <w:r w:rsidRPr="00E639A0">
        <w:rPr>
          <w:sz w:val="24"/>
          <w:szCs w:val="24"/>
        </w:rPr>
        <w:t xml:space="preserve">Since businesses no longer have to pay out Statutory Redundancy Pay to individuals in scenario 2, these benefits no longer flow to individuals. We </w:t>
      </w:r>
      <w:r w:rsidRPr="00E639A0">
        <w:rPr>
          <w:b/>
          <w:i/>
          <w:sz w:val="24"/>
          <w:szCs w:val="24"/>
        </w:rPr>
        <w:t xml:space="preserve">estimate the total benefits of wages less Statutory Redundancy Pay between £0m and £133m with a best estimate of £66m per year (for pregnant women and parents returning from maternity/adoption/shared parental leave). </w:t>
      </w:r>
      <w:r w:rsidRPr="00E639A0">
        <w:rPr>
          <w:sz w:val="24"/>
          <w:szCs w:val="24"/>
        </w:rPr>
        <w:t xml:space="preserve">The box below illustrates how we have estimated this for the central case scenario (50:50) for pregnant women and mothers. Calculations for SPL </w:t>
      </w:r>
      <w:r w:rsidR="004328AA" w:rsidRPr="00E639A0">
        <w:rPr>
          <w:sz w:val="24"/>
          <w:szCs w:val="24"/>
        </w:rPr>
        <w:t>partners</w:t>
      </w:r>
      <w:r w:rsidRPr="00E639A0">
        <w:rPr>
          <w:sz w:val="24"/>
          <w:szCs w:val="24"/>
        </w:rPr>
        <w:t xml:space="preserve"> and adoptive parents have been suppressed given the low estimates of individuals eligible, and in the interests of proportionality. </w:t>
      </w:r>
    </w:p>
    <w:p w14:paraId="58C215B4" w14:textId="77777777" w:rsidR="00784966" w:rsidRPr="00E639A0" w:rsidRDefault="00784966" w:rsidP="00784966">
      <w:pPr>
        <w:rPr>
          <w:rFonts w:cs="Arial"/>
        </w:rPr>
      </w:pPr>
      <w:r w:rsidRPr="00E639A0">
        <w:rPr>
          <w:rFonts w:cs="Arial"/>
          <w:noProof/>
        </w:rPr>
        <mc:AlternateContent>
          <mc:Choice Requires="wps">
            <w:drawing>
              <wp:anchor distT="45720" distB="45720" distL="114300" distR="114300" simplePos="0" relativeHeight="251658248" behindDoc="0" locked="0" layoutInCell="1" allowOverlap="1" wp14:anchorId="36907754" wp14:editId="12ACBA8A">
                <wp:simplePos x="0" y="0"/>
                <wp:positionH relativeFrom="margin">
                  <wp:posOffset>139065</wp:posOffset>
                </wp:positionH>
                <wp:positionV relativeFrom="paragraph">
                  <wp:posOffset>146050</wp:posOffset>
                </wp:positionV>
                <wp:extent cx="5924550" cy="4953000"/>
                <wp:effectExtent l="0" t="0" r="19050" b="19050"/>
                <wp:wrapSquare wrapText="bothSides"/>
                <wp:docPr id="128224686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24550" cy="4953000"/>
                        </a:xfrm>
                        <a:prstGeom prst="rect">
                          <a:avLst/>
                        </a:prstGeom>
                        <a:solidFill>
                          <a:srgbClr val="FFFFFF"/>
                        </a:solidFill>
                        <a:ln w="9525">
                          <a:solidFill>
                            <a:srgbClr val="000000"/>
                          </a:solidFill>
                          <a:miter lim="800000"/>
                          <a:headEnd/>
                          <a:tailEnd/>
                        </a:ln>
                      </wps:spPr>
                      <wps:txbx>
                        <w:txbxContent>
                          <w:p w14:paraId="18D8C360" w14:textId="77777777" w:rsidR="00784966" w:rsidRPr="005D010E" w:rsidRDefault="00784966" w:rsidP="00784966">
                            <w:pPr>
                              <w:rPr>
                                <w:rFonts w:cs="Arial"/>
                                <w:b/>
                                <w:bCs/>
                                <w:color w:val="000000"/>
                                <w:sz w:val="22"/>
                                <w:szCs w:val="22"/>
                                <w:lang w:eastAsia="en-GB"/>
                              </w:rPr>
                            </w:pPr>
                            <w:r w:rsidRPr="005D010E">
                              <w:rPr>
                                <w:rFonts w:cs="Arial"/>
                                <w:b/>
                                <w:bCs/>
                                <w:color w:val="000000"/>
                                <w:sz w:val="22"/>
                                <w:szCs w:val="22"/>
                                <w:lang w:eastAsia="en-GB"/>
                              </w:rPr>
                              <w:t>Payments to pregnant women</w:t>
                            </w:r>
                          </w:p>
                          <w:p w14:paraId="4ECBF598" w14:textId="77777777" w:rsidR="00784966" w:rsidRDefault="00784966" w:rsidP="00784966">
                            <w:pPr>
                              <w:rPr>
                                <w:rFonts w:cs="Arial"/>
                                <w:sz w:val="22"/>
                              </w:rPr>
                            </w:pPr>
                          </w:p>
                          <w:p w14:paraId="01999925" w14:textId="77777777" w:rsidR="00784966" w:rsidRPr="00B5455C" w:rsidRDefault="00784966" w:rsidP="00784966">
                            <w:pPr>
                              <w:rPr>
                                <w:rFonts w:cs="Arial"/>
                                <w:sz w:val="22"/>
                              </w:rPr>
                            </w:pPr>
                            <w:r w:rsidRPr="00B5455C">
                              <w:rPr>
                                <w:rFonts w:cs="Arial"/>
                                <w:sz w:val="22"/>
                              </w:rPr>
                              <w:t>Eligible population = Population size x % employees falling into scenario 2</w:t>
                            </w:r>
                          </w:p>
                          <w:p w14:paraId="7C94DA82" w14:textId="77777777" w:rsidR="00784966" w:rsidRPr="00B5455C" w:rsidRDefault="00784966" w:rsidP="00784966">
                            <w:pPr>
                              <w:rPr>
                                <w:rFonts w:cs="Arial"/>
                                <w:sz w:val="22"/>
                              </w:rPr>
                            </w:pPr>
                            <w:r w:rsidRPr="00B5455C">
                              <w:rPr>
                                <w:rFonts w:cs="Arial"/>
                                <w:sz w:val="22"/>
                              </w:rPr>
                              <w:t>= 2,500 x 50% = 1,200</w:t>
                            </w:r>
                          </w:p>
                          <w:p w14:paraId="758FA4A9" w14:textId="77777777" w:rsidR="00784966" w:rsidRPr="00B5455C" w:rsidRDefault="00784966" w:rsidP="00784966">
                            <w:pPr>
                              <w:rPr>
                                <w:rFonts w:cs="Arial"/>
                                <w:sz w:val="22"/>
                              </w:rPr>
                            </w:pPr>
                          </w:p>
                          <w:p w14:paraId="22ACE14E" w14:textId="77777777" w:rsidR="00784966" w:rsidRPr="00B5455C" w:rsidRDefault="00784966" w:rsidP="00784966">
                            <w:pPr>
                              <w:rPr>
                                <w:rFonts w:cs="Arial"/>
                                <w:sz w:val="22"/>
                              </w:rPr>
                            </w:pPr>
                            <w:r w:rsidRPr="00B5455C">
                              <w:rPr>
                                <w:rFonts w:cs="Arial"/>
                                <w:sz w:val="22"/>
                              </w:rPr>
                              <w:t xml:space="preserve">Total wages received before maternity leave (20 weeks) = Eligible population x Median Wages x 20 </w:t>
                            </w:r>
                          </w:p>
                          <w:p w14:paraId="5D4C3531" w14:textId="77777777" w:rsidR="00784966" w:rsidRPr="00B5455C" w:rsidRDefault="00784966" w:rsidP="00784966">
                            <w:pPr>
                              <w:rPr>
                                <w:rFonts w:cs="Arial"/>
                                <w:sz w:val="22"/>
                              </w:rPr>
                            </w:pPr>
                            <w:r w:rsidRPr="00B5455C">
                              <w:rPr>
                                <w:rFonts w:cs="Arial"/>
                                <w:sz w:val="22"/>
                              </w:rPr>
                              <w:t>= 1,200 x £424.21 x 20 = £10.5m</w:t>
                            </w:r>
                          </w:p>
                          <w:p w14:paraId="4FA17A0F" w14:textId="77777777" w:rsidR="00784966" w:rsidRPr="00B5455C" w:rsidRDefault="00784966" w:rsidP="00784966">
                            <w:pPr>
                              <w:rPr>
                                <w:rFonts w:cs="Arial"/>
                                <w:sz w:val="22"/>
                              </w:rPr>
                            </w:pPr>
                          </w:p>
                          <w:p w14:paraId="00D46273" w14:textId="2BAD77F6" w:rsidR="00784966" w:rsidRPr="00B5455C" w:rsidRDefault="00784966" w:rsidP="00784966">
                            <w:pPr>
                              <w:rPr>
                                <w:rFonts w:cs="Arial"/>
                                <w:sz w:val="22"/>
                              </w:rPr>
                            </w:pPr>
                            <w:r w:rsidRPr="00B5455C">
                              <w:rPr>
                                <w:rFonts w:cs="Arial"/>
                                <w:sz w:val="22"/>
                              </w:rPr>
                              <w:t xml:space="preserve">Total wages upon return to work (39 weeks) = Eligible population x Median Wages x 39 </w:t>
                            </w:r>
                          </w:p>
                          <w:p w14:paraId="6ED196D0" w14:textId="38DFF368" w:rsidR="00784966" w:rsidRDefault="00784966" w:rsidP="00784966">
                            <w:pPr>
                              <w:rPr>
                                <w:rFonts w:cs="Arial"/>
                                <w:sz w:val="22"/>
                              </w:rPr>
                            </w:pPr>
                            <w:r w:rsidRPr="00B5455C">
                              <w:rPr>
                                <w:rFonts w:cs="Arial"/>
                                <w:sz w:val="22"/>
                              </w:rPr>
                              <w:t>= 1,200 x £424.21 x 39 = £20.8m</w:t>
                            </w:r>
                          </w:p>
                          <w:p w14:paraId="79939CE0" w14:textId="77777777" w:rsidR="00784966" w:rsidRDefault="00784966" w:rsidP="00784966">
                            <w:pPr>
                              <w:rPr>
                                <w:rFonts w:cs="Arial"/>
                                <w:sz w:val="22"/>
                              </w:rPr>
                            </w:pPr>
                          </w:p>
                          <w:p w14:paraId="2EF637BC" w14:textId="7E010E63" w:rsidR="00784966" w:rsidRDefault="00784966" w:rsidP="00784966">
                            <w:pPr>
                              <w:rPr>
                                <w:rFonts w:cs="Arial"/>
                                <w:sz w:val="22"/>
                              </w:rPr>
                            </w:pPr>
                            <w:r w:rsidRPr="00E86D66">
                              <w:rPr>
                                <w:rFonts w:cs="Arial"/>
                                <w:sz w:val="22"/>
                              </w:rPr>
                              <w:t>Total payments received (less redundancy payments) = £</w:t>
                            </w:r>
                            <w:r>
                              <w:rPr>
                                <w:rFonts w:cs="Arial"/>
                                <w:sz w:val="22"/>
                              </w:rPr>
                              <w:t>10</w:t>
                            </w:r>
                            <w:r w:rsidRPr="00E86D66">
                              <w:rPr>
                                <w:rFonts w:cs="Arial"/>
                                <w:sz w:val="22"/>
                              </w:rPr>
                              <w:t>.</w:t>
                            </w:r>
                            <w:r>
                              <w:rPr>
                                <w:rFonts w:cs="Arial"/>
                                <w:sz w:val="22"/>
                              </w:rPr>
                              <w:t>5</w:t>
                            </w:r>
                            <w:r w:rsidRPr="00E86D66">
                              <w:rPr>
                                <w:rFonts w:cs="Arial"/>
                                <w:sz w:val="22"/>
                              </w:rPr>
                              <w:t>m + £</w:t>
                            </w:r>
                            <w:r>
                              <w:rPr>
                                <w:rFonts w:cs="Arial"/>
                                <w:sz w:val="22"/>
                              </w:rPr>
                              <w:t>20</w:t>
                            </w:r>
                            <w:r w:rsidRPr="00E86D66">
                              <w:rPr>
                                <w:rFonts w:cs="Arial"/>
                                <w:sz w:val="22"/>
                              </w:rPr>
                              <w:t>.</w:t>
                            </w:r>
                            <w:r w:rsidRPr="00FD3C90">
                              <w:rPr>
                                <w:rFonts w:cs="Arial"/>
                                <w:sz w:val="22"/>
                              </w:rPr>
                              <w:t xml:space="preserve">8m - </w:t>
                            </w:r>
                            <w:r w:rsidRPr="00FC3072">
                              <w:rPr>
                                <w:rFonts w:cs="Arial"/>
                                <w:sz w:val="22"/>
                              </w:rPr>
                              <w:t>£2.3m</w:t>
                            </w:r>
                            <w:r w:rsidR="001C5A25">
                              <w:rPr>
                                <w:rFonts w:cs="Arial"/>
                                <w:sz w:val="22"/>
                              </w:rPr>
                              <w:t>*</w:t>
                            </w:r>
                            <w:r w:rsidRPr="00FD3C90">
                              <w:rPr>
                                <w:rFonts w:cs="Arial"/>
                                <w:sz w:val="22"/>
                              </w:rPr>
                              <w:t xml:space="preserve"> = </w:t>
                            </w:r>
                            <w:r w:rsidRPr="00FC3072">
                              <w:rPr>
                                <w:rFonts w:cs="Arial"/>
                                <w:b/>
                                <w:bCs/>
                                <w:sz w:val="22"/>
                              </w:rPr>
                              <w:t>£29.0m</w:t>
                            </w:r>
                          </w:p>
                          <w:p w14:paraId="36C4F29A" w14:textId="77777777" w:rsidR="00784966" w:rsidRDefault="00784966" w:rsidP="00784966">
                            <w:pPr>
                              <w:rPr>
                                <w:rFonts w:cs="Arial"/>
                                <w:sz w:val="22"/>
                              </w:rPr>
                            </w:pPr>
                          </w:p>
                          <w:p w14:paraId="3C9BC67A" w14:textId="77777777" w:rsidR="00784966" w:rsidRPr="00241089" w:rsidRDefault="00784966" w:rsidP="00784966">
                            <w:pPr>
                              <w:rPr>
                                <w:rFonts w:cs="Arial"/>
                                <w:b/>
                                <w:bCs/>
                                <w:color w:val="000000"/>
                                <w:sz w:val="22"/>
                                <w:szCs w:val="22"/>
                                <w:lang w:eastAsia="en-GB"/>
                              </w:rPr>
                            </w:pPr>
                            <w:r w:rsidRPr="00241089">
                              <w:rPr>
                                <w:rFonts w:cs="Arial"/>
                                <w:b/>
                                <w:bCs/>
                                <w:color w:val="000000"/>
                                <w:sz w:val="22"/>
                                <w:szCs w:val="22"/>
                                <w:lang w:eastAsia="en-GB"/>
                              </w:rPr>
                              <w:t xml:space="preserve">Payments to returning mothers </w:t>
                            </w:r>
                          </w:p>
                          <w:p w14:paraId="3F1A0991" w14:textId="77777777" w:rsidR="00784966" w:rsidRDefault="00784966" w:rsidP="00784966">
                            <w:pPr>
                              <w:rPr>
                                <w:rFonts w:cs="Arial"/>
                                <w:sz w:val="22"/>
                              </w:rPr>
                            </w:pPr>
                          </w:p>
                          <w:p w14:paraId="64EDD1F2" w14:textId="77777777" w:rsidR="00784966" w:rsidRPr="009E0CDB" w:rsidRDefault="00784966" w:rsidP="00784966">
                            <w:pPr>
                              <w:rPr>
                                <w:rFonts w:cs="Arial"/>
                                <w:sz w:val="22"/>
                              </w:rPr>
                            </w:pPr>
                            <w:r w:rsidRPr="009E0CDB">
                              <w:rPr>
                                <w:rFonts w:cs="Arial"/>
                                <w:sz w:val="22"/>
                              </w:rPr>
                              <w:t xml:space="preserve">Eligible population = Population size x % </w:t>
                            </w:r>
                            <w:r>
                              <w:rPr>
                                <w:rFonts w:cs="Arial"/>
                                <w:sz w:val="22"/>
                              </w:rPr>
                              <w:t>employees</w:t>
                            </w:r>
                            <w:r w:rsidRPr="009E0CDB">
                              <w:rPr>
                                <w:rFonts w:cs="Arial"/>
                                <w:sz w:val="22"/>
                              </w:rPr>
                              <w:t xml:space="preserve"> falling into scenario 2</w:t>
                            </w:r>
                          </w:p>
                          <w:p w14:paraId="129C1BB1" w14:textId="77777777" w:rsidR="00784966" w:rsidRDefault="00784966" w:rsidP="00784966">
                            <w:pPr>
                              <w:rPr>
                                <w:rFonts w:cs="Arial"/>
                                <w:sz w:val="22"/>
                              </w:rPr>
                            </w:pPr>
                            <w:r>
                              <w:rPr>
                                <w:rFonts w:cs="Arial"/>
                                <w:sz w:val="22"/>
                              </w:rPr>
                              <w:t>= 5,000 x 50% = 2,500</w:t>
                            </w:r>
                          </w:p>
                          <w:p w14:paraId="09DF0290" w14:textId="77777777" w:rsidR="00784966" w:rsidRPr="009E0CDB" w:rsidRDefault="00784966" w:rsidP="00784966">
                            <w:pPr>
                              <w:rPr>
                                <w:rFonts w:cs="Arial"/>
                                <w:sz w:val="22"/>
                              </w:rPr>
                            </w:pPr>
                          </w:p>
                          <w:p w14:paraId="4B71F6B3" w14:textId="513B089E" w:rsidR="00784966" w:rsidRDefault="00784966" w:rsidP="00784966">
                            <w:pPr>
                              <w:rPr>
                                <w:rFonts w:cs="Arial"/>
                                <w:sz w:val="22"/>
                              </w:rPr>
                            </w:pPr>
                            <w:r>
                              <w:rPr>
                                <w:rFonts w:cs="Arial"/>
                                <w:sz w:val="22"/>
                              </w:rPr>
                              <w:t>Total wages upon return to work (39 weeks) = Eligible population x Median Wages</w:t>
                            </w:r>
                            <w:r w:rsidR="005709AA">
                              <w:rPr>
                                <w:rFonts w:cs="Arial"/>
                                <w:sz w:val="22"/>
                              </w:rPr>
                              <w:t xml:space="preserve"> (including</w:t>
                            </w:r>
                            <w:r w:rsidR="007E63A9">
                              <w:rPr>
                                <w:rFonts w:cs="Arial"/>
                                <w:sz w:val="22"/>
                              </w:rPr>
                              <w:t xml:space="preserve"> 9 month</w:t>
                            </w:r>
                            <w:r w:rsidR="005709AA">
                              <w:rPr>
                                <w:rFonts w:cs="Arial"/>
                                <w:sz w:val="22"/>
                              </w:rPr>
                              <w:t xml:space="preserve"> uplift</w:t>
                            </w:r>
                            <w:r w:rsidR="00B87A7B">
                              <w:rPr>
                                <w:rFonts w:cs="Arial"/>
                                <w:sz w:val="22"/>
                              </w:rPr>
                              <w:t>*</w:t>
                            </w:r>
                            <w:r w:rsidR="007E63A9">
                              <w:rPr>
                                <w:rFonts w:cs="Arial"/>
                                <w:sz w:val="22"/>
                              </w:rPr>
                              <w:t>)</w:t>
                            </w:r>
                            <w:r>
                              <w:rPr>
                                <w:rFonts w:cs="Arial"/>
                                <w:sz w:val="22"/>
                              </w:rPr>
                              <w:t xml:space="preserve"> x 39</w:t>
                            </w:r>
                          </w:p>
                          <w:p w14:paraId="6E120731" w14:textId="04FD179B" w:rsidR="00784966" w:rsidRDefault="00784966" w:rsidP="00784966">
                            <w:pPr>
                              <w:rPr>
                                <w:rFonts w:cs="Arial"/>
                                <w:sz w:val="22"/>
                              </w:rPr>
                            </w:pPr>
                            <w:r>
                              <w:rPr>
                                <w:rFonts w:cs="Arial"/>
                                <w:sz w:val="22"/>
                              </w:rPr>
                              <w:t xml:space="preserve">= </w:t>
                            </w:r>
                            <w:r w:rsidRPr="002C1C4F">
                              <w:rPr>
                                <w:rFonts w:cs="Arial"/>
                                <w:sz w:val="22"/>
                              </w:rPr>
                              <w:t xml:space="preserve">2,500 x </w:t>
                            </w:r>
                            <w:r w:rsidRPr="00FC3072">
                              <w:rPr>
                                <w:rFonts w:cs="Arial"/>
                                <w:sz w:val="22"/>
                              </w:rPr>
                              <w:t>£43</w:t>
                            </w:r>
                            <w:r w:rsidR="00B87A7B">
                              <w:rPr>
                                <w:rFonts w:cs="Arial"/>
                                <w:sz w:val="22"/>
                              </w:rPr>
                              <w:t>4</w:t>
                            </w:r>
                            <w:r w:rsidRPr="00FC3072">
                              <w:rPr>
                                <w:rFonts w:cs="Arial"/>
                                <w:sz w:val="22"/>
                              </w:rPr>
                              <w:t>.</w:t>
                            </w:r>
                            <w:r w:rsidR="00B87A7B">
                              <w:rPr>
                                <w:rFonts w:cs="Arial"/>
                                <w:sz w:val="22"/>
                              </w:rPr>
                              <w:t>59</w:t>
                            </w:r>
                            <w:r w:rsidRPr="002C1C4F">
                              <w:rPr>
                                <w:rFonts w:cs="Arial"/>
                                <w:sz w:val="22"/>
                              </w:rPr>
                              <w:t xml:space="preserve"> x 39 </w:t>
                            </w:r>
                            <w:r w:rsidRPr="00FC3072">
                              <w:rPr>
                                <w:rFonts w:cs="Arial"/>
                                <w:sz w:val="22"/>
                              </w:rPr>
                              <w:t>= £41.6m</w:t>
                            </w:r>
                          </w:p>
                          <w:p w14:paraId="44AADEA8" w14:textId="77777777" w:rsidR="00784966" w:rsidRDefault="00784966" w:rsidP="00784966">
                            <w:pPr>
                              <w:rPr>
                                <w:rFonts w:cs="Arial"/>
                                <w:sz w:val="22"/>
                              </w:rPr>
                            </w:pPr>
                          </w:p>
                          <w:p w14:paraId="6A2CB69C" w14:textId="357A4659" w:rsidR="00784966" w:rsidRDefault="00784966" w:rsidP="00784966">
                            <w:pPr>
                              <w:rPr>
                                <w:rFonts w:cs="Arial"/>
                                <w:sz w:val="22"/>
                              </w:rPr>
                            </w:pPr>
                            <w:r>
                              <w:rPr>
                                <w:rFonts w:cs="Arial"/>
                                <w:sz w:val="22"/>
                              </w:rPr>
                              <w:t xml:space="preserve">Total payments received (less redundancy payments) = £41.6m - </w:t>
                            </w:r>
                            <w:r w:rsidRPr="00FC3072">
                              <w:rPr>
                                <w:rFonts w:cs="Arial"/>
                                <w:sz w:val="22"/>
                              </w:rPr>
                              <w:t>£4.6m</w:t>
                            </w:r>
                            <w:r w:rsidR="001C5A25">
                              <w:rPr>
                                <w:rFonts w:cs="Arial"/>
                                <w:sz w:val="22"/>
                              </w:rPr>
                              <w:t>*</w:t>
                            </w:r>
                            <w:r w:rsidR="00B87A7B">
                              <w:rPr>
                                <w:rFonts w:cs="Arial"/>
                                <w:sz w:val="22"/>
                              </w:rPr>
                              <w:t>*</w:t>
                            </w:r>
                            <w:r>
                              <w:rPr>
                                <w:rFonts w:cs="Arial"/>
                                <w:sz w:val="22"/>
                              </w:rPr>
                              <w:t xml:space="preserve"> =</w:t>
                            </w:r>
                            <w:r w:rsidRPr="00FC3072">
                              <w:rPr>
                                <w:rFonts w:cs="Arial"/>
                                <w:b/>
                                <w:bCs/>
                                <w:sz w:val="22"/>
                              </w:rPr>
                              <w:t xml:space="preserve"> £37.1m</w:t>
                            </w:r>
                          </w:p>
                          <w:p w14:paraId="506667DF" w14:textId="77777777" w:rsidR="00784966" w:rsidRDefault="00784966" w:rsidP="00784966">
                            <w:pPr>
                              <w:rPr>
                                <w:rFonts w:cs="Arial"/>
                                <w:sz w:val="22"/>
                              </w:rPr>
                            </w:pPr>
                          </w:p>
                          <w:p w14:paraId="03ABB0C1" w14:textId="77777777" w:rsidR="00784966" w:rsidRPr="00FA7932" w:rsidRDefault="00784966" w:rsidP="00784966">
                            <w:pPr>
                              <w:rPr>
                                <w:rFonts w:cs="Arial"/>
                                <w:i/>
                                <w:iCs/>
                                <w:sz w:val="20"/>
                                <w:szCs w:val="20"/>
                              </w:rPr>
                            </w:pPr>
                            <w:r w:rsidRPr="00FA7932">
                              <w:rPr>
                                <w:rFonts w:cs="Arial"/>
                                <w:i/>
                                <w:iCs/>
                                <w:sz w:val="20"/>
                                <w:szCs w:val="20"/>
                              </w:rPr>
                              <w:t>Population figures rounded to nearest 100 and payments rounded to nearest £0.1m</w:t>
                            </w:r>
                          </w:p>
                          <w:p w14:paraId="360B3B54" w14:textId="0225FB04" w:rsidR="00B87A7B" w:rsidRPr="00CE4840" w:rsidRDefault="00CE4840" w:rsidP="00CE4840">
                            <w:pPr>
                              <w:rPr>
                                <w:rFonts w:cs="Arial"/>
                                <w:i/>
                                <w:iCs/>
                                <w:sz w:val="20"/>
                                <w:szCs w:val="20"/>
                              </w:rPr>
                            </w:pPr>
                            <w:r>
                              <w:rPr>
                                <w:rFonts w:cs="Arial"/>
                                <w:i/>
                                <w:iCs/>
                                <w:sz w:val="20"/>
                                <w:szCs w:val="20"/>
                              </w:rPr>
                              <w:t>*</w:t>
                            </w:r>
                            <w:r w:rsidRPr="00CE4840">
                              <w:rPr>
                                <w:rFonts w:cs="Arial"/>
                                <w:i/>
                                <w:iCs/>
                                <w:sz w:val="20"/>
                                <w:szCs w:val="20"/>
                              </w:rPr>
                              <w:t>9 mo</w:t>
                            </w:r>
                            <w:r>
                              <w:rPr>
                                <w:rFonts w:cs="Arial"/>
                                <w:i/>
                                <w:iCs/>
                                <w:sz w:val="20"/>
                                <w:szCs w:val="20"/>
                              </w:rPr>
                              <w:t>nth wage uplift</w:t>
                            </w:r>
                            <w:r w:rsidR="008247DC">
                              <w:rPr>
                                <w:rFonts w:cs="Arial"/>
                                <w:i/>
                                <w:iCs/>
                                <w:sz w:val="20"/>
                                <w:szCs w:val="20"/>
                              </w:rPr>
                              <w:t xml:space="preserve"> for females</w:t>
                            </w:r>
                            <w:r>
                              <w:rPr>
                                <w:rFonts w:cs="Arial"/>
                                <w:i/>
                                <w:iCs/>
                                <w:sz w:val="20"/>
                                <w:szCs w:val="20"/>
                              </w:rPr>
                              <w:t xml:space="preserve"> calculated as</w:t>
                            </w:r>
                            <w:r w:rsidR="004F3A21">
                              <w:rPr>
                                <w:rFonts w:cs="Arial"/>
                                <w:i/>
                                <w:iCs/>
                                <w:sz w:val="20"/>
                                <w:szCs w:val="20"/>
                              </w:rPr>
                              <w:t xml:space="preserve"> 102.4%</w:t>
                            </w:r>
                          </w:p>
                          <w:p w14:paraId="6CA88E50" w14:textId="60C66485" w:rsidR="00784966" w:rsidRPr="000A1607" w:rsidRDefault="00C47D7C" w:rsidP="00784966">
                            <w:pPr>
                              <w:rPr>
                                <w:rFonts w:cs="Arial"/>
                                <w:i/>
                                <w:iCs/>
                                <w:sz w:val="20"/>
                                <w:szCs w:val="20"/>
                              </w:rPr>
                            </w:pPr>
                            <w:r w:rsidRPr="000A1607">
                              <w:rPr>
                                <w:rFonts w:cs="Arial"/>
                                <w:i/>
                                <w:iCs/>
                                <w:sz w:val="20"/>
                                <w:szCs w:val="20"/>
                              </w:rPr>
                              <w:t>*</w:t>
                            </w:r>
                            <w:r w:rsidR="00B87A7B">
                              <w:rPr>
                                <w:rFonts w:cs="Arial"/>
                                <w:i/>
                                <w:iCs/>
                                <w:sz w:val="20"/>
                                <w:szCs w:val="20"/>
                              </w:rPr>
                              <w:t>*</w:t>
                            </w:r>
                            <w:r w:rsidR="00772570" w:rsidRPr="000A1607">
                              <w:rPr>
                                <w:rFonts w:cs="Arial"/>
                                <w:i/>
                                <w:iCs/>
                                <w:sz w:val="20"/>
                                <w:szCs w:val="20"/>
                              </w:rPr>
                              <w:t xml:space="preserve">Redundancy payment calculations from table </w:t>
                            </w:r>
                            <w:r w:rsidR="00566616" w:rsidRPr="000A1607">
                              <w:rPr>
                                <w:rFonts w:cs="Arial"/>
                                <w:i/>
                                <w:iCs/>
                                <w:sz w:val="20"/>
                                <w:szCs w:val="20"/>
                              </w:rPr>
                              <w:t>12</w:t>
                            </w:r>
                            <w:r w:rsidR="00772570" w:rsidRPr="000A1607">
                              <w:rPr>
                                <w:rFonts w:cs="Arial"/>
                                <w:i/>
                                <w:iCs/>
                                <w:sz w:val="20"/>
                                <w:szCs w:val="20"/>
                              </w:rPr>
                              <w:t xml:space="preserve"> and </w:t>
                            </w:r>
                            <w:r w:rsidR="00566616" w:rsidRPr="000A1607">
                              <w:rPr>
                                <w:rFonts w:cs="Arial"/>
                                <w:i/>
                                <w:iCs/>
                                <w:sz w:val="20"/>
                                <w:szCs w:val="20"/>
                              </w:rPr>
                              <w:t>13</w:t>
                            </w:r>
                          </w:p>
                          <w:p w14:paraId="196887BB" w14:textId="77777777" w:rsidR="00784966" w:rsidRDefault="00784966" w:rsidP="00784966">
                            <w:pPr>
                              <w:rPr>
                                <w:rFonts w:cs="Arial"/>
                                <w:sz w:val="22"/>
                                <w:u w:val="single"/>
                              </w:rPr>
                            </w:pPr>
                          </w:p>
                          <w:p w14:paraId="5A2BBD5D" w14:textId="77777777" w:rsidR="00784966" w:rsidRPr="00C01672" w:rsidRDefault="00784966" w:rsidP="00784966">
                            <w:pPr>
                              <w:rPr>
                                <w:rFonts w:cs="Arial"/>
                                <w:b/>
                                <w:sz w:val="22"/>
                                <w:u w:val="single"/>
                              </w:rPr>
                            </w:pPr>
                          </w:p>
                          <w:p w14:paraId="5B0C8DF9" w14:textId="77777777" w:rsidR="00784966" w:rsidRDefault="00784966" w:rsidP="00784966">
                            <w:pPr>
                              <w:rPr>
                                <w:b/>
                                <w:sz w:val="22"/>
                                <w:u w:val="single"/>
                              </w:rPr>
                            </w:pPr>
                          </w:p>
                          <w:p w14:paraId="0BAF6699" w14:textId="77777777" w:rsidR="00784966" w:rsidRDefault="00784966" w:rsidP="00784966">
                            <w:pPr>
                              <w:rPr>
                                <w:b/>
                                <w:sz w:val="22"/>
                                <w:u w:val="single"/>
                              </w:rPr>
                            </w:pPr>
                          </w:p>
                          <w:p w14:paraId="62FFA697" w14:textId="77777777" w:rsidR="00784966" w:rsidRDefault="00784966" w:rsidP="00784966">
                            <w:pPr>
                              <w:rPr>
                                <w:b/>
                                <w:sz w:val="22"/>
                                <w:u w:val="single"/>
                              </w:rPr>
                            </w:pPr>
                          </w:p>
                          <w:p w14:paraId="04A6D2BD" w14:textId="77777777" w:rsidR="00784966" w:rsidRPr="009E0CDB" w:rsidRDefault="00784966" w:rsidP="00784966">
                            <w:pPr>
                              <w:rPr>
                                <w:b/>
                                <w:sz w:val="22"/>
                                <w:u w:val="singl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6907754" id="_x0000_s1053" type="#_x0000_t202" style="position:absolute;margin-left:10.95pt;margin-top:11.5pt;width:466.5pt;height:390pt;z-index:251658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4hTGAIAACgEAAAOAAAAZHJzL2Uyb0RvYy54bWysU9uO0zAQfUfiHyy/06ShgW1Ud7V0KUJa&#10;LtLCBziO01g4HmO7TZav37HTbcsiXhB5sDyZ8ZkzZ2ZW12OvyUE6r8AwOp/llEgjoFFmx+j3b9tX&#10;V5T4wE3DNRjJ6IP09Hr98sVqsJUsoAPdSEcQxPhqsIx2Idgqy7zoZM/9DKw06GzB9Tyg6XZZ4/iA&#10;6L3Oijx/kw3gGutASO/x7+3kpOuE37ZShC9t62UgmlHkFtLp0lnHM1uveLVz3HZKHGnwf2DRc2Uw&#10;6QnqlgdO9k79AdUr4cBDG2YC+gzaVgmZasBq5vmzau47bmWqBcXx9iST/3+w4vPh3n51JIzvYMQG&#10;piK8vQPxwxMDm46bnbxxDoZO8gYTz6Nk2WB9dXwapfaVjyD18AkabDLfB0hAY+v6qArWSRAdG/Bw&#10;El2OgQj8WS6LRVmiS6BvsSxf53lqS8arp+fW+fBBQk/ihVGHXU3w/HDnQ6TDq6eQmM2DVs1WaZ0M&#10;t6s32pEDxwnYpi9V8CxMGzIwuiyLclLgrxDI7kzwt0y9CjjKWvWMXp2CeBV1e2+aNGiBKz3dkbI2&#10;RyGjdpOKYaxHohpGiyKSjMLW0DygtA6m0cVVw0sH7hclA44to/7nnjtJif5osD3L+WIR5zwZi/Jt&#10;gYa79NSXHm4EQjEaKJmum5B2Iwpn4Abb2Kok8JnJkTOOY9L9uDpx3i/tFHVe8PUjAAAA//8DAFBL&#10;AwQUAAYACAAAACEAWuvIpN0AAAAJAQAADwAAAGRycy9kb3ducmV2LnhtbExPy07DMBC8I/EP1iJx&#10;QdTpg9KEOBVCAsEN2gqubrxNIux1sN00/D3LCU6reWh2plyPzooBQ+w8KZhOMhBItTcdNQp228fr&#10;FYiYNBltPaGCb4ywrs7PSl0Yf6I3HDapERxCsdAK2pT6QspYt+h0nPgeibWDD04nhqGRJugThzsr&#10;Z1m2lE53xB9a3eNDi/Xn5ugUrBbPw0d8mb++18uDzdPV7fD0FZS6vBjv70AkHNOfGX7rc3WouNPe&#10;H8lEYRXMpjk7+c55Euv5zYKJPYdnzMiqlP8XVD8AAAD//wMAUEsBAi0AFAAGAAgAAAAhALaDOJL+&#10;AAAA4QEAABMAAAAAAAAAAAAAAAAAAAAAAFtDb250ZW50X1R5cGVzXS54bWxQSwECLQAUAAYACAAA&#10;ACEAOP0h/9YAAACUAQAACwAAAAAAAAAAAAAAAAAvAQAAX3JlbHMvLnJlbHNQSwECLQAUAAYACAAA&#10;ACEA7VuIUxgCAAAoBAAADgAAAAAAAAAAAAAAAAAuAgAAZHJzL2Uyb0RvYy54bWxQSwECLQAUAAYA&#10;CAAAACEAWuvIpN0AAAAJAQAADwAAAAAAAAAAAAAAAAByBAAAZHJzL2Rvd25yZXYueG1sUEsFBgAA&#10;AAAEAAQA8wAAAHwFAAAAAA==&#10;">
                <v:textbox>
                  <w:txbxContent>
                    <w:p w14:paraId="18D8C360" w14:textId="77777777" w:rsidR="00784966" w:rsidRPr="005D010E" w:rsidRDefault="00784966" w:rsidP="00784966">
                      <w:pPr>
                        <w:rPr>
                          <w:rFonts w:cs="Arial"/>
                          <w:b/>
                          <w:bCs/>
                          <w:color w:val="000000"/>
                          <w:sz w:val="22"/>
                          <w:szCs w:val="22"/>
                          <w:lang w:eastAsia="en-GB"/>
                        </w:rPr>
                      </w:pPr>
                      <w:r w:rsidRPr="005D010E">
                        <w:rPr>
                          <w:rFonts w:cs="Arial"/>
                          <w:b/>
                          <w:bCs/>
                          <w:color w:val="000000"/>
                          <w:sz w:val="22"/>
                          <w:szCs w:val="22"/>
                          <w:lang w:eastAsia="en-GB"/>
                        </w:rPr>
                        <w:t>Payments to pregnant women</w:t>
                      </w:r>
                    </w:p>
                    <w:p w14:paraId="4ECBF598" w14:textId="77777777" w:rsidR="00784966" w:rsidRDefault="00784966" w:rsidP="00784966">
                      <w:pPr>
                        <w:rPr>
                          <w:rFonts w:cs="Arial"/>
                          <w:sz w:val="22"/>
                        </w:rPr>
                      </w:pPr>
                    </w:p>
                    <w:p w14:paraId="01999925" w14:textId="77777777" w:rsidR="00784966" w:rsidRPr="00B5455C" w:rsidRDefault="00784966" w:rsidP="00784966">
                      <w:pPr>
                        <w:rPr>
                          <w:rFonts w:cs="Arial"/>
                          <w:sz w:val="22"/>
                        </w:rPr>
                      </w:pPr>
                      <w:r w:rsidRPr="00B5455C">
                        <w:rPr>
                          <w:rFonts w:cs="Arial"/>
                          <w:sz w:val="22"/>
                        </w:rPr>
                        <w:t>Eligible population = Population size x % employees falling into scenario 2</w:t>
                      </w:r>
                    </w:p>
                    <w:p w14:paraId="7C94DA82" w14:textId="77777777" w:rsidR="00784966" w:rsidRPr="00B5455C" w:rsidRDefault="00784966" w:rsidP="00784966">
                      <w:pPr>
                        <w:rPr>
                          <w:rFonts w:cs="Arial"/>
                          <w:sz w:val="22"/>
                        </w:rPr>
                      </w:pPr>
                      <w:r w:rsidRPr="00B5455C">
                        <w:rPr>
                          <w:rFonts w:cs="Arial"/>
                          <w:sz w:val="22"/>
                        </w:rPr>
                        <w:t>= 2,500 x 50% = 1,200</w:t>
                      </w:r>
                    </w:p>
                    <w:p w14:paraId="758FA4A9" w14:textId="77777777" w:rsidR="00784966" w:rsidRPr="00B5455C" w:rsidRDefault="00784966" w:rsidP="00784966">
                      <w:pPr>
                        <w:rPr>
                          <w:rFonts w:cs="Arial"/>
                          <w:sz w:val="22"/>
                        </w:rPr>
                      </w:pPr>
                    </w:p>
                    <w:p w14:paraId="22ACE14E" w14:textId="77777777" w:rsidR="00784966" w:rsidRPr="00B5455C" w:rsidRDefault="00784966" w:rsidP="00784966">
                      <w:pPr>
                        <w:rPr>
                          <w:rFonts w:cs="Arial"/>
                          <w:sz w:val="22"/>
                        </w:rPr>
                      </w:pPr>
                      <w:r w:rsidRPr="00B5455C">
                        <w:rPr>
                          <w:rFonts w:cs="Arial"/>
                          <w:sz w:val="22"/>
                        </w:rPr>
                        <w:t xml:space="preserve">Total wages received before maternity leave (20 weeks) = Eligible population x Median Wages x 20 </w:t>
                      </w:r>
                    </w:p>
                    <w:p w14:paraId="5D4C3531" w14:textId="77777777" w:rsidR="00784966" w:rsidRPr="00B5455C" w:rsidRDefault="00784966" w:rsidP="00784966">
                      <w:pPr>
                        <w:rPr>
                          <w:rFonts w:cs="Arial"/>
                          <w:sz w:val="22"/>
                        </w:rPr>
                      </w:pPr>
                      <w:r w:rsidRPr="00B5455C">
                        <w:rPr>
                          <w:rFonts w:cs="Arial"/>
                          <w:sz w:val="22"/>
                        </w:rPr>
                        <w:t>= 1,200 x £424.21 x 20 = £10.5m</w:t>
                      </w:r>
                    </w:p>
                    <w:p w14:paraId="4FA17A0F" w14:textId="77777777" w:rsidR="00784966" w:rsidRPr="00B5455C" w:rsidRDefault="00784966" w:rsidP="00784966">
                      <w:pPr>
                        <w:rPr>
                          <w:rFonts w:cs="Arial"/>
                          <w:sz w:val="22"/>
                        </w:rPr>
                      </w:pPr>
                    </w:p>
                    <w:p w14:paraId="00D46273" w14:textId="2BAD77F6" w:rsidR="00784966" w:rsidRPr="00B5455C" w:rsidRDefault="00784966" w:rsidP="00784966">
                      <w:pPr>
                        <w:rPr>
                          <w:rFonts w:cs="Arial"/>
                          <w:sz w:val="22"/>
                        </w:rPr>
                      </w:pPr>
                      <w:r w:rsidRPr="00B5455C">
                        <w:rPr>
                          <w:rFonts w:cs="Arial"/>
                          <w:sz w:val="22"/>
                        </w:rPr>
                        <w:t xml:space="preserve">Total wages upon return to work (39 weeks) = Eligible population x Median Wages x 39 </w:t>
                      </w:r>
                    </w:p>
                    <w:p w14:paraId="6ED196D0" w14:textId="38DFF368" w:rsidR="00784966" w:rsidRDefault="00784966" w:rsidP="00784966">
                      <w:pPr>
                        <w:rPr>
                          <w:rFonts w:cs="Arial"/>
                          <w:sz w:val="22"/>
                        </w:rPr>
                      </w:pPr>
                      <w:r w:rsidRPr="00B5455C">
                        <w:rPr>
                          <w:rFonts w:cs="Arial"/>
                          <w:sz w:val="22"/>
                        </w:rPr>
                        <w:t>= 1,200 x £424.21 x 39 = £20.8m</w:t>
                      </w:r>
                    </w:p>
                    <w:p w14:paraId="79939CE0" w14:textId="77777777" w:rsidR="00784966" w:rsidRDefault="00784966" w:rsidP="00784966">
                      <w:pPr>
                        <w:rPr>
                          <w:rFonts w:cs="Arial"/>
                          <w:sz w:val="22"/>
                        </w:rPr>
                      </w:pPr>
                    </w:p>
                    <w:p w14:paraId="2EF637BC" w14:textId="7E010E63" w:rsidR="00784966" w:rsidRDefault="00784966" w:rsidP="00784966">
                      <w:pPr>
                        <w:rPr>
                          <w:rFonts w:cs="Arial"/>
                          <w:sz w:val="22"/>
                        </w:rPr>
                      </w:pPr>
                      <w:r w:rsidRPr="00E86D66">
                        <w:rPr>
                          <w:rFonts w:cs="Arial"/>
                          <w:sz w:val="22"/>
                        </w:rPr>
                        <w:t>Total payments received (less redundancy payments) = £</w:t>
                      </w:r>
                      <w:r>
                        <w:rPr>
                          <w:rFonts w:cs="Arial"/>
                          <w:sz w:val="22"/>
                        </w:rPr>
                        <w:t>10</w:t>
                      </w:r>
                      <w:r w:rsidRPr="00E86D66">
                        <w:rPr>
                          <w:rFonts w:cs="Arial"/>
                          <w:sz w:val="22"/>
                        </w:rPr>
                        <w:t>.</w:t>
                      </w:r>
                      <w:r>
                        <w:rPr>
                          <w:rFonts w:cs="Arial"/>
                          <w:sz w:val="22"/>
                        </w:rPr>
                        <w:t>5</w:t>
                      </w:r>
                      <w:r w:rsidRPr="00E86D66">
                        <w:rPr>
                          <w:rFonts w:cs="Arial"/>
                          <w:sz w:val="22"/>
                        </w:rPr>
                        <w:t>m + £</w:t>
                      </w:r>
                      <w:r>
                        <w:rPr>
                          <w:rFonts w:cs="Arial"/>
                          <w:sz w:val="22"/>
                        </w:rPr>
                        <w:t>20</w:t>
                      </w:r>
                      <w:r w:rsidRPr="00E86D66">
                        <w:rPr>
                          <w:rFonts w:cs="Arial"/>
                          <w:sz w:val="22"/>
                        </w:rPr>
                        <w:t>.</w:t>
                      </w:r>
                      <w:r w:rsidRPr="00FD3C90">
                        <w:rPr>
                          <w:rFonts w:cs="Arial"/>
                          <w:sz w:val="22"/>
                        </w:rPr>
                        <w:t xml:space="preserve">8m - </w:t>
                      </w:r>
                      <w:r w:rsidRPr="00FC3072">
                        <w:rPr>
                          <w:rFonts w:cs="Arial"/>
                          <w:sz w:val="22"/>
                        </w:rPr>
                        <w:t>£2.3m</w:t>
                      </w:r>
                      <w:r w:rsidR="001C5A25">
                        <w:rPr>
                          <w:rFonts w:cs="Arial"/>
                          <w:sz w:val="22"/>
                        </w:rPr>
                        <w:t>*</w:t>
                      </w:r>
                      <w:r w:rsidRPr="00FD3C90">
                        <w:rPr>
                          <w:rFonts w:cs="Arial"/>
                          <w:sz w:val="22"/>
                        </w:rPr>
                        <w:t xml:space="preserve"> = </w:t>
                      </w:r>
                      <w:r w:rsidRPr="00FC3072">
                        <w:rPr>
                          <w:rFonts w:cs="Arial"/>
                          <w:b/>
                          <w:bCs/>
                          <w:sz w:val="22"/>
                        </w:rPr>
                        <w:t>£29.0m</w:t>
                      </w:r>
                    </w:p>
                    <w:p w14:paraId="36C4F29A" w14:textId="77777777" w:rsidR="00784966" w:rsidRDefault="00784966" w:rsidP="00784966">
                      <w:pPr>
                        <w:rPr>
                          <w:rFonts w:cs="Arial"/>
                          <w:sz w:val="22"/>
                        </w:rPr>
                      </w:pPr>
                    </w:p>
                    <w:p w14:paraId="3C9BC67A" w14:textId="77777777" w:rsidR="00784966" w:rsidRPr="00241089" w:rsidRDefault="00784966" w:rsidP="00784966">
                      <w:pPr>
                        <w:rPr>
                          <w:rFonts w:cs="Arial"/>
                          <w:b/>
                          <w:bCs/>
                          <w:color w:val="000000"/>
                          <w:sz w:val="22"/>
                          <w:szCs w:val="22"/>
                          <w:lang w:eastAsia="en-GB"/>
                        </w:rPr>
                      </w:pPr>
                      <w:r w:rsidRPr="00241089">
                        <w:rPr>
                          <w:rFonts w:cs="Arial"/>
                          <w:b/>
                          <w:bCs/>
                          <w:color w:val="000000"/>
                          <w:sz w:val="22"/>
                          <w:szCs w:val="22"/>
                          <w:lang w:eastAsia="en-GB"/>
                        </w:rPr>
                        <w:t xml:space="preserve">Payments to returning mothers </w:t>
                      </w:r>
                    </w:p>
                    <w:p w14:paraId="3F1A0991" w14:textId="77777777" w:rsidR="00784966" w:rsidRDefault="00784966" w:rsidP="00784966">
                      <w:pPr>
                        <w:rPr>
                          <w:rFonts w:cs="Arial"/>
                          <w:sz w:val="22"/>
                        </w:rPr>
                      </w:pPr>
                    </w:p>
                    <w:p w14:paraId="64EDD1F2" w14:textId="77777777" w:rsidR="00784966" w:rsidRPr="009E0CDB" w:rsidRDefault="00784966" w:rsidP="00784966">
                      <w:pPr>
                        <w:rPr>
                          <w:rFonts w:cs="Arial"/>
                          <w:sz w:val="22"/>
                        </w:rPr>
                      </w:pPr>
                      <w:r w:rsidRPr="009E0CDB">
                        <w:rPr>
                          <w:rFonts w:cs="Arial"/>
                          <w:sz w:val="22"/>
                        </w:rPr>
                        <w:t xml:space="preserve">Eligible population = Population size x % </w:t>
                      </w:r>
                      <w:r>
                        <w:rPr>
                          <w:rFonts w:cs="Arial"/>
                          <w:sz w:val="22"/>
                        </w:rPr>
                        <w:t>employees</w:t>
                      </w:r>
                      <w:r w:rsidRPr="009E0CDB">
                        <w:rPr>
                          <w:rFonts w:cs="Arial"/>
                          <w:sz w:val="22"/>
                        </w:rPr>
                        <w:t xml:space="preserve"> falling into scenario 2</w:t>
                      </w:r>
                    </w:p>
                    <w:p w14:paraId="129C1BB1" w14:textId="77777777" w:rsidR="00784966" w:rsidRDefault="00784966" w:rsidP="00784966">
                      <w:pPr>
                        <w:rPr>
                          <w:rFonts w:cs="Arial"/>
                          <w:sz w:val="22"/>
                        </w:rPr>
                      </w:pPr>
                      <w:r>
                        <w:rPr>
                          <w:rFonts w:cs="Arial"/>
                          <w:sz w:val="22"/>
                        </w:rPr>
                        <w:t>= 5,000 x 50% = 2,500</w:t>
                      </w:r>
                    </w:p>
                    <w:p w14:paraId="09DF0290" w14:textId="77777777" w:rsidR="00784966" w:rsidRPr="009E0CDB" w:rsidRDefault="00784966" w:rsidP="00784966">
                      <w:pPr>
                        <w:rPr>
                          <w:rFonts w:cs="Arial"/>
                          <w:sz w:val="22"/>
                        </w:rPr>
                      </w:pPr>
                    </w:p>
                    <w:p w14:paraId="4B71F6B3" w14:textId="513B089E" w:rsidR="00784966" w:rsidRDefault="00784966" w:rsidP="00784966">
                      <w:pPr>
                        <w:rPr>
                          <w:rFonts w:cs="Arial"/>
                          <w:sz w:val="22"/>
                        </w:rPr>
                      </w:pPr>
                      <w:r>
                        <w:rPr>
                          <w:rFonts w:cs="Arial"/>
                          <w:sz w:val="22"/>
                        </w:rPr>
                        <w:t>Total wages upon return to work (39 weeks) = Eligible population x Median Wages</w:t>
                      </w:r>
                      <w:r w:rsidR="005709AA">
                        <w:rPr>
                          <w:rFonts w:cs="Arial"/>
                          <w:sz w:val="22"/>
                        </w:rPr>
                        <w:t xml:space="preserve"> (including</w:t>
                      </w:r>
                      <w:r w:rsidR="007E63A9">
                        <w:rPr>
                          <w:rFonts w:cs="Arial"/>
                          <w:sz w:val="22"/>
                        </w:rPr>
                        <w:t xml:space="preserve"> 9 month</w:t>
                      </w:r>
                      <w:r w:rsidR="005709AA">
                        <w:rPr>
                          <w:rFonts w:cs="Arial"/>
                          <w:sz w:val="22"/>
                        </w:rPr>
                        <w:t xml:space="preserve"> uplift</w:t>
                      </w:r>
                      <w:r w:rsidR="00B87A7B">
                        <w:rPr>
                          <w:rFonts w:cs="Arial"/>
                          <w:sz w:val="22"/>
                        </w:rPr>
                        <w:t>*</w:t>
                      </w:r>
                      <w:r w:rsidR="007E63A9">
                        <w:rPr>
                          <w:rFonts w:cs="Arial"/>
                          <w:sz w:val="22"/>
                        </w:rPr>
                        <w:t>)</w:t>
                      </w:r>
                      <w:r>
                        <w:rPr>
                          <w:rFonts w:cs="Arial"/>
                          <w:sz w:val="22"/>
                        </w:rPr>
                        <w:t xml:space="preserve"> x 39</w:t>
                      </w:r>
                    </w:p>
                    <w:p w14:paraId="6E120731" w14:textId="04FD179B" w:rsidR="00784966" w:rsidRDefault="00784966" w:rsidP="00784966">
                      <w:pPr>
                        <w:rPr>
                          <w:rFonts w:cs="Arial"/>
                          <w:sz w:val="22"/>
                        </w:rPr>
                      </w:pPr>
                      <w:r>
                        <w:rPr>
                          <w:rFonts w:cs="Arial"/>
                          <w:sz w:val="22"/>
                        </w:rPr>
                        <w:t xml:space="preserve">= </w:t>
                      </w:r>
                      <w:r w:rsidRPr="002C1C4F">
                        <w:rPr>
                          <w:rFonts w:cs="Arial"/>
                          <w:sz w:val="22"/>
                        </w:rPr>
                        <w:t xml:space="preserve">2,500 x </w:t>
                      </w:r>
                      <w:r w:rsidRPr="00FC3072">
                        <w:rPr>
                          <w:rFonts w:cs="Arial"/>
                          <w:sz w:val="22"/>
                        </w:rPr>
                        <w:t>£43</w:t>
                      </w:r>
                      <w:r w:rsidR="00B87A7B">
                        <w:rPr>
                          <w:rFonts w:cs="Arial"/>
                          <w:sz w:val="22"/>
                        </w:rPr>
                        <w:t>4</w:t>
                      </w:r>
                      <w:r w:rsidRPr="00FC3072">
                        <w:rPr>
                          <w:rFonts w:cs="Arial"/>
                          <w:sz w:val="22"/>
                        </w:rPr>
                        <w:t>.</w:t>
                      </w:r>
                      <w:r w:rsidR="00B87A7B">
                        <w:rPr>
                          <w:rFonts w:cs="Arial"/>
                          <w:sz w:val="22"/>
                        </w:rPr>
                        <w:t>59</w:t>
                      </w:r>
                      <w:r w:rsidRPr="002C1C4F">
                        <w:rPr>
                          <w:rFonts w:cs="Arial"/>
                          <w:sz w:val="22"/>
                        </w:rPr>
                        <w:t xml:space="preserve"> x 39 </w:t>
                      </w:r>
                      <w:r w:rsidRPr="00FC3072">
                        <w:rPr>
                          <w:rFonts w:cs="Arial"/>
                          <w:sz w:val="22"/>
                        </w:rPr>
                        <w:t>= £41.6m</w:t>
                      </w:r>
                    </w:p>
                    <w:p w14:paraId="44AADEA8" w14:textId="77777777" w:rsidR="00784966" w:rsidRDefault="00784966" w:rsidP="00784966">
                      <w:pPr>
                        <w:rPr>
                          <w:rFonts w:cs="Arial"/>
                          <w:sz w:val="22"/>
                        </w:rPr>
                      </w:pPr>
                    </w:p>
                    <w:p w14:paraId="6A2CB69C" w14:textId="357A4659" w:rsidR="00784966" w:rsidRDefault="00784966" w:rsidP="00784966">
                      <w:pPr>
                        <w:rPr>
                          <w:rFonts w:cs="Arial"/>
                          <w:sz w:val="22"/>
                        </w:rPr>
                      </w:pPr>
                      <w:r>
                        <w:rPr>
                          <w:rFonts w:cs="Arial"/>
                          <w:sz w:val="22"/>
                        </w:rPr>
                        <w:t xml:space="preserve">Total payments received (less redundancy payments) = £41.6m - </w:t>
                      </w:r>
                      <w:r w:rsidRPr="00FC3072">
                        <w:rPr>
                          <w:rFonts w:cs="Arial"/>
                          <w:sz w:val="22"/>
                        </w:rPr>
                        <w:t>£4.6m</w:t>
                      </w:r>
                      <w:r w:rsidR="001C5A25">
                        <w:rPr>
                          <w:rFonts w:cs="Arial"/>
                          <w:sz w:val="22"/>
                        </w:rPr>
                        <w:t>*</w:t>
                      </w:r>
                      <w:r w:rsidR="00B87A7B">
                        <w:rPr>
                          <w:rFonts w:cs="Arial"/>
                          <w:sz w:val="22"/>
                        </w:rPr>
                        <w:t>*</w:t>
                      </w:r>
                      <w:r>
                        <w:rPr>
                          <w:rFonts w:cs="Arial"/>
                          <w:sz w:val="22"/>
                        </w:rPr>
                        <w:t xml:space="preserve"> =</w:t>
                      </w:r>
                      <w:r w:rsidRPr="00FC3072">
                        <w:rPr>
                          <w:rFonts w:cs="Arial"/>
                          <w:b/>
                          <w:bCs/>
                          <w:sz w:val="22"/>
                        </w:rPr>
                        <w:t xml:space="preserve"> £37.1m</w:t>
                      </w:r>
                    </w:p>
                    <w:p w14:paraId="506667DF" w14:textId="77777777" w:rsidR="00784966" w:rsidRDefault="00784966" w:rsidP="00784966">
                      <w:pPr>
                        <w:rPr>
                          <w:rFonts w:cs="Arial"/>
                          <w:sz w:val="22"/>
                        </w:rPr>
                      </w:pPr>
                    </w:p>
                    <w:p w14:paraId="03ABB0C1" w14:textId="77777777" w:rsidR="00784966" w:rsidRPr="00FA7932" w:rsidRDefault="00784966" w:rsidP="00784966">
                      <w:pPr>
                        <w:rPr>
                          <w:rFonts w:cs="Arial"/>
                          <w:i/>
                          <w:iCs/>
                          <w:sz w:val="20"/>
                          <w:szCs w:val="20"/>
                        </w:rPr>
                      </w:pPr>
                      <w:r w:rsidRPr="00FA7932">
                        <w:rPr>
                          <w:rFonts w:cs="Arial"/>
                          <w:i/>
                          <w:iCs/>
                          <w:sz w:val="20"/>
                          <w:szCs w:val="20"/>
                        </w:rPr>
                        <w:t>Population figures rounded to nearest 100 and payments rounded to nearest £0.1m</w:t>
                      </w:r>
                    </w:p>
                    <w:p w14:paraId="360B3B54" w14:textId="0225FB04" w:rsidR="00B87A7B" w:rsidRPr="00CE4840" w:rsidRDefault="00CE4840" w:rsidP="00CE4840">
                      <w:pPr>
                        <w:rPr>
                          <w:rFonts w:cs="Arial"/>
                          <w:i/>
                          <w:iCs/>
                          <w:sz w:val="20"/>
                          <w:szCs w:val="20"/>
                        </w:rPr>
                      </w:pPr>
                      <w:r>
                        <w:rPr>
                          <w:rFonts w:cs="Arial"/>
                          <w:i/>
                          <w:iCs/>
                          <w:sz w:val="20"/>
                          <w:szCs w:val="20"/>
                        </w:rPr>
                        <w:t>*</w:t>
                      </w:r>
                      <w:r w:rsidRPr="00CE4840">
                        <w:rPr>
                          <w:rFonts w:cs="Arial"/>
                          <w:i/>
                          <w:iCs/>
                          <w:sz w:val="20"/>
                          <w:szCs w:val="20"/>
                        </w:rPr>
                        <w:t>9 mo</w:t>
                      </w:r>
                      <w:r>
                        <w:rPr>
                          <w:rFonts w:cs="Arial"/>
                          <w:i/>
                          <w:iCs/>
                          <w:sz w:val="20"/>
                          <w:szCs w:val="20"/>
                        </w:rPr>
                        <w:t>nth wage uplift</w:t>
                      </w:r>
                      <w:r w:rsidR="008247DC">
                        <w:rPr>
                          <w:rFonts w:cs="Arial"/>
                          <w:i/>
                          <w:iCs/>
                          <w:sz w:val="20"/>
                          <w:szCs w:val="20"/>
                        </w:rPr>
                        <w:t xml:space="preserve"> for females</w:t>
                      </w:r>
                      <w:r>
                        <w:rPr>
                          <w:rFonts w:cs="Arial"/>
                          <w:i/>
                          <w:iCs/>
                          <w:sz w:val="20"/>
                          <w:szCs w:val="20"/>
                        </w:rPr>
                        <w:t xml:space="preserve"> calculated as</w:t>
                      </w:r>
                      <w:r w:rsidR="004F3A21">
                        <w:rPr>
                          <w:rFonts w:cs="Arial"/>
                          <w:i/>
                          <w:iCs/>
                          <w:sz w:val="20"/>
                          <w:szCs w:val="20"/>
                        </w:rPr>
                        <w:t xml:space="preserve"> 102.4%</w:t>
                      </w:r>
                    </w:p>
                    <w:p w14:paraId="6CA88E50" w14:textId="60C66485" w:rsidR="00784966" w:rsidRPr="000A1607" w:rsidRDefault="00C47D7C" w:rsidP="00784966">
                      <w:pPr>
                        <w:rPr>
                          <w:rFonts w:cs="Arial"/>
                          <w:i/>
                          <w:iCs/>
                          <w:sz w:val="20"/>
                          <w:szCs w:val="20"/>
                        </w:rPr>
                      </w:pPr>
                      <w:r w:rsidRPr="000A1607">
                        <w:rPr>
                          <w:rFonts w:cs="Arial"/>
                          <w:i/>
                          <w:iCs/>
                          <w:sz w:val="20"/>
                          <w:szCs w:val="20"/>
                        </w:rPr>
                        <w:t>*</w:t>
                      </w:r>
                      <w:r w:rsidR="00B87A7B">
                        <w:rPr>
                          <w:rFonts w:cs="Arial"/>
                          <w:i/>
                          <w:iCs/>
                          <w:sz w:val="20"/>
                          <w:szCs w:val="20"/>
                        </w:rPr>
                        <w:t>*</w:t>
                      </w:r>
                      <w:r w:rsidR="00772570" w:rsidRPr="000A1607">
                        <w:rPr>
                          <w:rFonts w:cs="Arial"/>
                          <w:i/>
                          <w:iCs/>
                          <w:sz w:val="20"/>
                          <w:szCs w:val="20"/>
                        </w:rPr>
                        <w:t xml:space="preserve">Redundancy payment calculations from table </w:t>
                      </w:r>
                      <w:r w:rsidR="00566616" w:rsidRPr="000A1607">
                        <w:rPr>
                          <w:rFonts w:cs="Arial"/>
                          <w:i/>
                          <w:iCs/>
                          <w:sz w:val="20"/>
                          <w:szCs w:val="20"/>
                        </w:rPr>
                        <w:t>12</w:t>
                      </w:r>
                      <w:r w:rsidR="00772570" w:rsidRPr="000A1607">
                        <w:rPr>
                          <w:rFonts w:cs="Arial"/>
                          <w:i/>
                          <w:iCs/>
                          <w:sz w:val="20"/>
                          <w:szCs w:val="20"/>
                        </w:rPr>
                        <w:t xml:space="preserve"> and </w:t>
                      </w:r>
                      <w:r w:rsidR="00566616" w:rsidRPr="000A1607">
                        <w:rPr>
                          <w:rFonts w:cs="Arial"/>
                          <w:i/>
                          <w:iCs/>
                          <w:sz w:val="20"/>
                          <w:szCs w:val="20"/>
                        </w:rPr>
                        <w:t>13</w:t>
                      </w:r>
                    </w:p>
                    <w:p w14:paraId="196887BB" w14:textId="77777777" w:rsidR="00784966" w:rsidRDefault="00784966" w:rsidP="00784966">
                      <w:pPr>
                        <w:rPr>
                          <w:rFonts w:cs="Arial"/>
                          <w:sz w:val="22"/>
                          <w:u w:val="single"/>
                        </w:rPr>
                      </w:pPr>
                    </w:p>
                    <w:p w14:paraId="5A2BBD5D" w14:textId="77777777" w:rsidR="00784966" w:rsidRPr="00C01672" w:rsidRDefault="00784966" w:rsidP="00784966">
                      <w:pPr>
                        <w:rPr>
                          <w:rFonts w:cs="Arial"/>
                          <w:b/>
                          <w:sz w:val="22"/>
                          <w:u w:val="single"/>
                        </w:rPr>
                      </w:pPr>
                    </w:p>
                    <w:p w14:paraId="5B0C8DF9" w14:textId="77777777" w:rsidR="00784966" w:rsidRDefault="00784966" w:rsidP="00784966">
                      <w:pPr>
                        <w:rPr>
                          <w:b/>
                          <w:sz w:val="22"/>
                          <w:u w:val="single"/>
                        </w:rPr>
                      </w:pPr>
                    </w:p>
                    <w:p w14:paraId="0BAF6699" w14:textId="77777777" w:rsidR="00784966" w:rsidRDefault="00784966" w:rsidP="00784966">
                      <w:pPr>
                        <w:rPr>
                          <w:b/>
                          <w:sz w:val="22"/>
                          <w:u w:val="single"/>
                        </w:rPr>
                      </w:pPr>
                    </w:p>
                    <w:p w14:paraId="62FFA697" w14:textId="77777777" w:rsidR="00784966" w:rsidRDefault="00784966" w:rsidP="00784966">
                      <w:pPr>
                        <w:rPr>
                          <w:b/>
                          <w:sz w:val="22"/>
                          <w:u w:val="single"/>
                        </w:rPr>
                      </w:pPr>
                    </w:p>
                    <w:p w14:paraId="04A6D2BD" w14:textId="77777777" w:rsidR="00784966" w:rsidRPr="009E0CDB" w:rsidRDefault="00784966" w:rsidP="00784966">
                      <w:pPr>
                        <w:rPr>
                          <w:b/>
                          <w:sz w:val="22"/>
                          <w:u w:val="single"/>
                        </w:rPr>
                      </w:pPr>
                    </w:p>
                  </w:txbxContent>
                </v:textbox>
                <w10:wrap type="square" anchorx="margin"/>
              </v:shape>
            </w:pict>
          </mc:Fallback>
        </mc:AlternateContent>
      </w:r>
    </w:p>
    <w:p w14:paraId="28C77548" w14:textId="77777777" w:rsidR="00784966" w:rsidRPr="00E639A0" w:rsidRDefault="00784966" w:rsidP="00784966">
      <w:pPr>
        <w:rPr>
          <w:rFonts w:cs="Arial"/>
        </w:rPr>
      </w:pPr>
    </w:p>
    <w:p w14:paraId="06EB0B4C" w14:textId="77777777" w:rsidR="00784966" w:rsidRPr="00E639A0" w:rsidRDefault="00784966" w:rsidP="00784966">
      <w:pPr>
        <w:rPr>
          <w:rFonts w:cs="Arial"/>
        </w:rPr>
      </w:pPr>
    </w:p>
    <w:p w14:paraId="021D28AC" w14:textId="77777777" w:rsidR="00784966" w:rsidRPr="00E639A0" w:rsidRDefault="00784966" w:rsidP="00784966">
      <w:pPr>
        <w:rPr>
          <w:rFonts w:cs="Arial"/>
        </w:rPr>
      </w:pPr>
    </w:p>
    <w:p w14:paraId="33ADFB98" w14:textId="77777777" w:rsidR="00784966" w:rsidRPr="00E639A0" w:rsidRDefault="00784966" w:rsidP="00784966">
      <w:pPr>
        <w:rPr>
          <w:rFonts w:cs="Arial"/>
        </w:rPr>
      </w:pPr>
    </w:p>
    <w:p w14:paraId="3499B709" w14:textId="77777777" w:rsidR="00784966" w:rsidRPr="00E639A0" w:rsidRDefault="00784966" w:rsidP="00784966">
      <w:pPr>
        <w:rPr>
          <w:rFonts w:cs="Arial"/>
        </w:rPr>
      </w:pPr>
    </w:p>
    <w:p w14:paraId="080FA353" w14:textId="77777777" w:rsidR="00784966" w:rsidRPr="00E639A0" w:rsidRDefault="00784966" w:rsidP="00784966">
      <w:pPr>
        <w:rPr>
          <w:rFonts w:cs="Arial"/>
        </w:rPr>
      </w:pPr>
    </w:p>
    <w:p w14:paraId="5AF94C77" w14:textId="77777777" w:rsidR="00784966" w:rsidRPr="00E639A0" w:rsidRDefault="00784966" w:rsidP="00784966">
      <w:pPr>
        <w:rPr>
          <w:rFonts w:cs="Arial"/>
        </w:rPr>
      </w:pPr>
    </w:p>
    <w:p w14:paraId="28F75C9B" w14:textId="77777777" w:rsidR="00784966" w:rsidRPr="00E639A0" w:rsidRDefault="00784966" w:rsidP="00784966">
      <w:pPr>
        <w:rPr>
          <w:rFonts w:cs="Arial"/>
        </w:rPr>
      </w:pPr>
    </w:p>
    <w:p w14:paraId="34A864F3" w14:textId="77777777" w:rsidR="00784966" w:rsidRPr="00E639A0" w:rsidRDefault="00784966" w:rsidP="00784966">
      <w:pPr>
        <w:rPr>
          <w:rFonts w:cs="Arial"/>
        </w:rPr>
      </w:pPr>
    </w:p>
    <w:p w14:paraId="3B35926C" w14:textId="77777777" w:rsidR="00784966" w:rsidRPr="00E639A0" w:rsidRDefault="00784966" w:rsidP="00784966">
      <w:pPr>
        <w:rPr>
          <w:rFonts w:cs="Arial"/>
        </w:rPr>
      </w:pPr>
    </w:p>
    <w:p w14:paraId="113F1267" w14:textId="77777777" w:rsidR="00784966" w:rsidRPr="00E639A0" w:rsidRDefault="00784966" w:rsidP="00784966">
      <w:pPr>
        <w:rPr>
          <w:rFonts w:cs="Arial"/>
        </w:rPr>
      </w:pPr>
    </w:p>
    <w:p w14:paraId="3BB1B2BD" w14:textId="77777777" w:rsidR="00784966" w:rsidRPr="00E639A0" w:rsidRDefault="00784966" w:rsidP="00784966">
      <w:pPr>
        <w:rPr>
          <w:rFonts w:cs="Arial"/>
        </w:rPr>
      </w:pPr>
    </w:p>
    <w:p w14:paraId="2B22D4C7" w14:textId="77777777" w:rsidR="00784966" w:rsidRPr="00E639A0" w:rsidRDefault="00784966" w:rsidP="00784966">
      <w:pPr>
        <w:rPr>
          <w:rFonts w:cs="Arial"/>
        </w:rPr>
      </w:pPr>
    </w:p>
    <w:p w14:paraId="7249A125" w14:textId="77777777" w:rsidR="00784966" w:rsidRPr="00E639A0" w:rsidRDefault="00784966" w:rsidP="00784966">
      <w:pPr>
        <w:rPr>
          <w:rFonts w:cs="Arial"/>
        </w:rPr>
      </w:pPr>
    </w:p>
    <w:p w14:paraId="0DB7F3E4" w14:textId="77777777" w:rsidR="00784966" w:rsidRPr="00E639A0" w:rsidRDefault="00784966" w:rsidP="00784966">
      <w:pPr>
        <w:rPr>
          <w:rFonts w:cs="Arial"/>
        </w:rPr>
      </w:pPr>
    </w:p>
    <w:p w14:paraId="65143796" w14:textId="77777777" w:rsidR="00784966" w:rsidRPr="00E639A0" w:rsidRDefault="00784966" w:rsidP="00784966">
      <w:pPr>
        <w:rPr>
          <w:rFonts w:cs="Arial"/>
        </w:rPr>
      </w:pPr>
    </w:p>
    <w:p w14:paraId="53A55374" w14:textId="77777777" w:rsidR="00784966" w:rsidRPr="00E639A0" w:rsidRDefault="00784966" w:rsidP="00784966">
      <w:pPr>
        <w:rPr>
          <w:rFonts w:cs="Arial"/>
        </w:rPr>
      </w:pPr>
    </w:p>
    <w:p w14:paraId="087F5A71" w14:textId="77777777" w:rsidR="00784966" w:rsidRPr="00E639A0" w:rsidRDefault="00784966" w:rsidP="00784966">
      <w:pPr>
        <w:rPr>
          <w:rFonts w:cs="Arial"/>
        </w:rPr>
      </w:pPr>
    </w:p>
    <w:p w14:paraId="18BD579A" w14:textId="77777777" w:rsidR="00784966" w:rsidRPr="00E639A0" w:rsidRDefault="00784966" w:rsidP="00784966">
      <w:pPr>
        <w:rPr>
          <w:rFonts w:cs="Arial"/>
        </w:rPr>
      </w:pPr>
    </w:p>
    <w:p w14:paraId="32D66B6A" w14:textId="77777777" w:rsidR="00784966" w:rsidRPr="00E639A0" w:rsidRDefault="00784966" w:rsidP="00784966">
      <w:pPr>
        <w:rPr>
          <w:rFonts w:cs="Arial"/>
        </w:rPr>
      </w:pPr>
    </w:p>
    <w:p w14:paraId="66E38B63" w14:textId="77777777" w:rsidR="00784966" w:rsidRPr="00E639A0" w:rsidRDefault="00784966" w:rsidP="00784966">
      <w:pPr>
        <w:rPr>
          <w:rFonts w:cs="Arial"/>
        </w:rPr>
      </w:pPr>
    </w:p>
    <w:p w14:paraId="4267328D" w14:textId="77777777" w:rsidR="00784966" w:rsidRPr="00E639A0" w:rsidRDefault="00784966" w:rsidP="00784966">
      <w:pPr>
        <w:rPr>
          <w:rFonts w:cs="Arial"/>
        </w:rPr>
      </w:pPr>
    </w:p>
    <w:p w14:paraId="0C0B200C" w14:textId="77777777" w:rsidR="00784966" w:rsidRPr="00E639A0" w:rsidRDefault="00784966" w:rsidP="00784966">
      <w:pPr>
        <w:rPr>
          <w:rFonts w:cs="Arial"/>
        </w:rPr>
      </w:pPr>
    </w:p>
    <w:p w14:paraId="21D91127" w14:textId="77777777" w:rsidR="00784966" w:rsidRPr="00E639A0" w:rsidRDefault="00784966" w:rsidP="00784966">
      <w:pPr>
        <w:rPr>
          <w:rFonts w:cs="Arial"/>
        </w:rPr>
      </w:pPr>
    </w:p>
    <w:p w14:paraId="1F73BFC4" w14:textId="77777777" w:rsidR="00784966" w:rsidRPr="00E639A0" w:rsidRDefault="00784966" w:rsidP="00784966">
      <w:pPr>
        <w:rPr>
          <w:rFonts w:cs="Arial"/>
        </w:rPr>
      </w:pPr>
    </w:p>
    <w:p w14:paraId="34E0EA31" w14:textId="33851B84" w:rsidR="00701FED" w:rsidRPr="00E639A0" w:rsidRDefault="00701FED">
      <w:pPr>
        <w:rPr>
          <w:rFonts w:cs="Arial"/>
          <w:b/>
          <w:bCs/>
          <w:color w:val="000000"/>
          <w:lang w:eastAsia="en-GB"/>
        </w:rPr>
      </w:pPr>
      <w:r w:rsidRPr="00E639A0">
        <w:rPr>
          <w:rFonts w:cs="Arial"/>
          <w:b/>
          <w:bCs/>
          <w:color w:val="000000"/>
          <w:lang w:eastAsia="en-GB"/>
        </w:rPr>
        <w:br w:type="page"/>
      </w:r>
    </w:p>
    <w:p w14:paraId="147D55E5" w14:textId="77777777" w:rsidR="00701FED" w:rsidRPr="00E639A0" w:rsidRDefault="00701FED">
      <w:pPr>
        <w:rPr>
          <w:rFonts w:cs="Arial"/>
          <w:b/>
          <w:bCs/>
          <w:color w:val="000000"/>
          <w:lang w:eastAsia="en-GB"/>
        </w:rPr>
      </w:pPr>
    </w:p>
    <w:p w14:paraId="245B90E7" w14:textId="1F10F6E8" w:rsidR="004A6E7B" w:rsidRPr="00E639A0" w:rsidRDefault="00FA5826" w:rsidP="004A6E7B">
      <w:pPr>
        <w:pStyle w:val="EBBullet"/>
        <w:keepNext/>
        <w:numPr>
          <w:ilvl w:val="0"/>
          <w:numId w:val="0"/>
        </w:numPr>
        <w:rPr>
          <w:b/>
          <w:sz w:val="24"/>
          <w:szCs w:val="24"/>
        </w:rPr>
      </w:pPr>
      <w:r w:rsidRPr="00E639A0">
        <w:rPr>
          <w:b/>
          <w:sz w:val="24"/>
          <w:szCs w:val="24"/>
        </w:rPr>
        <w:t xml:space="preserve">Annex C - </w:t>
      </w:r>
      <w:r w:rsidR="00F86730" w:rsidRPr="00E639A0">
        <w:rPr>
          <w:b/>
          <w:sz w:val="24"/>
          <w:szCs w:val="24"/>
        </w:rPr>
        <w:t>Modelling r</w:t>
      </w:r>
      <w:r w:rsidR="004A6E7B" w:rsidRPr="00E639A0">
        <w:rPr>
          <w:b/>
          <w:sz w:val="24"/>
          <w:szCs w:val="24"/>
        </w:rPr>
        <w:t>isks and assumptions</w:t>
      </w:r>
    </w:p>
    <w:p w14:paraId="67D2B03A" w14:textId="77777777" w:rsidR="004A6E7B" w:rsidRPr="00E639A0" w:rsidRDefault="004A6E7B" w:rsidP="004A6E7B">
      <w:pPr>
        <w:pStyle w:val="EBBullet"/>
        <w:keepNext/>
        <w:numPr>
          <w:ilvl w:val="0"/>
          <w:numId w:val="0"/>
        </w:numPr>
        <w:rPr>
          <w:i/>
          <w:sz w:val="24"/>
          <w:szCs w:val="24"/>
        </w:rPr>
      </w:pPr>
      <w:r w:rsidRPr="00E639A0">
        <w:rPr>
          <w:i/>
          <w:sz w:val="24"/>
          <w:szCs w:val="24"/>
        </w:rPr>
        <w:t>Modelling risks and assumptions</w:t>
      </w:r>
    </w:p>
    <w:p w14:paraId="18BF97C2" w14:textId="43E0B25F" w:rsidR="004A6E7B" w:rsidRPr="00E639A0" w:rsidRDefault="004A6E7B" w:rsidP="004F366F">
      <w:pPr>
        <w:pStyle w:val="EBBodyPara"/>
        <w:numPr>
          <w:ilvl w:val="0"/>
          <w:numId w:val="7"/>
        </w:numPr>
        <w:rPr>
          <w:sz w:val="24"/>
          <w:szCs w:val="24"/>
        </w:rPr>
      </w:pPr>
      <w:r w:rsidRPr="00E639A0">
        <w:rPr>
          <w:sz w:val="24"/>
          <w:szCs w:val="24"/>
        </w:rPr>
        <w:t xml:space="preserve">The costings and analysis in this final stage impact assessment are based on several key assumptions, in estimating the eligible populations and predicting firms’ </w:t>
      </w:r>
      <w:r w:rsidR="004461D6" w:rsidRPr="00E639A0">
        <w:rPr>
          <w:color w:val="auto"/>
          <w:sz w:val="24"/>
          <w:szCs w:val="24"/>
        </w:rPr>
        <w:t>behavioural</w:t>
      </w:r>
      <w:r w:rsidRPr="00E639A0">
        <w:rPr>
          <w:sz w:val="24"/>
          <w:szCs w:val="24"/>
        </w:rPr>
        <w:t xml:space="preserve"> responses.  There is inherent uncertainty in making these assumptions, but we have attempted to model the costs and benefits to the best of our ability using evidence available to us.</w:t>
      </w:r>
    </w:p>
    <w:p w14:paraId="092DBC88" w14:textId="03E0882A" w:rsidR="004A6E7B" w:rsidRPr="00E639A0" w:rsidRDefault="004A6E7B" w:rsidP="004F366F">
      <w:pPr>
        <w:pStyle w:val="EBBodyPara"/>
        <w:numPr>
          <w:ilvl w:val="0"/>
          <w:numId w:val="7"/>
        </w:numPr>
        <w:rPr>
          <w:sz w:val="24"/>
          <w:szCs w:val="24"/>
        </w:rPr>
      </w:pPr>
      <w:r w:rsidRPr="00E639A0">
        <w:rPr>
          <w:sz w:val="24"/>
          <w:szCs w:val="24"/>
        </w:rPr>
        <w:t xml:space="preserve">In the assessment of the </w:t>
      </w:r>
      <w:r w:rsidR="004461D6" w:rsidRPr="00E639A0">
        <w:rPr>
          <w:sz w:val="24"/>
          <w:szCs w:val="24"/>
        </w:rPr>
        <w:t>options,</w:t>
      </w:r>
      <w:r w:rsidRPr="00E639A0">
        <w:rPr>
          <w:sz w:val="24"/>
          <w:szCs w:val="24"/>
        </w:rPr>
        <w:t xml:space="preserve"> we try to allow for this uncertainty by providing low, medium and high cost estimates </w:t>
      </w:r>
      <w:r w:rsidR="006A7762" w:rsidRPr="00E639A0">
        <w:rPr>
          <w:sz w:val="24"/>
          <w:szCs w:val="24"/>
        </w:rPr>
        <w:t>where appropriate</w:t>
      </w:r>
      <w:r w:rsidRPr="00E639A0">
        <w:rPr>
          <w:sz w:val="24"/>
          <w:szCs w:val="24"/>
        </w:rPr>
        <w:t xml:space="preserve">. </w:t>
      </w:r>
    </w:p>
    <w:p w14:paraId="3AA652B9" w14:textId="07616AC0" w:rsidR="004A6E7B" w:rsidRPr="00E639A0" w:rsidRDefault="004A6E7B" w:rsidP="004F366F">
      <w:pPr>
        <w:pStyle w:val="EBBodyPara"/>
        <w:numPr>
          <w:ilvl w:val="0"/>
          <w:numId w:val="7"/>
        </w:numPr>
        <w:rPr>
          <w:sz w:val="24"/>
          <w:szCs w:val="24"/>
        </w:rPr>
      </w:pPr>
      <w:r w:rsidRPr="00E639A0">
        <w:rPr>
          <w:sz w:val="24"/>
          <w:szCs w:val="24"/>
        </w:rPr>
        <w:t xml:space="preserve">Since we are unable to observe when pregnancy discrimination </w:t>
      </w:r>
      <w:r w:rsidR="004461D6" w:rsidRPr="00E639A0">
        <w:rPr>
          <w:sz w:val="24"/>
          <w:szCs w:val="24"/>
        </w:rPr>
        <w:t>occurs,</w:t>
      </w:r>
      <w:r w:rsidRPr="00E639A0">
        <w:rPr>
          <w:sz w:val="24"/>
          <w:szCs w:val="24"/>
        </w:rPr>
        <w:t xml:space="preserve"> we made assumptions on this point in time in absence of the policy. Given lack of evidence, we take a cautious approach and assume for pregnant women, discrimination occurs at the point at which they inform their employer in writing of their pregnancy (the Mat B1 form should be issued no more than 20 weeks before the expected week of confinement</w:t>
      </w:r>
      <w:r w:rsidRPr="00E639A0">
        <w:rPr>
          <w:rStyle w:val="FootnoteReference"/>
          <w:rFonts w:cs="Arial"/>
          <w:sz w:val="24"/>
          <w:szCs w:val="24"/>
        </w:rPr>
        <w:footnoteReference w:id="64"/>
      </w:r>
      <w:r w:rsidRPr="00E639A0">
        <w:rPr>
          <w:sz w:val="24"/>
          <w:szCs w:val="24"/>
        </w:rPr>
        <w:t>). For returning mothers/parents we assume discrimination occurs at the point at which they return to work.</w:t>
      </w:r>
    </w:p>
    <w:tbl>
      <w:tblPr>
        <w:tblW w:w="10189"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60"/>
        <w:gridCol w:w="3518"/>
        <w:gridCol w:w="4411"/>
      </w:tblGrid>
      <w:tr w:rsidR="004A6E7B" w:rsidRPr="00E639A0" w14:paraId="009F4AFD" w14:textId="77777777">
        <w:trPr>
          <w:trHeight w:val="405"/>
        </w:trPr>
        <w:tc>
          <w:tcPr>
            <w:tcW w:w="10189" w:type="dxa"/>
            <w:gridSpan w:val="3"/>
            <w:tcBorders>
              <w:top w:val="single" w:sz="6" w:space="0" w:color="365F91"/>
              <w:left w:val="single" w:sz="6" w:space="0" w:color="365F91"/>
              <w:bottom w:val="single" w:sz="6" w:space="0" w:color="365F91"/>
              <w:right w:val="single" w:sz="6" w:space="0" w:color="365F91"/>
            </w:tcBorders>
            <w:shd w:val="clear" w:color="auto" w:fill="365F91"/>
            <w:vAlign w:val="center"/>
            <w:hideMark/>
          </w:tcPr>
          <w:p w14:paraId="19C04838" w14:textId="77777777" w:rsidR="004A6E7B" w:rsidRPr="00E639A0" w:rsidRDefault="004A6E7B">
            <w:pPr>
              <w:textAlignment w:val="baseline"/>
              <w:rPr>
                <w:rFonts w:cs="Arial"/>
                <w:color w:val="000000"/>
                <w:lang w:eastAsia="en-GB"/>
              </w:rPr>
            </w:pPr>
            <w:r w:rsidRPr="00E639A0">
              <w:rPr>
                <w:rFonts w:cs="Arial"/>
                <w:color w:val="FFFFFF"/>
                <w:lang w:eastAsia="en-GB"/>
              </w:rPr>
              <w:t>Assumptions Log </w:t>
            </w:r>
          </w:p>
        </w:tc>
      </w:tr>
      <w:tr w:rsidR="004A6E7B" w:rsidRPr="00E639A0" w14:paraId="259CED36" w14:textId="77777777" w:rsidTr="004461D6">
        <w:trPr>
          <w:trHeight w:val="330"/>
        </w:trPr>
        <w:tc>
          <w:tcPr>
            <w:tcW w:w="2260" w:type="dxa"/>
            <w:tcBorders>
              <w:top w:val="single" w:sz="6" w:space="0" w:color="365F91"/>
              <w:left w:val="single" w:sz="6" w:space="0" w:color="365F91"/>
              <w:bottom w:val="single" w:sz="6" w:space="0" w:color="365F91"/>
              <w:right w:val="single" w:sz="6" w:space="0" w:color="365F91"/>
            </w:tcBorders>
            <w:shd w:val="clear" w:color="auto" w:fill="auto"/>
            <w:vAlign w:val="center"/>
            <w:hideMark/>
          </w:tcPr>
          <w:p w14:paraId="7A0C79B0" w14:textId="77777777" w:rsidR="004A6E7B" w:rsidRPr="00E639A0" w:rsidRDefault="004A6E7B">
            <w:pPr>
              <w:textAlignment w:val="baseline"/>
              <w:rPr>
                <w:rFonts w:cs="Arial"/>
                <w:color w:val="000000"/>
                <w:lang w:eastAsia="en-GB"/>
              </w:rPr>
            </w:pPr>
            <w:r w:rsidRPr="00E639A0">
              <w:rPr>
                <w:rFonts w:cs="Arial"/>
                <w:b/>
                <w:bCs/>
                <w:color w:val="000000"/>
                <w:lang w:eastAsia="en-GB"/>
              </w:rPr>
              <w:t>Assumption</w:t>
            </w:r>
            <w:r w:rsidRPr="00E639A0">
              <w:rPr>
                <w:rFonts w:cs="Arial"/>
                <w:color w:val="000000"/>
                <w:lang w:eastAsia="en-GB"/>
              </w:rPr>
              <w:t> </w:t>
            </w:r>
          </w:p>
        </w:tc>
        <w:tc>
          <w:tcPr>
            <w:tcW w:w="3518" w:type="dxa"/>
            <w:tcBorders>
              <w:top w:val="single" w:sz="6" w:space="0" w:color="365F91"/>
              <w:left w:val="single" w:sz="6" w:space="0" w:color="365F91"/>
              <w:bottom w:val="single" w:sz="6" w:space="0" w:color="365F91"/>
              <w:right w:val="single" w:sz="6" w:space="0" w:color="365F91"/>
            </w:tcBorders>
            <w:shd w:val="clear" w:color="auto" w:fill="auto"/>
            <w:vAlign w:val="center"/>
            <w:hideMark/>
          </w:tcPr>
          <w:p w14:paraId="4BA55477" w14:textId="77777777" w:rsidR="004A6E7B" w:rsidRPr="00E639A0" w:rsidRDefault="004A6E7B">
            <w:pPr>
              <w:textAlignment w:val="baseline"/>
              <w:rPr>
                <w:rFonts w:cs="Arial"/>
                <w:color w:val="000000"/>
                <w:lang w:eastAsia="en-GB"/>
              </w:rPr>
            </w:pPr>
            <w:r w:rsidRPr="00E639A0">
              <w:rPr>
                <w:rFonts w:cs="Arial"/>
                <w:b/>
                <w:bCs/>
                <w:color w:val="000000"/>
                <w:lang w:eastAsia="en-GB"/>
              </w:rPr>
              <w:t>Detail</w:t>
            </w:r>
            <w:r w:rsidRPr="00E639A0">
              <w:rPr>
                <w:rFonts w:cs="Arial"/>
                <w:color w:val="000000"/>
                <w:lang w:eastAsia="en-GB"/>
              </w:rPr>
              <w:t> </w:t>
            </w:r>
          </w:p>
        </w:tc>
        <w:tc>
          <w:tcPr>
            <w:tcW w:w="4411" w:type="dxa"/>
            <w:tcBorders>
              <w:top w:val="single" w:sz="6" w:space="0" w:color="365F91"/>
              <w:left w:val="single" w:sz="6" w:space="0" w:color="365F91"/>
              <w:bottom w:val="single" w:sz="6" w:space="0" w:color="365F91"/>
              <w:right w:val="single" w:sz="6" w:space="0" w:color="365F91"/>
            </w:tcBorders>
            <w:shd w:val="clear" w:color="auto" w:fill="auto"/>
            <w:vAlign w:val="center"/>
            <w:hideMark/>
          </w:tcPr>
          <w:p w14:paraId="20A64475" w14:textId="77777777" w:rsidR="004A6E7B" w:rsidRPr="00E639A0" w:rsidRDefault="004A6E7B">
            <w:pPr>
              <w:textAlignment w:val="baseline"/>
              <w:rPr>
                <w:rFonts w:cs="Arial"/>
                <w:color w:val="000000"/>
                <w:lang w:eastAsia="en-GB"/>
              </w:rPr>
            </w:pPr>
            <w:r w:rsidRPr="00E639A0">
              <w:rPr>
                <w:rFonts w:cs="Arial"/>
                <w:b/>
                <w:bCs/>
                <w:color w:val="000000"/>
                <w:lang w:eastAsia="en-GB"/>
              </w:rPr>
              <w:t>Discussion</w:t>
            </w:r>
            <w:r w:rsidRPr="00E639A0">
              <w:rPr>
                <w:rFonts w:cs="Arial"/>
                <w:color w:val="000000"/>
                <w:lang w:eastAsia="en-GB"/>
              </w:rPr>
              <w:t> </w:t>
            </w:r>
          </w:p>
        </w:tc>
      </w:tr>
      <w:tr w:rsidR="004A6E7B" w:rsidRPr="00E639A0" w14:paraId="3A80FCA5" w14:textId="77777777" w:rsidTr="004461D6">
        <w:tc>
          <w:tcPr>
            <w:tcW w:w="2260" w:type="dxa"/>
            <w:tcBorders>
              <w:top w:val="single" w:sz="6" w:space="0" w:color="365F91"/>
              <w:left w:val="single" w:sz="6" w:space="0" w:color="365F91"/>
              <w:bottom w:val="single" w:sz="6" w:space="0" w:color="365F91"/>
              <w:right w:val="single" w:sz="6" w:space="0" w:color="365F91"/>
            </w:tcBorders>
            <w:shd w:val="clear" w:color="auto" w:fill="auto"/>
          </w:tcPr>
          <w:p w14:paraId="50B4C8D6" w14:textId="5628A313" w:rsidR="004A6E7B" w:rsidRPr="00E639A0" w:rsidRDefault="004461D6">
            <w:pPr>
              <w:textAlignment w:val="baseline"/>
              <w:rPr>
                <w:rFonts w:cs="Arial"/>
                <w:color w:val="000000"/>
                <w:lang w:eastAsia="en-GB"/>
              </w:rPr>
            </w:pPr>
            <w:r w:rsidRPr="00E639A0">
              <w:rPr>
                <w:rFonts w:cs="Arial"/>
                <w:color w:val="000000"/>
                <w:lang w:eastAsia="en-GB"/>
              </w:rPr>
              <w:t>Employers’</w:t>
            </w:r>
            <w:r w:rsidR="004A6E7B" w:rsidRPr="00E639A0">
              <w:rPr>
                <w:rFonts w:cs="Arial"/>
                <w:color w:val="000000"/>
                <w:lang w:eastAsia="en-GB"/>
              </w:rPr>
              <w:t xml:space="preserve"> behavioural response in the counterfactual scenario</w:t>
            </w:r>
          </w:p>
        </w:tc>
        <w:tc>
          <w:tcPr>
            <w:tcW w:w="3518" w:type="dxa"/>
            <w:tcBorders>
              <w:top w:val="single" w:sz="6" w:space="0" w:color="365F91"/>
              <w:left w:val="single" w:sz="6" w:space="0" w:color="365F91"/>
              <w:bottom w:val="single" w:sz="6" w:space="0" w:color="365F91"/>
              <w:right w:val="single" w:sz="6" w:space="0" w:color="365F91"/>
            </w:tcBorders>
            <w:shd w:val="clear" w:color="auto" w:fill="auto"/>
          </w:tcPr>
          <w:p w14:paraId="4289A20B" w14:textId="77777777" w:rsidR="004A6E7B" w:rsidRPr="00E639A0" w:rsidRDefault="004A6E7B">
            <w:pPr>
              <w:pStyle w:val="IAPOA5"/>
              <w:ind w:left="0"/>
              <w:rPr>
                <w:rFonts w:cs="Arial"/>
                <w:sz w:val="24"/>
                <w:szCs w:val="24"/>
              </w:rPr>
            </w:pPr>
            <w:r w:rsidRPr="00E639A0">
              <w:rPr>
                <w:rFonts w:cs="Arial"/>
                <w:sz w:val="24"/>
                <w:szCs w:val="24"/>
              </w:rPr>
              <w:t xml:space="preserve">We assume that in the counterfactual, employers make pregnant women redundant when they inform the employer of their pregnancy. We also assume that employers make returning parents redundant upon their return from maternity/adoption/shared parental. </w:t>
            </w:r>
          </w:p>
          <w:p w14:paraId="351A53D8" w14:textId="77777777" w:rsidR="004A6E7B" w:rsidRPr="00E639A0" w:rsidRDefault="004A6E7B">
            <w:pPr>
              <w:textAlignment w:val="baseline"/>
              <w:rPr>
                <w:rFonts w:cs="Arial"/>
                <w:color w:val="000000"/>
                <w:lang w:eastAsia="en-GB"/>
              </w:rPr>
            </w:pPr>
          </w:p>
        </w:tc>
        <w:tc>
          <w:tcPr>
            <w:tcW w:w="4411" w:type="dxa"/>
            <w:tcBorders>
              <w:top w:val="single" w:sz="6" w:space="0" w:color="365F91"/>
              <w:left w:val="single" w:sz="6" w:space="0" w:color="365F91"/>
              <w:bottom w:val="single" w:sz="6" w:space="0" w:color="365F91"/>
              <w:right w:val="single" w:sz="6" w:space="0" w:color="365F91"/>
            </w:tcBorders>
            <w:shd w:val="clear" w:color="auto" w:fill="auto"/>
          </w:tcPr>
          <w:p w14:paraId="4E0F42C2" w14:textId="77777777" w:rsidR="004A6E7B" w:rsidRPr="00E639A0" w:rsidRDefault="004A6E7B">
            <w:pPr>
              <w:textAlignment w:val="baseline"/>
              <w:rPr>
                <w:rFonts w:cs="Arial"/>
                <w:color w:val="000000"/>
                <w:lang w:eastAsia="en-GB"/>
              </w:rPr>
            </w:pPr>
            <w:r w:rsidRPr="00E639A0">
              <w:rPr>
                <w:rFonts w:cs="Arial"/>
                <w:color w:val="000000"/>
                <w:lang w:eastAsia="en-GB"/>
              </w:rPr>
              <w:t xml:space="preserve">The topic nature means there is an absence of reliable information on when redundancies for returning mothers takes place. This takes a maximalist approach to capture the earliest a redundancy might occur. </w:t>
            </w:r>
          </w:p>
        </w:tc>
      </w:tr>
      <w:tr w:rsidR="004A6E7B" w:rsidRPr="00E639A0" w14:paraId="7FDD4D74" w14:textId="77777777" w:rsidTr="004461D6">
        <w:trPr>
          <w:trHeight w:val="244"/>
        </w:trPr>
        <w:tc>
          <w:tcPr>
            <w:tcW w:w="2260" w:type="dxa"/>
            <w:tcBorders>
              <w:top w:val="single" w:sz="6" w:space="0" w:color="365F91"/>
              <w:left w:val="single" w:sz="6" w:space="0" w:color="365F91"/>
              <w:bottom w:val="single" w:sz="6" w:space="0" w:color="365F91"/>
              <w:right w:val="single" w:sz="6" w:space="0" w:color="365F91"/>
            </w:tcBorders>
            <w:shd w:val="clear" w:color="auto" w:fill="auto"/>
          </w:tcPr>
          <w:p w14:paraId="01691C90" w14:textId="77777777" w:rsidR="004A6E7B" w:rsidRPr="00E639A0" w:rsidRDefault="004A6E7B">
            <w:pPr>
              <w:textAlignment w:val="baseline"/>
              <w:rPr>
                <w:rFonts w:cs="Arial"/>
                <w:color w:val="000000"/>
                <w:lang w:eastAsia="en-GB"/>
              </w:rPr>
            </w:pPr>
            <w:r w:rsidRPr="00E639A0">
              <w:rPr>
                <w:rFonts w:cs="Arial"/>
                <w:color w:val="000000"/>
                <w:lang w:eastAsia="en-GB"/>
              </w:rPr>
              <w:t>Exclude new and expectant mothers in businesses with only one employee.</w:t>
            </w:r>
          </w:p>
        </w:tc>
        <w:tc>
          <w:tcPr>
            <w:tcW w:w="3518" w:type="dxa"/>
            <w:tcBorders>
              <w:top w:val="single" w:sz="6" w:space="0" w:color="365F91"/>
              <w:left w:val="single" w:sz="6" w:space="0" w:color="365F91"/>
              <w:bottom w:val="single" w:sz="6" w:space="0" w:color="365F91"/>
              <w:right w:val="single" w:sz="6" w:space="0" w:color="365F91"/>
            </w:tcBorders>
            <w:shd w:val="clear" w:color="auto" w:fill="auto"/>
          </w:tcPr>
          <w:p w14:paraId="387972E4" w14:textId="77777777" w:rsidR="004A6E7B" w:rsidRPr="00E639A0" w:rsidRDefault="004A6E7B">
            <w:pPr>
              <w:pStyle w:val="IAPOA5"/>
              <w:ind w:left="0"/>
              <w:rPr>
                <w:rFonts w:cs="Arial"/>
                <w:sz w:val="24"/>
                <w:szCs w:val="24"/>
              </w:rPr>
            </w:pPr>
            <w:r w:rsidRPr="00E639A0">
              <w:rPr>
                <w:rFonts w:cs="Arial"/>
                <w:sz w:val="24"/>
                <w:szCs w:val="24"/>
              </w:rPr>
              <w:t>Business Population Estimates for 2021 estimate that 0.6% employees are employed in private sector businesses with 1 employee.</w:t>
            </w:r>
          </w:p>
          <w:p w14:paraId="26395F9C" w14:textId="77777777" w:rsidR="004A6E7B" w:rsidRPr="00E639A0" w:rsidRDefault="004A6E7B">
            <w:pPr>
              <w:pStyle w:val="IAPOA5"/>
              <w:ind w:left="0"/>
              <w:rPr>
                <w:rFonts w:cs="Arial"/>
                <w:sz w:val="24"/>
                <w:szCs w:val="24"/>
              </w:rPr>
            </w:pPr>
          </w:p>
          <w:p w14:paraId="34F466C6" w14:textId="77777777" w:rsidR="004A6E7B" w:rsidRPr="00E639A0" w:rsidRDefault="004A6E7B">
            <w:pPr>
              <w:pStyle w:val="IAPOA5"/>
              <w:ind w:left="0"/>
              <w:rPr>
                <w:rFonts w:cs="Arial"/>
                <w:sz w:val="24"/>
                <w:szCs w:val="24"/>
              </w:rPr>
            </w:pPr>
            <w:r w:rsidRPr="00E639A0">
              <w:rPr>
                <w:rFonts w:cs="Arial"/>
                <w:sz w:val="24"/>
                <w:szCs w:val="24"/>
              </w:rPr>
              <w:t>We assume that firms of this size will genuinely require a redundancy and have no other staff who can be made redundant instead and therefore can justify their redundancy decision.</w:t>
            </w:r>
          </w:p>
          <w:p w14:paraId="0215AD41" w14:textId="1E36BCC4" w:rsidR="00665126" w:rsidRPr="00E639A0" w:rsidRDefault="00665126">
            <w:pPr>
              <w:pStyle w:val="IAPOA5"/>
              <w:ind w:left="0"/>
              <w:rPr>
                <w:rFonts w:cs="Arial"/>
                <w:sz w:val="24"/>
                <w:szCs w:val="24"/>
              </w:rPr>
            </w:pPr>
          </w:p>
        </w:tc>
        <w:tc>
          <w:tcPr>
            <w:tcW w:w="4411" w:type="dxa"/>
            <w:tcBorders>
              <w:top w:val="single" w:sz="6" w:space="0" w:color="365F91"/>
              <w:left w:val="single" w:sz="6" w:space="0" w:color="365F91"/>
              <w:bottom w:val="single" w:sz="6" w:space="0" w:color="365F91"/>
              <w:right w:val="single" w:sz="6" w:space="0" w:color="365F91"/>
            </w:tcBorders>
            <w:shd w:val="clear" w:color="auto" w:fill="auto"/>
          </w:tcPr>
          <w:p w14:paraId="14A45854" w14:textId="77777777" w:rsidR="004A6E7B" w:rsidRPr="00E639A0" w:rsidRDefault="004A6E7B">
            <w:pPr>
              <w:pStyle w:val="IAPOA5"/>
              <w:ind w:left="0"/>
              <w:rPr>
                <w:rFonts w:cs="Arial"/>
                <w:sz w:val="24"/>
                <w:szCs w:val="24"/>
              </w:rPr>
            </w:pPr>
            <w:r w:rsidRPr="00E639A0">
              <w:rPr>
                <w:rFonts w:cs="Arial"/>
                <w:sz w:val="24"/>
                <w:szCs w:val="24"/>
              </w:rPr>
              <w:t>This is a reasonable and well-informed assumption based on robust survey data.</w:t>
            </w:r>
          </w:p>
        </w:tc>
      </w:tr>
      <w:tr w:rsidR="004A6E7B" w:rsidRPr="00E639A0" w14:paraId="33D7A981" w14:textId="77777777" w:rsidTr="004461D6">
        <w:trPr>
          <w:trHeight w:val="261"/>
        </w:trPr>
        <w:tc>
          <w:tcPr>
            <w:tcW w:w="2260" w:type="dxa"/>
            <w:tcBorders>
              <w:top w:val="single" w:sz="6" w:space="0" w:color="365F91"/>
              <w:left w:val="single" w:sz="6" w:space="0" w:color="365F91"/>
              <w:bottom w:val="single" w:sz="6" w:space="0" w:color="365F91"/>
              <w:right w:val="single" w:sz="6" w:space="0" w:color="365F91"/>
            </w:tcBorders>
            <w:shd w:val="clear" w:color="auto" w:fill="auto"/>
          </w:tcPr>
          <w:p w14:paraId="67F16229" w14:textId="77777777" w:rsidR="004A6E7B" w:rsidRPr="00E639A0" w:rsidRDefault="004A6E7B">
            <w:pPr>
              <w:textAlignment w:val="baseline"/>
              <w:rPr>
                <w:rFonts w:cs="Arial"/>
                <w:color w:val="000000"/>
                <w:lang w:eastAsia="en-GB"/>
              </w:rPr>
            </w:pPr>
            <w:r w:rsidRPr="00E639A0">
              <w:rPr>
                <w:rFonts w:cs="Arial"/>
                <w:color w:val="000000"/>
                <w:lang w:eastAsia="en-GB"/>
              </w:rPr>
              <w:t>Redundancy rate</w:t>
            </w:r>
          </w:p>
        </w:tc>
        <w:tc>
          <w:tcPr>
            <w:tcW w:w="3518" w:type="dxa"/>
            <w:tcBorders>
              <w:top w:val="single" w:sz="6" w:space="0" w:color="365F91"/>
              <w:left w:val="single" w:sz="6" w:space="0" w:color="365F91"/>
              <w:bottom w:val="single" w:sz="6" w:space="0" w:color="365F91"/>
              <w:right w:val="single" w:sz="6" w:space="0" w:color="365F91"/>
            </w:tcBorders>
            <w:shd w:val="clear" w:color="auto" w:fill="auto"/>
          </w:tcPr>
          <w:p w14:paraId="324FA506" w14:textId="77777777" w:rsidR="004A6E7B" w:rsidRPr="00E639A0" w:rsidRDefault="004A6E7B">
            <w:pPr>
              <w:pStyle w:val="IAPOA5"/>
              <w:ind w:left="0"/>
              <w:rPr>
                <w:rFonts w:cs="Arial"/>
                <w:sz w:val="24"/>
                <w:szCs w:val="24"/>
              </w:rPr>
            </w:pPr>
            <w:r w:rsidRPr="00E639A0">
              <w:rPr>
                <w:rFonts w:cs="Arial"/>
                <w:sz w:val="24"/>
                <w:szCs w:val="24"/>
              </w:rPr>
              <w:t>We assume that the BIS/EHRC research from 14/15 remains an appropriate source of evidence on the proportion of pregnant women and mothers returning from maternity leave who are made redundant, and the percentage of women who are made involuntarily redundant.</w:t>
            </w:r>
          </w:p>
          <w:p w14:paraId="347AA0C3" w14:textId="77777777" w:rsidR="004A6E7B" w:rsidRPr="00E639A0" w:rsidRDefault="004A6E7B">
            <w:pPr>
              <w:pStyle w:val="IAPOA5"/>
              <w:ind w:left="0"/>
              <w:rPr>
                <w:rFonts w:cs="Arial"/>
                <w:sz w:val="24"/>
                <w:szCs w:val="24"/>
              </w:rPr>
            </w:pPr>
          </w:p>
          <w:p w14:paraId="5F761A8D" w14:textId="77777777" w:rsidR="004A6E7B" w:rsidRPr="00E639A0" w:rsidRDefault="004A6E7B">
            <w:pPr>
              <w:rPr>
                <w:rFonts w:cs="Arial"/>
              </w:rPr>
            </w:pPr>
            <w:r w:rsidRPr="00E639A0">
              <w:rPr>
                <w:rFonts w:cs="Arial"/>
              </w:rPr>
              <w:t>Of mothers who were employees/workers and took Maternity/Adoption Leave, 1 per cent reported being dismissed, and the same proportion reported being selected for redundancy because of the pregnancy.</w:t>
            </w:r>
          </w:p>
          <w:p w14:paraId="50E57886" w14:textId="77777777" w:rsidR="004A6E7B" w:rsidRPr="00E639A0" w:rsidRDefault="004A6E7B">
            <w:pPr>
              <w:pStyle w:val="IAPOA5"/>
              <w:ind w:left="0"/>
              <w:rPr>
                <w:rFonts w:cs="Arial"/>
                <w:sz w:val="24"/>
                <w:szCs w:val="24"/>
              </w:rPr>
            </w:pPr>
          </w:p>
        </w:tc>
        <w:tc>
          <w:tcPr>
            <w:tcW w:w="4411" w:type="dxa"/>
            <w:tcBorders>
              <w:top w:val="single" w:sz="6" w:space="0" w:color="365F91"/>
              <w:left w:val="single" w:sz="6" w:space="0" w:color="365F91"/>
              <w:bottom w:val="single" w:sz="6" w:space="0" w:color="365F91"/>
              <w:right w:val="single" w:sz="6" w:space="0" w:color="365F91"/>
            </w:tcBorders>
            <w:shd w:val="clear" w:color="auto" w:fill="auto"/>
          </w:tcPr>
          <w:p w14:paraId="0E4D9CB3" w14:textId="77777777" w:rsidR="004A6E7B" w:rsidRPr="00E639A0" w:rsidRDefault="004A6E7B">
            <w:pPr>
              <w:pStyle w:val="IAPOA5"/>
              <w:ind w:left="0"/>
              <w:rPr>
                <w:rFonts w:cs="Arial"/>
                <w:sz w:val="24"/>
                <w:szCs w:val="24"/>
              </w:rPr>
            </w:pPr>
            <w:r w:rsidRPr="00E639A0">
              <w:rPr>
                <w:rFonts w:cs="Arial"/>
                <w:sz w:val="24"/>
                <w:szCs w:val="24"/>
              </w:rPr>
              <w:t xml:space="preserve">There hasn’t been large scale research on pregnancy and maternity discrimination since 2014/15. More recent stakeholder evidence (collected as part of the consultation) supports the view that the general issue of discrimination/unfair treatment remains. </w:t>
            </w:r>
          </w:p>
          <w:p w14:paraId="528147B5" w14:textId="77777777" w:rsidR="004A6E7B" w:rsidRPr="00E639A0" w:rsidRDefault="004A6E7B">
            <w:pPr>
              <w:pStyle w:val="IAPOA5"/>
              <w:ind w:left="0"/>
              <w:rPr>
                <w:rFonts w:cs="Arial"/>
                <w:sz w:val="24"/>
                <w:szCs w:val="24"/>
              </w:rPr>
            </w:pPr>
          </w:p>
          <w:p w14:paraId="44A8CBF0" w14:textId="77777777" w:rsidR="004A6E7B" w:rsidRPr="00E639A0" w:rsidRDefault="004A6E7B">
            <w:pPr>
              <w:pStyle w:val="IAPOA5"/>
              <w:ind w:left="0"/>
              <w:rPr>
                <w:rFonts w:cs="Arial"/>
                <w:sz w:val="24"/>
                <w:szCs w:val="24"/>
              </w:rPr>
            </w:pPr>
            <w:r w:rsidRPr="00E639A0">
              <w:rPr>
                <w:rFonts w:cs="Arial"/>
                <w:sz w:val="24"/>
                <w:szCs w:val="24"/>
              </w:rPr>
              <w:t>The Parental Rights Survey 2018/19 estimates 30 per cent mothers who took Maternity or Adoption Leave and were in work when their child was born/adopted reported that they had experienced at least one form of unfair treatment during pregnancy, parental leave or on their return to work.</w:t>
            </w:r>
          </w:p>
          <w:p w14:paraId="1AA48038" w14:textId="77777777" w:rsidR="004A6E7B" w:rsidRPr="00E639A0" w:rsidRDefault="004A6E7B">
            <w:pPr>
              <w:pStyle w:val="IAPOA5"/>
              <w:ind w:left="0"/>
              <w:rPr>
                <w:rFonts w:cs="Arial"/>
                <w:sz w:val="24"/>
                <w:szCs w:val="24"/>
              </w:rPr>
            </w:pPr>
          </w:p>
        </w:tc>
      </w:tr>
      <w:tr w:rsidR="004A6E7B" w:rsidRPr="00E639A0" w14:paraId="5EB9D23A" w14:textId="77777777" w:rsidTr="004461D6">
        <w:trPr>
          <w:trHeight w:val="261"/>
        </w:trPr>
        <w:tc>
          <w:tcPr>
            <w:tcW w:w="2260" w:type="dxa"/>
            <w:tcBorders>
              <w:top w:val="single" w:sz="6" w:space="0" w:color="365F91"/>
              <w:left w:val="single" w:sz="6" w:space="0" w:color="365F91"/>
              <w:bottom w:val="single" w:sz="6" w:space="0" w:color="365F91"/>
              <w:right w:val="single" w:sz="6" w:space="0" w:color="365F91"/>
            </w:tcBorders>
            <w:shd w:val="clear" w:color="auto" w:fill="auto"/>
          </w:tcPr>
          <w:p w14:paraId="738E8670" w14:textId="77777777" w:rsidR="004A6E7B" w:rsidRPr="00E639A0" w:rsidRDefault="004A6E7B">
            <w:pPr>
              <w:textAlignment w:val="baseline"/>
              <w:rPr>
                <w:rFonts w:cs="Arial"/>
                <w:color w:val="000000"/>
                <w:lang w:eastAsia="en-GB"/>
              </w:rPr>
            </w:pPr>
            <w:r w:rsidRPr="00E639A0">
              <w:rPr>
                <w:rFonts w:cs="Arial"/>
                <w:color w:val="000000"/>
                <w:lang w:eastAsia="en-GB"/>
              </w:rPr>
              <w:t>Relative value of employees</w:t>
            </w:r>
          </w:p>
        </w:tc>
        <w:tc>
          <w:tcPr>
            <w:tcW w:w="3518" w:type="dxa"/>
            <w:tcBorders>
              <w:top w:val="single" w:sz="6" w:space="0" w:color="365F91"/>
              <w:left w:val="single" w:sz="6" w:space="0" w:color="365F91"/>
              <w:bottom w:val="single" w:sz="6" w:space="0" w:color="365F91"/>
              <w:right w:val="single" w:sz="6" w:space="0" w:color="365F91"/>
            </w:tcBorders>
            <w:shd w:val="clear" w:color="auto" w:fill="auto"/>
          </w:tcPr>
          <w:p w14:paraId="3DC868F4" w14:textId="77777777" w:rsidR="004A6E7B" w:rsidRPr="00E639A0" w:rsidRDefault="004A6E7B">
            <w:pPr>
              <w:pStyle w:val="IAPOA5"/>
              <w:ind w:left="0"/>
              <w:rPr>
                <w:rFonts w:cs="Arial"/>
                <w:bCs/>
                <w:sz w:val="24"/>
                <w:szCs w:val="24"/>
              </w:rPr>
            </w:pPr>
            <w:r w:rsidRPr="00E639A0">
              <w:rPr>
                <w:rFonts w:cs="Arial"/>
                <w:bCs/>
                <w:sz w:val="24"/>
                <w:szCs w:val="24"/>
              </w:rPr>
              <w:t>We make the implicit assumption that the productivity, redundancy costs and overall value of a parent compared to the member of staff to be made redundant instead are broadly equal (as perceived at least by the employer).</w:t>
            </w:r>
          </w:p>
          <w:p w14:paraId="4C6F32A1" w14:textId="77777777" w:rsidR="004A6E7B" w:rsidRPr="00E639A0" w:rsidRDefault="004A6E7B">
            <w:pPr>
              <w:pStyle w:val="IAPOA5"/>
              <w:ind w:left="0"/>
              <w:rPr>
                <w:rFonts w:cs="Arial"/>
                <w:sz w:val="24"/>
                <w:szCs w:val="24"/>
              </w:rPr>
            </w:pPr>
          </w:p>
        </w:tc>
        <w:tc>
          <w:tcPr>
            <w:tcW w:w="4411" w:type="dxa"/>
            <w:tcBorders>
              <w:top w:val="single" w:sz="6" w:space="0" w:color="365F91"/>
              <w:left w:val="single" w:sz="6" w:space="0" w:color="365F91"/>
              <w:bottom w:val="single" w:sz="6" w:space="0" w:color="365F91"/>
              <w:right w:val="single" w:sz="6" w:space="0" w:color="365F91"/>
            </w:tcBorders>
            <w:shd w:val="clear" w:color="auto" w:fill="auto"/>
          </w:tcPr>
          <w:p w14:paraId="632005AE" w14:textId="77777777" w:rsidR="004A6E7B" w:rsidRPr="00E639A0" w:rsidRDefault="004A6E7B">
            <w:pPr>
              <w:pStyle w:val="IAPOA5"/>
              <w:ind w:left="0"/>
              <w:rPr>
                <w:rFonts w:cs="Arial"/>
                <w:sz w:val="24"/>
                <w:szCs w:val="24"/>
              </w:rPr>
            </w:pPr>
            <w:r w:rsidRPr="00E639A0">
              <w:rPr>
                <w:rFonts w:cs="Arial"/>
                <w:sz w:val="24"/>
                <w:szCs w:val="24"/>
              </w:rPr>
              <w:t xml:space="preserve">Given the scenario where an employer wants to make a parent redundant and is forced to select another employee - the costs could be seen as higher than benefits (i.e. business are rational). For simplicity, we have not included this impact, as most of these costs could be offset where redundancy decisions are marginal.  </w:t>
            </w:r>
          </w:p>
          <w:p w14:paraId="60F62A18" w14:textId="1F177CEB" w:rsidR="00665126" w:rsidRPr="00E639A0" w:rsidRDefault="00665126">
            <w:pPr>
              <w:pStyle w:val="IAPOA5"/>
              <w:ind w:left="0"/>
              <w:rPr>
                <w:rFonts w:cs="Arial"/>
                <w:sz w:val="24"/>
                <w:szCs w:val="24"/>
              </w:rPr>
            </w:pPr>
          </w:p>
        </w:tc>
      </w:tr>
      <w:tr w:rsidR="004A6E7B" w:rsidRPr="00E639A0" w14:paraId="2FC36691" w14:textId="77777777" w:rsidTr="004461D6">
        <w:trPr>
          <w:trHeight w:val="280"/>
        </w:trPr>
        <w:tc>
          <w:tcPr>
            <w:tcW w:w="2260" w:type="dxa"/>
            <w:tcBorders>
              <w:top w:val="single" w:sz="6" w:space="0" w:color="365F91"/>
              <w:left w:val="single" w:sz="6" w:space="0" w:color="365F91"/>
              <w:bottom w:val="single" w:sz="6" w:space="0" w:color="365F91"/>
              <w:right w:val="single" w:sz="6" w:space="0" w:color="365F91"/>
            </w:tcBorders>
            <w:shd w:val="clear" w:color="auto" w:fill="auto"/>
          </w:tcPr>
          <w:p w14:paraId="19C2F069" w14:textId="77777777" w:rsidR="004A6E7B" w:rsidRPr="00E639A0" w:rsidRDefault="004A6E7B">
            <w:pPr>
              <w:textAlignment w:val="baseline"/>
              <w:rPr>
                <w:rFonts w:cs="Arial"/>
                <w:color w:val="000000"/>
                <w:lang w:eastAsia="en-GB"/>
              </w:rPr>
            </w:pPr>
            <w:r w:rsidRPr="00E639A0">
              <w:rPr>
                <w:rFonts w:cs="Arial"/>
                <w:color w:val="000000"/>
                <w:lang w:eastAsia="en-GB"/>
              </w:rPr>
              <w:t>Percentage of firms offering alternative positions at lower levels</w:t>
            </w:r>
          </w:p>
        </w:tc>
        <w:tc>
          <w:tcPr>
            <w:tcW w:w="3518" w:type="dxa"/>
            <w:tcBorders>
              <w:top w:val="single" w:sz="6" w:space="0" w:color="365F91"/>
              <w:left w:val="single" w:sz="6" w:space="0" w:color="365F91"/>
              <w:bottom w:val="single" w:sz="6" w:space="0" w:color="365F91"/>
              <w:right w:val="single" w:sz="6" w:space="0" w:color="365F91"/>
            </w:tcBorders>
            <w:shd w:val="clear" w:color="auto" w:fill="auto"/>
          </w:tcPr>
          <w:p w14:paraId="668DB0DA" w14:textId="77777777" w:rsidR="004A6E7B" w:rsidRPr="00E639A0" w:rsidRDefault="004A6E7B">
            <w:pPr>
              <w:pStyle w:val="IAPOA5"/>
              <w:ind w:left="0"/>
              <w:rPr>
                <w:rFonts w:cs="Arial"/>
                <w:sz w:val="24"/>
                <w:szCs w:val="24"/>
              </w:rPr>
            </w:pPr>
            <w:r w:rsidRPr="00E639A0">
              <w:rPr>
                <w:rFonts w:cs="Arial"/>
                <w:sz w:val="24"/>
                <w:szCs w:val="24"/>
              </w:rPr>
              <w:t xml:space="preserve">Assume that the percentage of businesses offering alternative positions at a lower level (73%) remains the same as estimated in the 2014/15 research. </w:t>
            </w:r>
          </w:p>
        </w:tc>
        <w:tc>
          <w:tcPr>
            <w:tcW w:w="4411" w:type="dxa"/>
            <w:tcBorders>
              <w:top w:val="single" w:sz="6" w:space="0" w:color="365F91"/>
              <w:left w:val="single" w:sz="6" w:space="0" w:color="365F91"/>
              <w:bottom w:val="single" w:sz="6" w:space="0" w:color="365F91"/>
              <w:right w:val="single" w:sz="6" w:space="0" w:color="365F91"/>
            </w:tcBorders>
            <w:shd w:val="clear" w:color="auto" w:fill="auto"/>
          </w:tcPr>
          <w:p w14:paraId="73F5226E" w14:textId="1B596008" w:rsidR="004A6E7B" w:rsidRPr="00E639A0" w:rsidRDefault="004A6E7B">
            <w:pPr>
              <w:pStyle w:val="IAPOA5"/>
              <w:ind w:left="0"/>
              <w:rPr>
                <w:rFonts w:cs="Arial"/>
                <w:sz w:val="24"/>
                <w:szCs w:val="24"/>
              </w:rPr>
            </w:pPr>
            <w:r w:rsidRPr="00E639A0">
              <w:rPr>
                <w:rFonts w:cs="Arial"/>
                <w:sz w:val="24"/>
                <w:szCs w:val="24"/>
              </w:rPr>
              <w:t xml:space="preserve">Under MAPLE, it is already unlawful to fail to offer a suitable alternative </w:t>
            </w:r>
            <w:r w:rsidR="004461D6" w:rsidRPr="00E639A0">
              <w:rPr>
                <w:rFonts w:cs="Arial"/>
                <w:sz w:val="24"/>
                <w:szCs w:val="24"/>
              </w:rPr>
              <w:t>vacancy. There</w:t>
            </w:r>
            <w:r w:rsidRPr="00E639A0">
              <w:rPr>
                <w:rFonts w:cs="Arial"/>
                <w:sz w:val="24"/>
                <w:szCs w:val="24"/>
              </w:rPr>
              <w:t xml:space="preserve"> is little evidence available of how improved advice and guidance may have improved employer behaviour since the previous research so the 73% assumption remains the best available evidence and can be viewed as capturing the upper range of costs.</w:t>
            </w:r>
          </w:p>
          <w:p w14:paraId="64C68AB0" w14:textId="1AE23AC4" w:rsidR="00665126" w:rsidRPr="00E639A0" w:rsidRDefault="00665126">
            <w:pPr>
              <w:pStyle w:val="IAPOA5"/>
              <w:ind w:left="0"/>
              <w:rPr>
                <w:rFonts w:cs="Arial"/>
                <w:sz w:val="24"/>
                <w:szCs w:val="24"/>
              </w:rPr>
            </w:pPr>
          </w:p>
        </w:tc>
      </w:tr>
      <w:tr w:rsidR="004A6E7B" w:rsidRPr="00E639A0" w14:paraId="1CAEFC87" w14:textId="77777777" w:rsidTr="004461D6">
        <w:trPr>
          <w:trHeight w:val="274"/>
        </w:trPr>
        <w:tc>
          <w:tcPr>
            <w:tcW w:w="2260" w:type="dxa"/>
            <w:tcBorders>
              <w:top w:val="single" w:sz="6" w:space="0" w:color="365F91"/>
              <w:left w:val="single" w:sz="6" w:space="0" w:color="365F91"/>
              <w:bottom w:val="single" w:sz="6" w:space="0" w:color="365F91"/>
              <w:right w:val="single" w:sz="6" w:space="0" w:color="365F91"/>
            </w:tcBorders>
            <w:shd w:val="clear" w:color="auto" w:fill="auto"/>
          </w:tcPr>
          <w:p w14:paraId="7642A057" w14:textId="77777777" w:rsidR="004A6E7B" w:rsidRPr="00E639A0" w:rsidRDefault="004A6E7B">
            <w:pPr>
              <w:textAlignment w:val="baseline"/>
              <w:rPr>
                <w:rFonts w:cs="Arial"/>
                <w:color w:val="000000"/>
                <w:lang w:eastAsia="en-GB"/>
              </w:rPr>
            </w:pPr>
            <w:r w:rsidRPr="00E639A0">
              <w:rPr>
                <w:rFonts w:cs="Arial"/>
                <w:color w:val="000000"/>
                <w:lang w:eastAsia="en-GB"/>
              </w:rPr>
              <w:t>Admin costs for a redundancy decision</w:t>
            </w:r>
          </w:p>
        </w:tc>
        <w:tc>
          <w:tcPr>
            <w:tcW w:w="3518" w:type="dxa"/>
            <w:tcBorders>
              <w:top w:val="single" w:sz="6" w:space="0" w:color="365F91"/>
              <w:left w:val="single" w:sz="6" w:space="0" w:color="365F91"/>
              <w:bottom w:val="single" w:sz="6" w:space="0" w:color="365F91"/>
              <w:right w:val="single" w:sz="6" w:space="0" w:color="365F91"/>
            </w:tcBorders>
            <w:shd w:val="clear" w:color="auto" w:fill="auto"/>
          </w:tcPr>
          <w:p w14:paraId="750E175F" w14:textId="77777777" w:rsidR="004A6E7B" w:rsidRPr="00E639A0" w:rsidRDefault="004A6E7B">
            <w:pPr>
              <w:pStyle w:val="IAPOA5"/>
              <w:ind w:left="0"/>
              <w:rPr>
                <w:rFonts w:cs="Arial"/>
                <w:sz w:val="24"/>
                <w:szCs w:val="24"/>
              </w:rPr>
            </w:pPr>
            <w:r w:rsidRPr="00E639A0">
              <w:rPr>
                <w:rFonts w:cs="Arial"/>
                <w:sz w:val="24"/>
                <w:szCs w:val="24"/>
              </w:rPr>
              <w:t xml:space="preserve">Assume no new costs. The administrative costs from collecting evidence for a redundancy decision already occur in the counterfactual scenario. </w:t>
            </w:r>
          </w:p>
          <w:p w14:paraId="38A39BC3" w14:textId="77777777" w:rsidR="004A6E7B" w:rsidRPr="00E639A0" w:rsidRDefault="004A6E7B">
            <w:pPr>
              <w:pStyle w:val="ListParagraph"/>
              <w:rPr>
                <w:rFonts w:cs="Arial"/>
                <w:lang w:eastAsia="zh-CN"/>
              </w:rPr>
            </w:pPr>
          </w:p>
        </w:tc>
        <w:tc>
          <w:tcPr>
            <w:tcW w:w="4411" w:type="dxa"/>
            <w:tcBorders>
              <w:top w:val="single" w:sz="6" w:space="0" w:color="365F91"/>
              <w:left w:val="single" w:sz="6" w:space="0" w:color="365F91"/>
              <w:bottom w:val="single" w:sz="6" w:space="0" w:color="365F91"/>
              <w:right w:val="single" w:sz="6" w:space="0" w:color="365F91"/>
            </w:tcBorders>
            <w:shd w:val="clear" w:color="auto" w:fill="auto"/>
          </w:tcPr>
          <w:p w14:paraId="779B523E" w14:textId="77777777" w:rsidR="004A6E7B" w:rsidRPr="00E639A0" w:rsidRDefault="004A6E7B">
            <w:pPr>
              <w:pStyle w:val="IAPOA5"/>
              <w:ind w:left="0"/>
              <w:rPr>
                <w:rFonts w:cs="Arial"/>
                <w:sz w:val="24"/>
                <w:szCs w:val="24"/>
              </w:rPr>
            </w:pPr>
            <w:r w:rsidRPr="00E639A0">
              <w:rPr>
                <w:rFonts w:cs="Arial"/>
                <w:sz w:val="24"/>
                <w:szCs w:val="24"/>
              </w:rPr>
              <w:t>Reasonable assumption given the regulatory change will extend existing protection.</w:t>
            </w:r>
          </w:p>
        </w:tc>
      </w:tr>
      <w:tr w:rsidR="004A6E7B" w:rsidRPr="00E639A0" w14:paraId="0A30742C" w14:textId="77777777" w:rsidTr="004461D6">
        <w:trPr>
          <w:trHeight w:val="274"/>
        </w:trPr>
        <w:tc>
          <w:tcPr>
            <w:tcW w:w="2260" w:type="dxa"/>
            <w:tcBorders>
              <w:top w:val="single" w:sz="6" w:space="0" w:color="365F91"/>
              <w:left w:val="single" w:sz="6" w:space="0" w:color="365F91"/>
              <w:bottom w:val="single" w:sz="6" w:space="0" w:color="365F91"/>
              <w:right w:val="single" w:sz="6" w:space="0" w:color="365F91"/>
            </w:tcBorders>
            <w:shd w:val="clear" w:color="auto" w:fill="auto"/>
          </w:tcPr>
          <w:p w14:paraId="783781A3" w14:textId="7955B09E" w:rsidR="004A6E7B" w:rsidRPr="00E639A0" w:rsidRDefault="004461D6">
            <w:pPr>
              <w:textAlignment w:val="baseline"/>
              <w:rPr>
                <w:rFonts w:cs="Arial"/>
                <w:color w:val="000000"/>
                <w:lang w:eastAsia="en-GB"/>
              </w:rPr>
            </w:pPr>
            <w:r w:rsidRPr="00E639A0">
              <w:rPr>
                <w:rFonts w:cs="Arial"/>
                <w:lang w:eastAsia="en-GB"/>
              </w:rPr>
              <w:t>Substitution</w:t>
            </w:r>
            <w:r w:rsidR="004A6E7B" w:rsidRPr="00E639A0">
              <w:rPr>
                <w:rFonts w:cs="Arial"/>
                <w:lang w:eastAsia="en-GB"/>
              </w:rPr>
              <w:t xml:space="preserve"> </w:t>
            </w:r>
            <w:r w:rsidR="004A6E7B" w:rsidRPr="00E639A0">
              <w:rPr>
                <w:rFonts w:cs="Arial"/>
                <w:color w:val="000000"/>
                <w:lang w:eastAsia="en-GB"/>
              </w:rPr>
              <w:t>scenario</w:t>
            </w:r>
            <w:r w:rsidR="0050701D" w:rsidRPr="00E639A0">
              <w:rPr>
                <w:rFonts w:cs="Arial"/>
                <w:color w:val="000000"/>
                <w:lang w:eastAsia="en-GB"/>
              </w:rPr>
              <w:t xml:space="preserve"> (Annex 1</w:t>
            </w:r>
            <w:r w:rsidR="002D523B" w:rsidRPr="00E639A0">
              <w:rPr>
                <w:rFonts w:cs="Arial"/>
                <w:color w:val="000000"/>
                <w:lang w:eastAsia="en-GB"/>
              </w:rPr>
              <w:t>, 2</w:t>
            </w:r>
            <w:r w:rsidR="0050701D" w:rsidRPr="00E639A0">
              <w:rPr>
                <w:rFonts w:cs="Arial"/>
                <w:color w:val="000000"/>
                <w:lang w:eastAsia="en-GB"/>
              </w:rPr>
              <w:t>)</w:t>
            </w:r>
          </w:p>
        </w:tc>
        <w:tc>
          <w:tcPr>
            <w:tcW w:w="3518" w:type="dxa"/>
            <w:tcBorders>
              <w:top w:val="single" w:sz="6" w:space="0" w:color="365F91"/>
              <w:left w:val="single" w:sz="6" w:space="0" w:color="365F91"/>
              <w:bottom w:val="single" w:sz="6" w:space="0" w:color="365F91"/>
              <w:right w:val="single" w:sz="6" w:space="0" w:color="365F91"/>
            </w:tcBorders>
            <w:shd w:val="clear" w:color="auto" w:fill="auto"/>
          </w:tcPr>
          <w:p w14:paraId="04754507" w14:textId="77777777" w:rsidR="004A6E7B" w:rsidRPr="00E639A0" w:rsidRDefault="004A6E7B">
            <w:pPr>
              <w:pStyle w:val="IAPOA5"/>
              <w:ind w:left="0"/>
              <w:rPr>
                <w:rFonts w:cs="Arial"/>
                <w:sz w:val="24"/>
                <w:szCs w:val="24"/>
              </w:rPr>
            </w:pPr>
            <w:r w:rsidRPr="00E639A0">
              <w:rPr>
                <w:rFonts w:cs="Arial"/>
                <w:sz w:val="24"/>
                <w:szCs w:val="24"/>
              </w:rPr>
              <w:t>Assumes the protected individual has comparable value and skills to the other employee. This assumption will not hold for all firms.</w:t>
            </w:r>
          </w:p>
        </w:tc>
        <w:tc>
          <w:tcPr>
            <w:tcW w:w="4411" w:type="dxa"/>
            <w:tcBorders>
              <w:top w:val="single" w:sz="6" w:space="0" w:color="365F91"/>
              <w:left w:val="single" w:sz="6" w:space="0" w:color="365F91"/>
              <w:bottom w:val="single" w:sz="6" w:space="0" w:color="365F91"/>
              <w:right w:val="single" w:sz="6" w:space="0" w:color="365F91"/>
            </w:tcBorders>
            <w:shd w:val="clear" w:color="auto" w:fill="auto"/>
          </w:tcPr>
          <w:p w14:paraId="21E5C5EE" w14:textId="77777777" w:rsidR="004A6E7B" w:rsidRPr="00E639A0" w:rsidRDefault="004A6E7B">
            <w:pPr>
              <w:pStyle w:val="IAPOA5"/>
              <w:ind w:left="0"/>
              <w:rPr>
                <w:rFonts w:cs="Arial"/>
                <w:sz w:val="24"/>
                <w:szCs w:val="24"/>
              </w:rPr>
            </w:pPr>
            <w:r w:rsidRPr="00E639A0">
              <w:rPr>
                <w:rFonts w:cs="Arial"/>
                <w:sz w:val="24"/>
                <w:szCs w:val="24"/>
              </w:rPr>
              <w:t>This assumption is more likely to hold in larger employers, as they have a bigger pool of candidates to select from. In these instances, the employer will be incentivised to find someone similarly skilled to the protected individual in order to minimise costs to the business.</w:t>
            </w:r>
          </w:p>
          <w:p w14:paraId="06E711A2" w14:textId="77777777" w:rsidR="004A6E7B" w:rsidRPr="00E639A0" w:rsidRDefault="004A6E7B">
            <w:pPr>
              <w:pStyle w:val="IAPOA5"/>
              <w:rPr>
                <w:rFonts w:cs="Arial"/>
                <w:sz w:val="24"/>
                <w:szCs w:val="24"/>
              </w:rPr>
            </w:pPr>
          </w:p>
          <w:p w14:paraId="699C22FB" w14:textId="77777777" w:rsidR="004A6E7B" w:rsidRPr="00E639A0" w:rsidRDefault="004A6E7B">
            <w:pPr>
              <w:pStyle w:val="IAPOA5"/>
              <w:ind w:left="0"/>
              <w:rPr>
                <w:rFonts w:cs="Arial"/>
                <w:sz w:val="24"/>
                <w:szCs w:val="24"/>
              </w:rPr>
            </w:pPr>
            <w:r w:rsidRPr="00E639A0">
              <w:rPr>
                <w:rFonts w:cs="Arial"/>
                <w:sz w:val="24"/>
                <w:szCs w:val="24"/>
              </w:rPr>
              <w:t>Firms under scenario 1 make redundancies due to short term pressures, and so would make another individual redundant. We estimate the proportion of these businesses by defining short-term reasons as: lack of demand for products/services, improved competitiveness/efficiency/cost reduction, and reductions in budget/cash limits based on 2011 and 2004 Workplace Employee Relations data, which shows 55% and 44% of firms cite short-term redundancy reasons.</w:t>
            </w:r>
          </w:p>
          <w:p w14:paraId="25F6DAB1" w14:textId="77777777" w:rsidR="004A6E7B" w:rsidRPr="00E639A0" w:rsidRDefault="004A6E7B">
            <w:pPr>
              <w:pStyle w:val="IAPOA5"/>
              <w:rPr>
                <w:rFonts w:cs="Arial"/>
                <w:sz w:val="24"/>
                <w:szCs w:val="24"/>
              </w:rPr>
            </w:pPr>
          </w:p>
        </w:tc>
      </w:tr>
      <w:tr w:rsidR="004A6E7B" w:rsidRPr="00E639A0" w14:paraId="4127EC7D" w14:textId="77777777" w:rsidTr="004461D6">
        <w:trPr>
          <w:trHeight w:val="274"/>
        </w:trPr>
        <w:tc>
          <w:tcPr>
            <w:tcW w:w="2260" w:type="dxa"/>
            <w:tcBorders>
              <w:top w:val="single" w:sz="6" w:space="0" w:color="365F91"/>
              <w:left w:val="single" w:sz="6" w:space="0" w:color="365F91"/>
              <w:bottom w:val="single" w:sz="6" w:space="0" w:color="365F91"/>
              <w:right w:val="single" w:sz="6" w:space="0" w:color="365F91"/>
            </w:tcBorders>
            <w:shd w:val="clear" w:color="auto" w:fill="auto"/>
          </w:tcPr>
          <w:p w14:paraId="7FE5747A" w14:textId="6EED6418" w:rsidR="004A6E7B" w:rsidRPr="00E639A0" w:rsidRDefault="004A6E7B">
            <w:pPr>
              <w:textAlignment w:val="baseline"/>
              <w:rPr>
                <w:rFonts w:cs="Arial"/>
                <w:color w:val="000000"/>
                <w:lang w:eastAsia="en-GB"/>
              </w:rPr>
            </w:pPr>
            <w:r w:rsidRPr="00E639A0">
              <w:rPr>
                <w:rFonts w:cs="Arial"/>
                <w:color w:val="000000"/>
                <w:lang w:eastAsia="en-GB"/>
              </w:rPr>
              <w:t>Cost-offset scenario</w:t>
            </w:r>
            <w:r w:rsidR="0050701D" w:rsidRPr="00E639A0">
              <w:rPr>
                <w:rFonts w:cs="Arial"/>
                <w:color w:val="000000"/>
                <w:lang w:eastAsia="en-GB"/>
              </w:rPr>
              <w:t xml:space="preserve"> (</w:t>
            </w:r>
            <w:r w:rsidR="002D523B" w:rsidRPr="00E639A0">
              <w:rPr>
                <w:rFonts w:cs="Arial"/>
                <w:color w:val="000000"/>
                <w:lang w:eastAsia="en-GB"/>
              </w:rPr>
              <w:t>Annex 1,2)</w:t>
            </w:r>
          </w:p>
        </w:tc>
        <w:tc>
          <w:tcPr>
            <w:tcW w:w="3518" w:type="dxa"/>
            <w:tcBorders>
              <w:top w:val="single" w:sz="6" w:space="0" w:color="365F91"/>
              <w:left w:val="single" w:sz="6" w:space="0" w:color="365F91"/>
              <w:bottom w:val="single" w:sz="6" w:space="0" w:color="365F91"/>
              <w:right w:val="single" w:sz="6" w:space="0" w:color="365F91"/>
            </w:tcBorders>
            <w:shd w:val="clear" w:color="auto" w:fill="auto"/>
          </w:tcPr>
          <w:p w14:paraId="20B26AE0" w14:textId="77777777" w:rsidR="004A6E7B" w:rsidRPr="00E639A0" w:rsidRDefault="004A6E7B">
            <w:pPr>
              <w:pStyle w:val="IAPOA5"/>
              <w:ind w:left="0"/>
              <w:rPr>
                <w:rFonts w:cs="Arial"/>
                <w:sz w:val="24"/>
                <w:szCs w:val="24"/>
              </w:rPr>
            </w:pPr>
            <w:r w:rsidRPr="00E639A0">
              <w:rPr>
                <w:rFonts w:cs="Arial"/>
                <w:sz w:val="24"/>
                <w:szCs w:val="24"/>
              </w:rPr>
              <w:t>Assumes that firms will not identify an alternative employee for redundancy.</w:t>
            </w:r>
          </w:p>
          <w:p w14:paraId="77BAE545" w14:textId="77777777" w:rsidR="004A6E7B" w:rsidRPr="00E639A0" w:rsidRDefault="004A6E7B">
            <w:pPr>
              <w:pStyle w:val="IAPOA5"/>
              <w:rPr>
                <w:rFonts w:cs="Arial"/>
                <w:sz w:val="24"/>
                <w:szCs w:val="24"/>
              </w:rPr>
            </w:pPr>
          </w:p>
          <w:p w14:paraId="57FA765C" w14:textId="77777777" w:rsidR="004A6E7B" w:rsidRPr="00E639A0" w:rsidRDefault="004A6E7B">
            <w:pPr>
              <w:pStyle w:val="IAPOA5"/>
              <w:ind w:left="0"/>
              <w:rPr>
                <w:rFonts w:cs="Arial"/>
                <w:sz w:val="24"/>
                <w:szCs w:val="24"/>
              </w:rPr>
            </w:pPr>
            <w:r w:rsidRPr="00E639A0">
              <w:rPr>
                <w:rFonts w:cs="Arial"/>
                <w:sz w:val="24"/>
                <w:szCs w:val="24"/>
              </w:rPr>
              <w:t>Given the WERS evidence above we assume 50% fall into this scenario.</w:t>
            </w:r>
          </w:p>
        </w:tc>
        <w:tc>
          <w:tcPr>
            <w:tcW w:w="4411" w:type="dxa"/>
            <w:tcBorders>
              <w:top w:val="single" w:sz="6" w:space="0" w:color="365F91"/>
              <w:left w:val="single" w:sz="6" w:space="0" w:color="365F91"/>
              <w:bottom w:val="single" w:sz="6" w:space="0" w:color="365F91"/>
              <w:right w:val="single" w:sz="6" w:space="0" w:color="365F91"/>
            </w:tcBorders>
            <w:shd w:val="clear" w:color="auto" w:fill="auto"/>
          </w:tcPr>
          <w:p w14:paraId="3E9B8FA6" w14:textId="77777777" w:rsidR="004A6E7B" w:rsidRPr="00E639A0" w:rsidRDefault="004A6E7B">
            <w:pPr>
              <w:pStyle w:val="IAPOA5"/>
              <w:ind w:left="0"/>
              <w:rPr>
                <w:rFonts w:cs="Arial"/>
                <w:sz w:val="24"/>
                <w:szCs w:val="24"/>
              </w:rPr>
            </w:pPr>
            <w:r w:rsidRPr="00E639A0">
              <w:rPr>
                <w:rFonts w:cs="Arial"/>
                <w:sz w:val="24"/>
                <w:szCs w:val="24"/>
              </w:rPr>
              <w:t>Small employer will have less discretion in choosing alternative staff for redundancy, so fewer small firms are likely to fall under scenario 1. If there are significant differences in skills, the employer may respond by not making another individual redundant.</w:t>
            </w:r>
          </w:p>
          <w:p w14:paraId="70E2A02E" w14:textId="77777777" w:rsidR="004A6E7B" w:rsidRPr="00E639A0" w:rsidRDefault="004A6E7B">
            <w:pPr>
              <w:pStyle w:val="IAPOA5"/>
              <w:ind w:left="0"/>
              <w:rPr>
                <w:rFonts w:cs="Arial"/>
                <w:sz w:val="24"/>
                <w:szCs w:val="24"/>
              </w:rPr>
            </w:pPr>
          </w:p>
        </w:tc>
      </w:tr>
      <w:tr w:rsidR="004A6E7B" w:rsidRPr="00E639A0" w14:paraId="5FDB6153" w14:textId="77777777" w:rsidTr="004461D6">
        <w:trPr>
          <w:trHeight w:val="274"/>
        </w:trPr>
        <w:tc>
          <w:tcPr>
            <w:tcW w:w="2260" w:type="dxa"/>
            <w:tcBorders>
              <w:top w:val="single" w:sz="6" w:space="0" w:color="365F91"/>
              <w:left w:val="single" w:sz="6" w:space="0" w:color="365F91"/>
              <w:bottom w:val="single" w:sz="6" w:space="0" w:color="365F91"/>
              <w:right w:val="single" w:sz="6" w:space="0" w:color="365F91"/>
            </w:tcBorders>
            <w:shd w:val="clear" w:color="auto" w:fill="auto"/>
          </w:tcPr>
          <w:p w14:paraId="33A840EA" w14:textId="77777777" w:rsidR="004A6E7B" w:rsidRPr="00E639A0" w:rsidRDefault="004A6E7B">
            <w:pPr>
              <w:textAlignment w:val="baseline"/>
              <w:rPr>
                <w:rFonts w:cs="Arial"/>
                <w:color w:val="000000"/>
                <w:lang w:eastAsia="en-GB"/>
              </w:rPr>
            </w:pPr>
            <w:r w:rsidRPr="00E639A0">
              <w:rPr>
                <w:rFonts w:cs="Arial"/>
                <w:color w:val="000000"/>
                <w:lang w:eastAsia="en-GB"/>
              </w:rPr>
              <w:t>Parents returning from shared parental and adoption leave.</w:t>
            </w:r>
          </w:p>
        </w:tc>
        <w:tc>
          <w:tcPr>
            <w:tcW w:w="3518" w:type="dxa"/>
            <w:tcBorders>
              <w:top w:val="single" w:sz="6" w:space="0" w:color="365F91"/>
              <w:left w:val="single" w:sz="6" w:space="0" w:color="365F91"/>
              <w:bottom w:val="single" w:sz="6" w:space="0" w:color="365F91"/>
              <w:right w:val="single" w:sz="6" w:space="0" w:color="365F91"/>
            </w:tcBorders>
            <w:shd w:val="clear" w:color="auto" w:fill="auto"/>
          </w:tcPr>
          <w:p w14:paraId="58CF321D" w14:textId="77777777" w:rsidR="004A6E7B" w:rsidRPr="00E639A0" w:rsidRDefault="004A6E7B">
            <w:pPr>
              <w:pStyle w:val="IAPOA5"/>
              <w:ind w:left="0"/>
              <w:rPr>
                <w:rFonts w:cs="Arial"/>
                <w:sz w:val="24"/>
                <w:szCs w:val="24"/>
              </w:rPr>
            </w:pPr>
            <w:r w:rsidRPr="00E639A0">
              <w:rPr>
                <w:rFonts w:cs="Arial"/>
                <w:sz w:val="24"/>
                <w:szCs w:val="24"/>
              </w:rPr>
              <w:t>We assume that the proportion of SPL partners made redundant on return from SPL and Adoption Leave is the same (2%) as used for mothers.</w:t>
            </w:r>
          </w:p>
          <w:p w14:paraId="1FC26BF6" w14:textId="77777777" w:rsidR="004A6E7B" w:rsidRPr="00E639A0" w:rsidRDefault="004A6E7B">
            <w:pPr>
              <w:pStyle w:val="IAPOA5"/>
              <w:rPr>
                <w:rFonts w:cs="Arial"/>
                <w:sz w:val="24"/>
                <w:szCs w:val="24"/>
              </w:rPr>
            </w:pPr>
          </w:p>
          <w:p w14:paraId="00B485A7" w14:textId="77777777" w:rsidR="004A6E7B" w:rsidRPr="00E639A0" w:rsidRDefault="004A6E7B">
            <w:pPr>
              <w:pStyle w:val="IAPOA5"/>
              <w:ind w:left="0"/>
              <w:rPr>
                <w:rFonts w:cs="Arial"/>
                <w:sz w:val="24"/>
                <w:szCs w:val="24"/>
              </w:rPr>
            </w:pPr>
            <w:r w:rsidRPr="00E639A0">
              <w:rPr>
                <w:rFonts w:cs="Arial"/>
                <w:sz w:val="24"/>
                <w:szCs w:val="24"/>
              </w:rPr>
              <w:t>We also apply the same assumptions on the proportion of mothers made redundant on return from maternity leave and the proportion of mothers made redundant where no alternative/lower level position was offered to this group.</w:t>
            </w:r>
          </w:p>
          <w:p w14:paraId="2877FD82" w14:textId="77777777" w:rsidR="004A6E7B" w:rsidRPr="00E639A0" w:rsidRDefault="004A6E7B">
            <w:pPr>
              <w:pStyle w:val="IAPOA5"/>
              <w:rPr>
                <w:rFonts w:cs="Arial"/>
                <w:sz w:val="24"/>
                <w:szCs w:val="24"/>
              </w:rPr>
            </w:pPr>
          </w:p>
        </w:tc>
        <w:tc>
          <w:tcPr>
            <w:tcW w:w="4411" w:type="dxa"/>
            <w:tcBorders>
              <w:top w:val="single" w:sz="6" w:space="0" w:color="365F91"/>
              <w:left w:val="single" w:sz="6" w:space="0" w:color="365F91"/>
              <w:bottom w:val="single" w:sz="6" w:space="0" w:color="365F91"/>
              <w:right w:val="single" w:sz="6" w:space="0" w:color="365F91"/>
            </w:tcBorders>
            <w:shd w:val="clear" w:color="auto" w:fill="auto"/>
          </w:tcPr>
          <w:p w14:paraId="29C4B812" w14:textId="339D52A4" w:rsidR="004A6E7B" w:rsidRPr="00E639A0" w:rsidRDefault="004A6E7B">
            <w:pPr>
              <w:pStyle w:val="IAPOA5"/>
              <w:ind w:left="0"/>
              <w:rPr>
                <w:rFonts w:cs="Arial"/>
                <w:sz w:val="24"/>
                <w:szCs w:val="24"/>
              </w:rPr>
            </w:pPr>
            <w:r w:rsidRPr="00E639A0">
              <w:rPr>
                <w:rFonts w:cs="Arial"/>
                <w:sz w:val="24"/>
                <w:szCs w:val="24"/>
              </w:rPr>
              <w:t xml:space="preserve">Adoption Leave is essentially the same as Maternity Leave in terms of length and wage </w:t>
            </w:r>
            <w:r w:rsidR="004461D6" w:rsidRPr="00E639A0">
              <w:rPr>
                <w:rFonts w:cs="Arial"/>
                <w:sz w:val="24"/>
                <w:szCs w:val="24"/>
              </w:rPr>
              <w:t>replacement,</w:t>
            </w:r>
            <w:r w:rsidRPr="00E639A0">
              <w:rPr>
                <w:rFonts w:cs="Arial"/>
                <w:sz w:val="24"/>
                <w:szCs w:val="24"/>
              </w:rPr>
              <w:t xml:space="preserve"> so employers are likely to weigh the cost of Adoption Leave the same as Maternity Leave. Shared Parental Leave is often taken for shorter periods and as its relatively new employers may not view the cost implications as the same as Maternity/Adoption. Despite, this we have taken a maximalist approach to ensure the costs are not underestimated.</w:t>
            </w:r>
          </w:p>
          <w:p w14:paraId="1E4533A7" w14:textId="6C879DFC" w:rsidR="00665126" w:rsidRPr="00E639A0" w:rsidRDefault="00665126">
            <w:pPr>
              <w:pStyle w:val="IAPOA5"/>
              <w:ind w:left="0"/>
              <w:rPr>
                <w:rFonts w:cs="Arial"/>
                <w:sz w:val="24"/>
                <w:szCs w:val="24"/>
              </w:rPr>
            </w:pPr>
          </w:p>
        </w:tc>
      </w:tr>
      <w:tr w:rsidR="004A6E7B" w:rsidRPr="00E639A0" w14:paraId="306640B0" w14:textId="77777777" w:rsidTr="004461D6">
        <w:trPr>
          <w:trHeight w:val="274"/>
        </w:trPr>
        <w:tc>
          <w:tcPr>
            <w:tcW w:w="2260" w:type="dxa"/>
            <w:tcBorders>
              <w:top w:val="single" w:sz="6" w:space="0" w:color="365F91"/>
              <w:left w:val="single" w:sz="6" w:space="0" w:color="365F91"/>
              <w:bottom w:val="single" w:sz="6" w:space="0" w:color="365F91"/>
              <w:right w:val="single" w:sz="6" w:space="0" w:color="365F91"/>
            </w:tcBorders>
            <w:shd w:val="clear" w:color="auto" w:fill="auto"/>
          </w:tcPr>
          <w:p w14:paraId="7E319290" w14:textId="77777777" w:rsidR="004A6E7B" w:rsidRPr="00E639A0" w:rsidRDefault="004A6E7B">
            <w:pPr>
              <w:textAlignment w:val="baseline"/>
              <w:rPr>
                <w:rFonts w:cs="Arial"/>
                <w:color w:val="000000"/>
                <w:lang w:eastAsia="en-GB"/>
              </w:rPr>
            </w:pPr>
            <w:r w:rsidRPr="00E639A0">
              <w:rPr>
                <w:rFonts w:cs="Arial"/>
                <w:color w:val="000000"/>
                <w:lang w:eastAsia="en-GB"/>
              </w:rPr>
              <w:t>Adoption Leave take-up</w:t>
            </w:r>
          </w:p>
        </w:tc>
        <w:tc>
          <w:tcPr>
            <w:tcW w:w="3518" w:type="dxa"/>
            <w:tcBorders>
              <w:top w:val="single" w:sz="6" w:space="0" w:color="365F91"/>
              <w:left w:val="single" w:sz="6" w:space="0" w:color="365F91"/>
              <w:bottom w:val="single" w:sz="6" w:space="0" w:color="365F91"/>
              <w:right w:val="single" w:sz="6" w:space="0" w:color="365F91"/>
            </w:tcBorders>
            <w:shd w:val="clear" w:color="auto" w:fill="auto"/>
          </w:tcPr>
          <w:p w14:paraId="4ED0ABED" w14:textId="4F3D581F" w:rsidR="004A6E7B" w:rsidRPr="00E639A0" w:rsidRDefault="004A6E7B">
            <w:pPr>
              <w:pStyle w:val="IAPOA5"/>
              <w:ind w:left="0"/>
              <w:rPr>
                <w:rFonts w:cs="Arial"/>
                <w:sz w:val="24"/>
                <w:szCs w:val="24"/>
              </w:rPr>
            </w:pPr>
            <w:r w:rsidRPr="00E639A0">
              <w:rPr>
                <w:rFonts w:cs="Arial"/>
                <w:sz w:val="24"/>
                <w:szCs w:val="24"/>
              </w:rPr>
              <w:t>Cautiously assumed to be 100%</w:t>
            </w:r>
            <w:r w:rsidR="003C7D04" w:rsidRPr="00E639A0">
              <w:rPr>
                <w:rFonts w:cs="Arial"/>
                <w:sz w:val="24"/>
                <w:szCs w:val="24"/>
              </w:rPr>
              <w:t>.</w:t>
            </w:r>
          </w:p>
        </w:tc>
        <w:tc>
          <w:tcPr>
            <w:tcW w:w="4411" w:type="dxa"/>
            <w:tcBorders>
              <w:top w:val="single" w:sz="6" w:space="0" w:color="365F91"/>
              <w:left w:val="single" w:sz="6" w:space="0" w:color="365F91"/>
              <w:bottom w:val="single" w:sz="6" w:space="0" w:color="365F91"/>
              <w:right w:val="single" w:sz="6" w:space="0" w:color="365F91"/>
            </w:tcBorders>
            <w:shd w:val="clear" w:color="auto" w:fill="auto"/>
          </w:tcPr>
          <w:p w14:paraId="0BDBC5AD" w14:textId="77777777" w:rsidR="004A6E7B" w:rsidRPr="00E639A0" w:rsidRDefault="004A6E7B">
            <w:pPr>
              <w:pStyle w:val="IAPOA5"/>
              <w:ind w:left="0"/>
              <w:rPr>
                <w:rFonts w:cs="Arial"/>
                <w:sz w:val="24"/>
                <w:szCs w:val="24"/>
              </w:rPr>
            </w:pPr>
            <w:r w:rsidRPr="00E639A0">
              <w:rPr>
                <w:rFonts w:cs="Arial"/>
                <w:sz w:val="24"/>
                <w:szCs w:val="24"/>
              </w:rPr>
              <w:t>We have taken a maximalist approach to ensure the costs are not underestimated and survey evidence suggests the vast majority of mothers who are eligible take Maternity Leave (it is reasonable to assume this holds for Adoption Leave).</w:t>
            </w:r>
          </w:p>
          <w:p w14:paraId="366088A0" w14:textId="7AD65730" w:rsidR="00665126" w:rsidRPr="00E639A0" w:rsidRDefault="00665126">
            <w:pPr>
              <w:pStyle w:val="IAPOA5"/>
              <w:ind w:left="0"/>
              <w:rPr>
                <w:rFonts w:cs="Arial"/>
                <w:sz w:val="24"/>
                <w:szCs w:val="24"/>
              </w:rPr>
            </w:pPr>
          </w:p>
        </w:tc>
      </w:tr>
      <w:tr w:rsidR="004A6E7B" w:rsidRPr="00E639A0" w14:paraId="09E0A49A" w14:textId="77777777" w:rsidTr="004461D6">
        <w:trPr>
          <w:trHeight w:val="274"/>
        </w:trPr>
        <w:tc>
          <w:tcPr>
            <w:tcW w:w="2260" w:type="dxa"/>
            <w:tcBorders>
              <w:top w:val="single" w:sz="6" w:space="0" w:color="365F91"/>
              <w:left w:val="single" w:sz="6" w:space="0" w:color="365F91"/>
              <w:bottom w:val="single" w:sz="6" w:space="0" w:color="365F91"/>
              <w:right w:val="single" w:sz="6" w:space="0" w:color="365F91"/>
            </w:tcBorders>
            <w:shd w:val="clear" w:color="auto" w:fill="auto"/>
          </w:tcPr>
          <w:p w14:paraId="5DCC5C41" w14:textId="77777777" w:rsidR="004A6E7B" w:rsidRPr="00E639A0" w:rsidRDefault="004A6E7B">
            <w:pPr>
              <w:textAlignment w:val="baseline"/>
              <w:rPr>
                <w:rFonts w:cs="Arial"/>
                <w:color w:val="000000"/>
                <w:lang w:eastAsia="en-GB"/>
              </w:rPr>
            </w:pPr>
            <w:r w:rsidRPr="00E639A0">
              <w:rPr>
                <w:rFonts w:cs="Arial"/>
                <w:color w:val="000000"/>
                <w:lang w:eastAsia="en-GB"/>
              </w:rPr>
              <w:t>Shared Parental Leave eligibility/take-up</w:t>
            </w:r>
          </w:p>
        </w:tc>
        <w:tc>
          <w:tcPr>
            <w:tcW w:w="3518" w:type="dxa"/>
            <w:tcBorders>
              <w:top w:val="single" w:sz="6" w:space="0" w:color="365F91"/>
              <w:left w:val="single" w:sz="6" w:space="0" w:color="365F91"/>
              <w:bottom w:val="single" w:sz="6" w:space="0" w:color="365F91"/>
              <w:right w:val="single" w:sz="6" w:space="0" w:color="365F91"/>
            </w:tcBorders>
            <w:shd w:val="clear" w:color="auto" w:fill="auto"/>
          </w:tcPr>
          <w:p w14:paraId="3E4A958D" w14:textId="77777777" w:rsidR="004A6E7B" w:rsidRPr="00E639A0" w:rsidRDefault="004A6E7B">
            <w:pPr>
              <w:pStyle w:val="IAPOA5"/>
              <w:ind w:left="0"/>
              <w:rPr>
                <w:rFonts w:cs="Arial"/>
                <w:sz w:val="24"/>
                <w:szCs w:val="24"/>
              </w:rPr>
            </w:pPr>
            <w:r w:rsidRPr="00E639A0">
              <w:rPr>
                <w:rFonts w:cs="Arial"/>
                <w:sz w:val="24"/>
                <w:szCs w:val="24"/>
              </w:rPr>
              <w:t>This analysis assumes that the population eligible for SPL is 285,000 and the take-up is around 4%. This is based on analysis undertaken in the published SPL Impact Assessment and findings from surveys on take-up.</w:t>
            </w:r>
          </w:p>
          <w:p w14:paraId="03FC0BEC" w14:textId="093B2D6E" w:rsidR="00665126" w:rsidRPr="00E639A0" w:rsidRDefault="00665126">
            <w:pPr>
              <w:pStyle w:val="IAPOA5"/>
              <w:ind w:left="0"/>
              <w:rPr>
                <w:rFonts w:cs="Arial"/>
                <w:sz w:val="24"/>
                <w:szCs w:val="24"/>
              </w:rPr>
            </w:pPr>
          </w:p>
        </w:tc>
        <w:tc>
          <w:tcPr>
            <w:tcW w:w="4411" w:type="dxa"/>
            <w:tcBorders>
              <w:top w:val="single" w:sz="6" w:space="0" w:color="365F91"/>
              <w:left w:val="single" w:sz="6" w:space="0" w:color="365F91"/>
              <w:bottom w:val="single" w:sz="6" w:space="0" w:color="365F91"/>
              <w:right w:val="single" w:sz="6" w:space="0" w:color="365F91"/>
            </w:tcBorders>
            <w:shd w:val="clear" w:color="auto" w:fill="auto"/>
          </w:tcPr>
          <w:p w14:paraId="77621C32" w14:textId="77777777" w:rsidR="004A6E7B" w:rsidRPr="00E639A0" w:rsidRDefault="004A6E7B">
            <w:pPr>
              <w:pStyle w:val="IAPOA5"/>
              <w:ind w:left="0"/>
              <w:rPr>
                <w:rFonts w:cs="Arial"/>
                <w:sz w:val="24"/>
                <w:szCs w:val="24"/>
              </w:rPr>
            </w:pPr>
            <w:r w:rsidRPr="00E639A0">
              <w:rPr>
                <w:rFonts w:cs="Arial"/>
                <w:sz w:val="24"/>
                <w:szCs w:val="24"/>
              </w:rPr>
              <w:t>This is a reasonable and informed assumption. We will be publishing supporting evidence in due course.</w:t>
            </w:r>
          </w:p>
        </w:tc>
      </w:tr>
      <w:tr w:rsidR="004A6E7B" w:rsidRPr="00E639A0" w14:paraId="6843106E" w14:textId="77777777" w:rsidTr="004461D6">
        <w:trPr>
          <w:trHeight w:val="274"/>
        </w:trPr>
        <w:tc>
          <w:tcPr>
            <w:tcW w:w="2260" w:type="dxa"/>
            <w:tcBorders>
              <w:top w:val="single" w:sz="6" w:space="0" w:color="365F91"/>
              <w:left w:val="single" w:sz="6" w:space="0" w:color="365F91"/>
              <w:bottom w:val="single" w:sz="6" w:space="0" w:color="365F91"/>
              <w:right w:val="single" w:sz="6" w:space="0" w:color="365F91"/>
            </w:tcBorders>
            <w:shd w:val="clear" w:color="auto" w:fill="auto"/>
          </w:tcPr>
          <w:p w14:paraId="0A1753EF" w14:textId="77777777" w:rsidR="004A6E7B" w:rsidRPr="00E639A0" w:rsidRDefault="004A6E7B">
            <w:pPr>
              <w:textAlignment w:val="baseline"/>
              <w:rPr>
                <w:rFonts w:cs="Arial"/>
                <w:color w:val="000000"/>
                <w:lang w:eastAsia="en-GB"/>
              </w:rPr>
            </w:pPr>
            <w:r w:rsidRPr="00E639A0">
              <w:rPr>
                <w:rFonts w:cs="Arial"/>
                <w:color w:val="000000"/>
                <w:lang w:eastAsia="en-GB"/>
              </w:rPr>
              <w:t>Employment Rate</w:t>
            </w:r>
          </w:p>
        </w:tc>
        <w:tc>
          <w:tcPr>
            <w:tcW w:w="3518" w:type="dxa"/>
            <w:tcBorders>
              <w:top w:val="single" w:sz="6" w:space="0" w:color="365F91"/>
              <w:left w:val="single" w:sz="6" w:space="0" w:color="365F91"/>
              <w:bottom w:val="single" w:sz="6" w:space="0" w:color="365F91"/>
              <w:right w:val="single" w:sz="6" w:space="0" w:color="365F91"/>
            </w:tcBorders>
            <w:shd w:val="clear" w:color="auto" w:fill="auto"/>
          </w:tcPr>
          <w:p w14:paraId="3BFB9CD7" w14:textId="77777777" w:rsidR="004A6E7B" w:rsidRPr="00E639A0" w:rsidRDefault="004A6E7B">
            <w:pPr>
              <w:rPr>
                <w:rFonts w:cs="Arial"/>
              </w:rPr>
            </w:pPr>
            <w:r w:rsidRPr="00E639A0">
              <w:rPr>
                <w:rFonts w:cs="Arial"/>
              </w:rPr>
              <w:t>Assumption that the employment rate for females aged 46-49 is similar to that of females aged 35-45.</w:t>
            </w:r>
          </w:p>
        </w:tc>
        <w:tc>
          <w:tcPr>
            <w:tcW w:w="4411" w:type="dxa"/>
            <w:tcBorders>
              <w:top w:val="single" w:sz="6" w:space="0" w:color="365F91"/>
              <w:left w:val="single" w:sz="6" w:space="0" w:color="365F91"/>
              <w:bottom w:val="single" w:sz="6" w:space="0" w:color="365F91"/>
              <w:right w:val="single" w:sz="6" w:space="0" w:color="365F91"/>
            </w:tcBorders>
            <w:shd w:val="clear" w:color="auto" w:fill="auto"/>
          </w:tcPr>
          <w:p w14:paraId="3DB43946" w14:textId="77777777" w:rsidR="004A6E7B" w:rsidRPr="00E639A0" w:rsidRDefault="004A6E7B">
            <w:pPr>
              <w:pStyle w:val="IAPOA5"/>
              <w:ind w:left="0"/>
              <w:rPr>
                <w:rFonts w:cs="Arial"/>
                <w:sz w:val="24"/>
                <w:szCs w:val="24"/>
              </w:rPr>
            </w:pPr>
            <w:r w:rsidRPr="00E639A0">
              <w:rPr>
                <w:rFonts w:cs="Arial"/>
                <w:sz w:val="24"/>
                <w:szCs w:val="24"/>
              </w:rPr>
              <w:t>This assumption is reasonable as those aged 46-49 will not have reached the State Pension age (65 for women) yet, and published ONS 2022 data</w:t>
            </w:r>
            <w:r w:rsidRPr="00E639A0">
              <w:rPr>
                <w:rFonts w:cs="Arial"/>
                <w:sz w:val="24"/>
                <w:szCs w:val="24"/>
                <w:vertAlign w:val="superscript"/>
              </w:rPr>
              <w:footnoteReference w:id="65"/>
            </w:r>
            <w:r w:rsidRPr="00E639A0">
              <w:rPr>
                <w:rFonts w:cs="Arial"/>
                <w:sz w:val="24"/>
                <w:szCs w:val="24"/>
              </w:rPr>
              <w:t xml:space="preserve"> estimates the employment rate of women aged 25-54 was 80% in 2021, which is close to the rate for women aged 35-49</w:t>
            </w:r>
            <w:r w:rsidR="00665126" w:rsidRPr="00E639A0">
              <w:rPr>
                <w:rFonts w:cs="Arial"/>
                <w:sz w:val="24"/>
                <w:szCs w:val="24"/>
              </w:rPr>
              <w:t>.</w:t>
            </w:r>
          </w:p>
          <w:p w14:paraId="3EBCB39B" w14:textId="22C6BFAE" w:rsidR="00665126" w:rsidRPr="00E639A0" w:rsidRDefault="00665126">
            <w:pPr>
              <w:pStyle w:val="IAPOA5"/>
              <w:ind w:left="0"/>
              <w:rPr>
                <w:rFonts w:cs="Arial"/>
                <w:sz w:val="24"/>
                <w:szCs w:val="24"/>
              </w:rPr>
            </w:pPr>
          </w:p>
        </w:tc>
      </w:tr>
      <w:tr w:rsidR="004A6E7B" w:rsidRPr="00E639A0" w14:paraId="30AD7359" w14:textId="77777777" w:rsidTr="004461D6">
        <w:trPr>
          <w:trHeight w:val="274"/>
        </w:trPr>
        <w:tc>
          <w:tcPr>
            <w:tcW w:w="2260" w:type="dxa"/>
            <w:tcBorders>
              <w:top w:val="single" w:sz="6" w:space="0" w:color="365F91"/>
              <w:left w:val="single" w:sz="6" w:space="0" w:color="365F91"/>
              <w:bottom w:val="single" w:sz="6" w:space="0" w:color="365F91"/>
              <w:right w:val="single" w:sz="6" w:space="0" w:color="365F91"/>
            </w:tcBorders>
            <w:shd w:val="clear" w:color="auto" w:fill="auto"/>
          </w:tcPr>
          <w:p w14:paraId="6FDA44F8" w14:textId="77777777" w:rsidR="004A6E7B" w:rsidRPr="00E639A0" w:rsidRDefault="004A6E7B">
            <w:pPr>
              <w:textAlignment w:val="baseline"/>
              <w:rPr>
                <w:rFonts w:cs="Arial"/>
                <w:color w:val="000000"/>
                <w:lang w:eastAsia="en-GB"/>
              </w:rPr>
            </w:pPr>
            <w:r w:rsidRPr="00E639A0">
              <w:rPr>
                <w:rFonts w:cs="Arial"/>
                <w:color w:val="000000"/>
                <w:lang w:eastAsia="en-GB"/>
              </w:rPr>
              <w:t>Employment Tribunal costs</w:t>
            </w:r>
          </w:p>
        </w:tc>
        <w:tc>
          <w:tcPr>
            <w:tcW w:w="3518" w:type="dxa"/>
            <w:tcBorders>
              <w:top w:val="single" w:sz="6" w:space="0" w:color="365F91"/>
              <w:left w:val="single" w:sz="6" w:space="0" w:color="365F91"/>
              <w:bottom w:val="single" w:sz="6" w:space="0" w:color="365F91"/>
              <w:right w:val="single" w:sz="6" w:space="0" w:color="365F91"/>
            </w:tcBorders>
            <w:shd w:val="clear" w:color="auto" w:fill="auto"/>
          </w:tcPr>
          <w:p w14:paraId="2394C559" w14:textId="77777777" w:rsidR="004A6E7B" w:rsidRPr="00E639A0" w:rsidRDefault="004A6E7B">
            <w:pPr>
              <w:rPr>
                <w:rFonts w:cs="Arial"/>
              </w:rPr>
            </w:pPr>
            <w:r w:rsidRPr="00E639A0">
              <w:rPr>
                <w:rFonts w:cs="Arial"/>
              </w:rPr>
              <w:t xml:space="preserve">Assumptions related to the cost of Employment Tribunal cases; HR time (in days), cost of advice and representation come from SETA 2018. </w:t>
            </w:r>
          </w:p>
          <w:p w14:paraId="1D63A680" w14:textId="77777777" w:rsidR="004A6E7B" w:rsidRPr="00E639A0" w:rsidRDefault="004A6E7B">
            <w:pPr>
              <w:rPr>
                <w:rFonts w:cs="Arial"/>
              </w:rPr>
            </w:pPr>
          </w:p>
        </w:tc>
        <w:tc>
          <w:tcPr>
            <w:tcW w:w="4411" w:type="dxa"/>
            <w:tcBorders>
              <w:top w:val="single" w:sz="6" w:space="0" w:color="365F91"/>
              <w:left w:val="single" w:sz="6" w:space="0" w:color="365F91"/>
              <w:bottom w:val="single" w:sz="6" w:space="0" w:color="365F91"/>
              <w:right w:val="single" w:sz="6" w:space="0" w:color="365F91"/>
            </w:tcBorders>
            <w:shd w:val="clear" w:color="auto" w:fill="auto"/>
          </w:tcPr>
          <w:p w14:paraId="12F734B3" w14:textId="77777777" w:rsidR="004A6E7B" w:rsidRPr="00E639A0" w:rsidRDefault="004A6E7B">
            <w:pPr>
              <w:pStyle w:val="IAPOA5"/>
              <w:ind w:left="0"/>
              <w:rPr>
                <w:rFonts w:cs="Arial"/>
                <w:sz w:val="24"/>
                <w:szCs w:val="24"/>
              </w:rPr>
            </w:pPr>
            <w:r w:rsidRPr="00E639A0">
              <w:rPr>
                <w:rFonts w:cs="Arial"/>
                <w:sz w:val="24"/>
                <w:szCs w:val="24"/>
              </w:rPr>
              <w:t>This follows methodology used in other labour market Impact Assessments.</w:t>
            </w:r>
          </w:p>
        </w:tc>
      </w:tr>
      <w:bookmarkEnd w:id="21"/>
      <w:bookmarkEnd w:id="22"/>
    </w:tbl>
    <w:p w14:paraId="092ED947" w14:textId="77777777" w:rsidR="004A6E7B" w:rsidRPr="00E639A0" w:rsidRDefault="004A6E7B" w:rsidP="004A6E7B">
      <w:pPr>
        <w:rPr>
          <w:rFonts w:cs="Arial"/>
        </w:rPr>
      </w:pPr>
    </w:p>
    <w:sectPr w:rsidR="004A6E7B" w:rsidRPr="00E639A0" w:rsidSect="007E5F1C">
      <w:headerReference w:type="even" r:id="rId19"/>
      <w:footerReference w:type="default" r:id="rId20"/>
      <w:footnotePr>
        <w:numRestart w:val="eachSect"/>
      </w:footnotePr>
      <w:type w:val="continuous"/>
      <w:pgSz w:w="11907" w:h="16840" w:code="9"/>
      <w:pgMar w:top="680" w:right="851" w:bottom="680" w:left="851" w:header="284" w:footer="284" w:gutter="0"/>
      <w:cols w:space="708"/>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3B0D4" w14:textId="77777777" w:rsidR="007E5F1C" w:rsidRDefault="007E5F1C">
      <w:r>
        <w:separator/>
      </w:r>
    </w:p>
  </w:endnote>
  <w:endnote w:type="continuationSeparator" w:id="0">
    <w:p w14:paraId="7EA285E7" w14:textId="77777777" w:rsidR="007E5F1C" w:rsidRDefault="007E5F1C">
      <w:r>
        <w:continuationSeparator/>
      </w:r>
    </w:p>
  </w:endnote>
  <w:endnote w:type="continuationNotice" w:id="1">
    <w:p w14:paraId="2ED46A15" w14:textId="77777777" w:rsidR="007E5F1C" w:rsidRDefault="007E5F1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Bold">
    <w:altName w:val="Arial"/>
    <w:panose1 w:val="020B0704020202020204"/>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8FD28" w14:textId="77777777" w:rsidR="008B5AAD" w:rsidRDefault="008B5A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4708B" w14:textId="77777777" w:rsidR="00F84E50" w:rsidRPr="00EB43FD" w:rsidRDefault="00F84E50" w:rsidP="005A3880">
    <w:pPr>
      <w:pStyle w:val="Footer"/>
    </w:pPr>
    <w:r w:rsidRPr="00EB43FD">
      <w:rPr>
        <w:rStyle w:val="PageNumber"/>
        <w:rFonts w:eastAsia="SimSun"/>
        <w:b w:val="0"/>
        <w:szCs w:val="18"/>
      </w:rPr>
      <w:fldChar w:fldCharType="begin"/>
    </w:r>
    <w:r w:rsidRPr="00EB43FD">
      <w:rPr>
        <w:rStyle w:val="PageNumber"/>
        <w:rFonts w:eastAsia="SimSun"/>
        <w:b w:val="0"/>
        <w:szCs w:val="18"/>
      </w:rPr>
      <w:instrText xml:space="preserve"> PAGE </w:instrText>
    </w:r>
    <w:r w:rsidRPr="00EB43FD">
      <w:rPr>
        <w:rStyle w:val="PageNumber"/>
        <w:rFonts w:eastAsia="SimSun"/>
        <w:b w:val="0"/>
        <w:szCs w:val="18"/>
      </w:rPr>
      <w:fldChar w:fldCharType="separate"/>
    </w:r>
    <w:r w:rsidR="00044FE7">
      <w:rPr>
        <w:rStyle w:val="PageNumber"/>
        <w:rFonts w:eastAsia="SimSun"/>
        <w:b w:val="0"/>
        <w:noProof/>
        <w:szCs w:val="18"/>
      </w:rPr>
      <w:t>1</w:t>
    </w:r>
    <w:r w:rsidRPr="00EB43FD">
      <w:rPr>
        <w:rStyle w:val="PageNumber"/>
        <w:rFonts w:eastAsia="SimSun"/>
        <w:b w:val="0"/>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296D9C" w14:textId="77777777" w:rsidR="008B5AAD" w:rsidRDefault="008B5AA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EA0DF" w14:textId="77777777" w:rsidR="00F84E50" w:rsidRPr="00EB43FD" w:rsidRDefault="00F84E50" w:rsidP="000407D8">
    <w:pPr>
      <w:pStyle w:val="Footer"/>
    </w:pPr>
    <w:r w:rsidRPr="00EB43FD">
      <w:rPr>
        <w:rStyle w:val="PageNumber"/>
        <w:b w:val="0"/>
        <w:szCs w:val="18"/>
      </w:rPr>
      <w:fldChar w:fldCharType="begin"/>
    </w:r>
    <w:r w:rsidRPr="00EB43FD">
      <w:rPr>
        <w:rStyle w:val="PageNumber"/>
        <w:b w:val="0"/>
        <w:szCs w:val="18"/>
      </w:rPr>
      <w:instrText xml:space="preserve"> PAGE </w:instrText>
    </w:r>
    <w:r w:rsidRPr="00EB43FD">
      <w:rPr>
        <w:rStyle w:val="PageNumber"/>
        <w:b w:val="0"/>
        <w:szCs w:val="18"/>
      </w:rPr>
      <w:fldChar w:fldCharType="separate"/>
    </w:r>
    <w:r w:rsidR="00044FE7">
      <w:rPr>
        <w:rStyle w:val="PageNumber"/>
        <w:b w:val="0"/>
        <w:noProof/>
        <w:szCs w:val="18"/>
      </w:rPr>
      <w:t>3</w:t>
    </w:r>
    <w:r w:rsidRPr="00EB43FD">
      <w:rPr>
        <w:rStyle w:val="PageNumber"/>
        <w:b w:val="0"/>
        <w:szCs w:val="18"/>
      </w:rPr>
      <w:fldChar w:fldCharType="end"/>
    </w:r>
  </w:p>
  <w:p w14:paraId="7FCE54BD" w14:textId="77777777" w:rsidR="00F84E50" w:rsidRDefault="00F84E50"/>
  <w:p w14:paraId="2995CCAD" w14:textId="77777777" w:rsidR="00F84E50" w:rsidRDefault="00F84E5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2C97E" w14:textId="77777777" w:rsidR="007E5F1C" w:rsidRDefault="007E5F1C">
      <w:r>
        <w:separator/>
      </w:r>
    </w:p>
  </w:footnote>
  <w:footnote w:type="continuationSeparator" w:id="0">
    <w:p w14:paraId="6F68E615" w14:textId="77777777" w:rsidR="007E5F1C" w:rsidRDefault="007E5F1C">
      <w:r>
        <w:continuationSeparator/>
      </w:r>
    </w:p>
  </w:footnote>
  <w:footnote w:type="continuationNotice" w:id="1">
    <w:p w14:paraId="5B0BE031" w14:textId="77777777" w:rsidR="007E5F1C" w:rsidRDefault="007E5F1C"/>
  </w:footnote>
  <w:footnote w:id="2">
    <w:p w14:paraId="7992D612" w14:textId="65101C3A" w:rsidR="0022194F" w:rsidRPr="0022194F" w:rsidRDefault="0022194F">
      <w:pPr>
        <w:pStyle w:val="FootnoteText"/>
        <w:rPr>
          <w:sz w:val="24"/>
          <w:szCs w:val="24"/>
        </w:rPr>
      </w:pPr>
      <w:r w:rsidRPr="0022194F">
        <w:rPr>
          <w:rStyle w:val="FootnoteReference"/>
          <w:sz w:val="24"/>
          <w:szCs w:val="24"/>
        </w:rPr>
        <w:t>*</w:t>
      </w:r>
      <w:r w:rsidRPr="0022194F">
        <w:rPr>
          <w:sz w:val="24"/>
          <w:szCs w:val="24"/>
        </w:rPr>
        <w:t xml:space="preserve"> </w:t>
      </w:r>
      <w:r>
        <w:rPr>
          <w:sz w:val="22"/>
          <w:szCs w:val="22"/>
        </w:rPr>
        <w:t>P</w:t>
      </w:r>
      <w:r w:rsidRPr="009C7DA6">
        <w:rPr>
          <w:sz w:val="22"/>
          <w:szCs w:val="22"/>
        </w:rPr>
        <w:t xml:space="preserve">rimary legislation includes enabling powers, which will be implemented via </w:t>
      </w:r>
      <w:r>
        <w:rPr>
          <w:sz w:val="22"/>
          <w:szCs w:val="22"/>
        </w:rPr>
        <w:t xml:space="preserve">affirmative </w:t>
      </w:r>
      <w:r w:rsidRPr="009C7DA6">
        <w:rPr>
          <w:sz w:val="22"/>
          <w:szCs w:val="22"/>
        </w:rPr>
        <w:t>secondary legislation. The analysis will be updated before the sec</w:t>
      </w:r>
      <w:r>
        <w:rPr>
          <w:sz w:val="22"/>
          <w:szCs w:val="22"/>
        </w:rPr>
        <w:t xml:space="preserve">ondary </w:t>
      </w:r>
      <w:r w:rsidRPr="009C7DA6">
        <w:rPr>
          <w:sz w:val="22"/>
          <w:szCs w:val="22"/>
        </w:rPr>
        <w:t>regs are laid.</w:t>
      </w:r>
    </w:p>
  </w:footnote>
  <w:footnote w:id="3">
    <w:p w14:paraId="6EB9D32E" w14:textId="0F1B33AF" w:rsidR="003A4234" w:rsidRPr="003A4234" w:rsidRDefault="003A4234">
      <w:pPr>
        <w:pStyle w:val="FootnoteText"/>
        <w:rPr>
          <w:sz w:val="24"/>
          <w:szCs w:val="24"/>
        </w:rPr>
      </w:pPr>
      <w:r w:rsidRPr="003A4234">
        <w:rPr>
          <w:rStyle w:val="FootnoteReference"/>
          <w:sz w:val="24"/>
          <w:szCs w:val="24"/>
        </w:rPr>
        <w:t>*</w:t>
      </w:r>
      <w:r w:rsidRPr="003A4234">
        <w:rPr>
          <w:sz w:val="24"/>
          <w:szCs w:val="24"/>
        </w:rPr>
        <w:t xml:space="preserve"> </w:t>
      </w:r>
      <w:r w:rsidR="009C7DA6">
        <w:rPr>
          <w:sz w:val="22"/>
          <w:szCs w:val="22"/>
        </w:rPr>
        <w:t>P</w:t>
      </w:r>
      <w:r w:rsidR="009C7DA6" w:rsidRPr="009C7DA6">
        <w:rPr>
          <w:sz w:val="22"/>
          <w:szCs w:val="22"/>
        </w:rPr>
        <w:t xml:space="preserve">rimary legislation includes enabling powers, which will be implemented via </w:t>
      </w:r>
      <w:r w:rsidR="009C7DA6">
        <w:rPr>
          <w:sz w:val="22"/>
          <w:szCs w:val="22"/>
        </w:rPr>
        <w:t xml:space="preserve">affirmative </w:t>
      </w:r>
      <w:r w:rsidR="009C7DA6" w:rsidRPr="009C7DA6">
        <w:rPr>
          <w:sz w:val="22"/>
          <w:szCs w:val="22"/>
        </w:rPr>
        <w:t>secondary legislation. The analysis will be updated before the sec</w:t>
      </w:r>
      <w:r w:rsidR="00DA6742">
        <w:rPr>
          <w:sz w:val="22"/>
          <w:szCs w:val="22"/>
        </w:rPr>
        <w:t>ondar</w:t>
      </w:r>
      <w:r w:rsidR="009E0B6E">
        <w:rPr>
          <w:sz w:val="22"/>
          <w:szCs w:val="22"/>
        </w:rPr>
        <w:t>y</w:t>
      </w:r>
      <w:r w:rsidR="00DA6742">
        <w:rPr>
          <w:sz w:val="22"/>
          <w:szCs w:val="22"/>
        </w:rPr>
        <w:t xml:space="preserve"> </w:t>
      </w:r>
      <w:r w:rsidR="009C7DA6" w:rsidRPr="009C7DA6">
        <w:rPr>
          <w:sz w:val="22"/>
          <w:szCs w:val="22"/>
        </w:rPr>
        <w:t>reg</w:t>
      </w:r>
      <w:r w:rsidR="007F71AA">
        <w:rPr>
          <w:sz w:val="22"/>
          <w:szCs w:val="22"/>
        </w:rPr>
        <w:t>ulation</w:t>
      </w:r>
      <w:r w:rsidR="009C7DA6" w:rsidRPr="009C7DA6">
        <w:rPr>
          <w:sz w:val="22"/>
          <w:szCs w:val="22"/>
        </w:rPr>
        <w:t>s are laid.</w:t>
      </w:r>
    </w:p>
  </w:footnote>
  <w:footnote w:id="4">
    <w:p w14:paraId="525B651F" w14:textId="2E2D7E16" w:rsidR="002807BE" w:rsidRPr="002807BE" w:rsidRDefault="002807BE">
      <w:pPr>
        <w:pStyle w:val="FootnoteText"/>
        <w:rPr>
          <w:szCs w:val="16"/>
        </w:rPr>
      </w:pPr>
      <w:r>
        <w:rPr>
          <w:rStyle w:val="FootnoteReference"/>
        </w:rPr>
        <w:footnoteRef/>
      </w:r>
      <w:r>
        <w:t xml:space="preserve"> </w:t>
      </w:r>
      <w:r w:rsidRPr="002807BE">
        <w:t>1.</w:t>
      </w:r>
      <w:r w:rsidRPr="002807BE">
        <w:tab/>
      </w:r>
      <w:r w:rsidRPr="002807BE">
        <w:rPr>
          <w:szCs w:val="16"/>
        </w:rPr>
        <w:t xml:space="preserve">The employer survey was based on a sample of workplaces (with at least 5 employees) across Great Britain and was drawn from the Interdepartmental Business Register (IDBR), with results based on 3,032 telephone interviews. Only workplaces with at least 5 staff members were sampled. </w:t>
      </w:r>
      <w:r w:rsidRPr="002807BE">
        <w:rPr>
          <w:rFonts w:cstheme="minorHAnsi"/>
          <w:szCs w:val="16"/>
        </w:rPr>
        <w:t xml:space="preserve">Using a random </w:t>
      </w:r>
      <w:r w:rsidRPr="002807BE">
        <w:rPr>
          <w:rFonts w:cs="Arial"/>
          <w:bCs/>
          <w:color w:val="000000"/>
          <w:szCs w:val="16"/>
          <w:lang w:eastAsia="en-GB"/>
        </w:rPr>
        <w:t>sample of birth registration records held by the Office for National Statistics (ONS) and National Records of Scotland (NRS), m</w:t>
      </w:r>
      <w:r w:rsidRPr="002807BE">
        <w:rPr>
          <w:rFonts w:cstheme="minorHAnsi"/>
          <w:szCs w:val="16"/>
        </w:rPr>
        <w:t xml:space="preserve">others with children </w:t>
      </w:r>
      <w:r w:rsidRPr="002807BE">
        <w:rPr>
          <w:rFonts w:cs="Arial"/>
          <w:bCs/>
          <w:color w:val="000000"/>
          <w:szCs w:val="16"/>
          <w:lang w:eastAsia="en-GB"/>
        </w:rPr>
        <w:t>aged between 9 and 24 months were selected for telephone interviews.</w:t>
      </w:r>
    </w:p>
  </w:footnote>
  <w:footnote w:id="5">
    <w:p w14:paraId="4F66B26C" w14:textId="52C409EA" w:rsidR="00F6327E" w:rsidRPr="00386CE8" w:rsidRDefault="00F6327E">
      <w:pPr>
        <w:pStyle w:val="FootnoteText"/>
        <w:rPr>
          <w:sz w:val="18"/>
          <w:szCs w:val="18"/>
        </w:rPr>
      </w:pPr>
      <w:r w:rsidRPr="002807BE">
        <w:rPr>
          <w:rStyle w:val="FootnoteReference"/>
          <w:sz w:val="16"/>
          <w:szCs w:val="16"/>
        </w:rPr>
        <w:footnoteRef/>
      </w:r>
      <w:r w:rsidRPr="002807BE">
        <w:rPr>
          <w:szCs w:val="16"/>
        </w:rPr>
        <w:t xml:space="preserve"> WESC (2016), Report: Pregnancy and Maternity Discrimination at </w:t>
      </w:r>
      <w:hyperlink w:history="1">
        <w:r w:rsidR="00DD42F6" w:rsidRPr="00DD42F6">
          <w:rPr>
            <w:rStyle w:val="Hyperlink"/>
            <w:szCs w:val="16"/>
          </w:rPr>
          <w:t>https://publications.parli ament.uk/pa/cm201617/cmselect/cmwomeq/90/90.pdf</w:t>
        </w:r>
      </w:hyperlink>
      <w:r w:rsidR="00C91BCF">
        <w:rPr>
          <w:szCs w:val="16"/>
        </w:rPr>
        <w:t xml:space="preserve"> </w:t>
      </w:r>
    </w:p>
  </w:footnote>
  <w:footnote w:id="6">
    <w:p w14:paraId="44917C27" w14:textId="4BF69E6F" w:rsidR="006F04B9" w:rsidRPr="00386CE8" w:rsidRDefault="006F04B9">
      <w:pPr>
        <w:pStyle w:val="FootnoteText"/>
        <w:rPr>
          <w:sz w:val="18"/>
          <w:szCs w:val="18"/>
        </w:rPr>
      </w:pPr>
      <w:r w:rsidRPr="00386CE8">
        <w:rPr>
          <w:rStyle w:val="FootnoteReference"/>
          <w:sz w:val="18"/>
          <w:szCs w:val="18"/>
        </w:rPr>
        <w:footnoteRef/>
      </w:r>
      <w:r w:rsidR="00386CE8">
        <w:rPr>
          <w:sz w:val="18"/>
          <w:szCs w:val="18"/>
        </w:rPr>
        <w:t xml:space="preserve"> </w:t>
      </w:r>
      <w:r w:rsidRPr="00386CE8">
        <w:rPr>
          <w:sz w:val="18"/>
          <w:szCs w:val="18"/>
        </w:rPr>
        <w:t>In total, Citizens Advice helped 6,358 people in 2014/15 with, this number rising to 6,725 in 2015/16</w:t>
      </w:r>
      <w:r w:rsidR="00EF0B91" w:rsidRPr="00386CE8">
        <w:rPr>
          <w:sz w:val="18"/>
          <w:szCs w:val="18"/>
        </w:rPr>
        <w:t xml:space="preserve"> on specific maternity rights and pregnancy discrimination issues</w:t>
      </w:r>
      <w:r w:rsidRPr="00386CE8">
        <w:rPr>
          <w:sz w:val="18"/>
          <w:szCs w:val="18"/>
        </w:rPr>
        <w:t>. For pregnancy discrimination figures, the number of people it helped rose from 1,551 in 2014/15 to 1,923 in 2015/16. Similarly, the number of people it helped with maternity rights (maternity leave, contractual maternity pay, other maternity rights and redundancy during maternity leave) rose from 5,256 in 2014/15 to 5,324 in 2016/17.</w:t>
      </w:r>
    </w:p>
  </w:footnote>
  <w:footnote w:id="7">
    <w:p w14:paraId="265B2E31" w14:textId="77777777" w:rsidR="002E1DFA" w:rsidRDefault="002E1DFA" w:rsidP="002E1DFA">
      <w:pPr>
        <w:pStyle w:val="FootnoteText"/>
      </w:pPr>
      <w:r w:rsidRPr="00386CE8">
        <w:rPr>
          <w:rStyle w:val="FootnoteReference"/>
          <w:sz w:val="18"/>
          <w:szCs w:val="18"/>
        </w:rPr>
        <w:footnoteRef/>
      </w:r>
      <w:r w:rsidRPr="00386CE8">
        <w:rPr>
          <w:sz w:val="18"/>
          <w:szCs w:val="18"/>
        </w:rPr>
        <w:t xml:space="preserve"> WESC (2016), Report: Pregnancy and Maternity Discrimination.</w:t>
      </w:r>
      <w:r>
        <w:t xml:space="preserve"> </w:t>
      </w:r>
    </w:p>
  </w:footnote>
  <w:footnote w:id="8">
    <w:p w14:paraId="3911ADB2" w14:textId="36A68F64" w:rsidR="004B4AD6" w:rsidRPr="00386CE8" w:rsidRDefault="004B4AD6">
      <w:pPr>
        <w:pStyle w:val="FootnoteText"/>
        <w:rPr>
          <w:sz w:val="18"/>
          <w:szCs w:val="18"/>
        </w:rPr>
      </w:pPr>
      <w:r w:rsidRPr="00386CE8">
        <w:rPr>
          <w:rStyle w:val="FootnoteReference"/>
          <w:sz w:val="18"/>
          <w:szCs w:val="18"/>
        </w:rPr>
        <w:footnoteRef/>
      </w:r>
      <w:r w:rsidRPr="00386CE8">
        <w:rPr>
          <w:sz w:val="18"/>
          <w:szCs w:val="18"/>
        </w:rPr>
        <w:t xml:space="preserve"> </w:t>
      </w:r>
      <w:hyperlink r:id="rId1" w:history="1">
        <w:r w:rsidR="009728FD" w:rsidRPr="00386CE8">
          <w:rPr>
            <w:rStyle w:val="Hyperlink"/>
            <w:sz w:val="18"/>
            <w:szCs w:val="18"/>
          </w:rPr>
          <w:t>https://assets.publishing.service.gov.uk/government/uploads/system/uploads/attachment_data/file/773179/extending-redundancy-protection-for-pregnant-women.pdf</w:t>
        </w:r>
      </w:hyperlink>
    </w:p>
    <w:p w14:paraId="0BBCCBA9" w14:textId="77777777" w:rsidR="009728FD" w:rsidRDefault="009728FD">
      <w:pPr>
        <w:pStyle w:val="FootnoteText"/>
      </w:pPr>
    </w:p>
  </w:footnote>
  <w:footnote w:id="9">
    <w:p w14:paraId="7546FDCB" w14:textId="76E0E89C" w:rsidR="004A1E21" w:rsidRDefault="004A1E21">
      <w:pPr>
        <w:pStyle w:val="FootnoteText"/>
      </w:pPr>
      <w:r>
        <w:rPr>
          <w:rStyle w:val="FootnoteReference"/>
        </w:rPr>
        <w:footnoteRef/>
      </w:r>
      <w:r>
        <w:t xml:space="preserve"> </w:t>
      </w:r>
      <w:r w:rsidR="00DB7CD5" w:rsidRPr="00DB7CD5">
        <w:t>The Government will continue to engage with stakeholders on the purpose of, need for and length of a qualifying period of relevant leave to access the additional redundancy protection to ensure that the ensuing regulations provide appropriate protection.</w:t>
      </w:r>
    </w:p>
  </w:footnote>
  <w:footnote w:id="10">
    <w:p w14:paraId="469F10CA" w14:textId="75ADD653" w:rsidR="00355F97" w:rsidRPr="003F0CD2" w:rsidRDefault="00355F97">
      <w:pPr>
        <w:pStyle w:val="FootnoteText"/>
        <w:rPr>
          <w:sz w:val="18"/>
          <w:szCs w:val="18"/>
        </w:rPr>
      </w:pPr>
      <w:r w:rsidRPr="00DE4B6D">
        <w:rPr>
          <w:rStyle w:val="FootnoteReference"/>
          <w:sz w:val="18"/>
          <w:szCs w:val="18"/>
        </w:rPr>
        <w:footnoteRef/>
      </w:r>
      <w:r w:rsidRPr="00DE4B6D">
        <w:rPr>
          <w:sz w:val="18"/>
          <w:szCs w:val="18"/>
        </w:rPr>
        <w:t xml:space="preserve"> </w:t>
      </w:r>
      <w:r w:rsidRPr="003F0CD2">
        <w:rPr>
          <w:sz w:val="18"/>
          <w:szCs w:val="18"/>
        </w:rPr>
        <w:t xml:space="preserve">See </w:t>
      </w:r>
      <w:r w:rsidR="00E01A49" w:rsidRPr="00E01A49">
        <w:rPr>
          <w:sz w:val="18"/>
          <w:szCs w:val="18"/>
        </w:rPr>
        <w:t>paragraph</w:t>
      </w:r>
      <w:r w:rsidRPr="00E01A49">
        <w:rPr>
          <w:b/>
          <w:bCs/>
          <w:sz w:val="18"/>
          <w:szCs w:val="18"/>
        </w:rPr>
        <w:t xml:space="preserve"> </w:t>
      </w:r>
      <w:r w:rsidR="00DE4B6D" w:rsidRPr="003F0CD2">
        <w:rPr>
          <w:sz w:val="18"/>
          <w:szCs w:val="18"/>
        </w:rPr>
        <w:t>5</w:t>
      </w:r>
      <w:r w:rsidR="006C0684" w:rsidRPr="003F0CD2">
        <w:rPr>
          <w:sz w:val="18"/>
          <w:szCs w:val="18"/>
        </w:rPr>
        <w:t>7</w:t>
      </w:r>
      <w:r w:rsidRPr="003F0CD2">
        <w:rPr>
          <w:sz w:val="18"/>
          <w:szCs w:val="18"/>
        </w:rPr>
        <w:t xml:space="preserve"> for </w:t>
      </w:r>
      <w:r w:rsidR="00DE4B6D" w:rsidRPr="003F0CD2">
        <w:rPr>
          <w:sz w:val="18"/>
          <w:szCs w:val="18"/>
        </w:rPr>
        <w:t xml:space="preserve">further </w:t>
      </w:r>
      <w:r w:rsidRPr="003F0CD2">
        <w:rPr>
          <w:sz w:val="18"/>
          <w:szCs w:val="18"/>
        </w:rPr>
        <w:t>details on how this has been calculated.</w:t>
      </w:r>
    </w:p>
  </w:footnote>
  <w:footnote w:id="11">
    <w:p w14:paraId="751A432E" w14:textId="25712C9C" w:rsidR="006C627A" w:rsidRPr="003F0CD2" w:rsidRDefault="006C627A" w:rsidP="003F0CD2">
      <w:pPr>
        <w:pStyle w:val="Default"/>
        <w:rPr>
          <w:sz w:val="20"/>
          <w:szCs w:val="20"/>
        </w:rPr>
      </w:pPr>
      <w:r w:rsidRPr="003F0CD2">
        <w:rPr>
          <w:rStyle w:val="FootnoteReference"/>
          <w:sz w:val="18"/>
          <w:szCs w:val="18"/>
        </w:rPr>
        <w:footnoteRef/>
      </w:r>
      <w:r w:rsidRPr="003F0CD2">
        <w:rPr>
          <w:sz w:val="18"/>
          <w:szCs w:val="18"/>
        </w:rPr>
        <w:t xml:space="preserve"> </w:t>
      </w:r>
      <w:r w:rsidR="003F0CD2" w:rsidRPr="003F0CD2">
        <w:rPr>
          <w:sz w:val="18"/>
          <w:szCs w:val="18"/>
        </w:rPr>
        <w:t>Blundell, R., Dias, M. C., Meghir, C. and Jonathan M. S., (2016). Female labour supply, human capital and welfare reform, Econometrica, [online], volume 84 (5) p. 1705-1753. Available at: www.ucl.ac.uk/~uctp39a/BDMS_Ecta_Sept_2016.pdf  and  Paull, G., (2006). The Impact of Children on Women's Paid Work, Fiscal Studies [online], volume 27(4), p. 473-512. Available at: https://onlinelibrary.wiley.com/doi/abs/10.1111/j.1475-5890.2006.00043.x</w:t>
      </w:r>
      <w:r w:rsidR="003F0CD2">
        <w:rPr>
          <w:sz w:val="20"/>
          <w:szCs w:val="20"/>
        </w:rPr>
        <w:t xml:space="preserve"> </w:t>
      </w:r>
      <w:r w:rsidR="003F0CD2">
        <w:t xml:space="preserve"> </w:t>
      </w:r>
    </w:p>
  </w:footnote>
  <w:footnote w:id="12">
    <w:p w14:paraId="04EAC784" w14:textId="59247EE1" w:rsidR="00947160" w:rsidRPr="00386CE8" w:rsidRDefault="00947160" w:rsidP="00947160">
      <w:pPr>
        <w:pStyle w:val="FootnoteText"/>
        <w:rPr>
          <w:sz w:val="18"/>
          <w:szCs w:val="18"/>
        </w:rPr>
      </w:pPr>
      <w:r w:rsidRPr="00386CE8">
        <w:rPr>
          <w:rStyle w:val="FootnoteReference"/>
          <w:sz w:val="18"/>
          <w:szCs w:val="18"/>
        </w:rPr>
        <w:footnoteRef/>
      </w:r>
      <w:r w:rsidRPr="00386CE8">
        <w:rPr>
          <w:sz w:val="18"/>
          <w:szCs w:val="18"/>
        </w:rPr>
        <w:t xml:space="preserve"> </w:t>
      </w:r>
      <w:hyperlink r:id="rId2" w:history="1">
        <w:r w:rsidRPr="00386CE8">
          <w:rPr>
            <w:rStyle w:val="Hyperlink"/>
            <w:sz w:val="18"/>
            <w:szCs w:val="18"/>
          </w:rPr>
          <w:t>https://www.gov.uk/government/statistics/tribunal-statistics-quarterly-january-to-march-2022</w:t>
        </w:r>
      </w:hyperlink>
    </w:p>
  </w:footnote>
  <w:footnote w:id="13">
    <w:p w14:paraId="1307CC4B" w14:textId="6993760B" w:rsidR="002E1DFA" w:rsidRPr="00A306CD" w:rsidRDefault="002E1DFA" w:rsidP="002E1DFA">
      <w:pPr>
        <w:pStyle w:val="FootnoteText"/>
        <w:rPr>
          <w:sz w:val="18"/>
          <w:szCs w:val="18"/>
        </w:rPr>
      </w:pPr>
      <w:r w:rsidRPr="00A306CD">
        <w:rPr>
          <w:rStyle w:val="FootnoteReference"/>
          <w:sz w:val="18"/>
          <w:szCs w:val="18"/>
        </w:rPr>
        <w:footnoteRef/>
      </w:r>
      <w:r w:rsidRPr="00A306CD">
        <w:rPr>
          <w:sz w:val="18"/>
          <w:szCs w:val="18"/>
        </w:rPr>
        <w:t xml:space="preserve"> Percentages calculated using Tables 1 and 2 of </w:t>
      </w:r>
      <w:hyperlink r:id="rId3" w:history="1">
        <w:r w:rsidRPr="00A306CD">
          <w:rPr>
            <w:rStyle w:val="Hyperlink"/>
            <w:sz w:val="18"/>
            <w:szCs w:val="18"/>
          </w:rPr>
          <w:t>Business Population Estimates, 2019.</w:t>
        </w:r>
      </w:hyperlink>
      <w:r w:rsidRPr="00A306CD">
        <w:rPr>
          <w:sz w:val="18"/>
          <w:szCs w:val="18"/>
        </w:rPr>
        <w:t xml:space="preserve"> </w:t>
      </w:r>
    </w:p>
  </w:footnote>
  <w:footnote w:id="14">
    <w:p w14:paraId="0EC6CD2E" w14:textId="473B40A3" w:rsidR="00A306CD" w:rsidRDefault="00A306CD">
      <w:pPr>
        <w:pStyle w:val="FootnoteText"/>
      </w:pPr>
      <w:r>
        <w:rPr>
          <w:rStyle w:val="FootnoteReference"/>
        </w:rPr>
        <w:footnoteRef/>
      </w:r>
      <w:r>
        <w:t xml:space="preserve"> </w:t>
      </w:r>
      <w:hyperlink r:id="rId4" w:history="1">
        <w:r w:rsidRPr="004F30B8">
          <w:rPr>
            <w:rStyle w:val="Hyperlink"/>
          </w:rPr>
          <w:t>https://assets.publishing.service.gov.uk/government/uploads/system/uploads/attachment_data/file/509501/BIS-16-146-pregnancy-and-maternity-related-discrimination-and-disadvantage-experiences-of-mothers.pdf</w:t>
        </w:r>
      </w:hyperlink>
    </w:p>
  </w:footnote>
  <w:footnote w:id="15">
    <w:p w14:paraId="2D351F75" w14:textId="77777777" w:rsidR="002E1DFA" w:rsidRPr="00F26D79" w:rsidRDefault="002E1DFA" w:rsidP="002E1DFA">
      <w:pPr>
        <w:pStyle w:val="FootnoteText"/>
        <w:rPr>
          <w:szCs w:val="16"/>
        </w:rPr>
      </w:pPr>
      <w:r w:rsidRPr="00F26D79">
        <w:rPr>
          <w:rStyle w:val="FootnoteReference"/>
          <w:sz w:val="16"/>
          <w:szCs w:val="16"/>
        </w:rPr>
        <w:footnoteRef/>
      </w:r>
      <w:r w:rsidRPr="00F26D79">
        <w:rPr>
          <w:szCs w:val="16"/>
        </w:rPr>
        <w:t xml:space="preserve"> Costa Dias, M., Joyce, R., Parodi, F. (2018), Wage progression and the gender wage gap: the causal impact of hours of work, Institute for Fiscal Studies. </w:t>
      </w:r>
    </w:p>
  </w:footnote>
  <w:footnote w:id="16">
    <w:p w14:paraId="2C0979C5" w14:textId="1D1140E2" w:rsidR="00A26511" w:rsidRPr="00F26D79" w:rsidRDefault="00A26511">
      <w:pPr>
        <w:pStyle w:val="FootnoteText"/>
        <w:rPr>
          <w:szCs w:val="16"/>
        </w:rPr>
      </w:pPr>
      <w:r w:rsidRPr="00F26D79">
        <w:rPr>
          <w:rStyle w:val="FootnoteReference"/>
          <w:sz w:val="16"/>
          <w:szCs w:val="16"/>
        </w:rPr>
        <w:footnoteRef/>
      </w:r>
      <w:r w:rsidRPr="00F26D79">
        <w:rPr>
          <w:szCs w:val="16"/>
        </w:rPr>
        <w:t xml:space="preserve"> </w:t>
      </w:r>
      <w:hyperlink r:id="rId5" w:history="1">
        <w:r w:rsidR="006C0684" w:rsidRPr="00A12CC3">
          <w:rPr>
            <w:rStyle w:val="Hyperlink"/>
            <w:szCs w:val="16"/>
          </w:rPr>
          <w:t>https://www.gov.uk/government/consultations/pregnancy-and-maternity-discrimination-extending-redundancy-protection-for-women-and-new-parents</w:t>
        </w:r>
      </w:hyperlink>
      <w:r w:rsidR="006C0684">
        <w:rPr>
          <w:szCs w:val="16"/>
        </w:rPr>
        <w:t xml:space="preserve"> </w:t>
      </w:r>
    </w:p>
  </w:footnote>
  <w:footnote w:id="17">
    <w:p w14:paraId="22506B71" w14:textId="4034F040" w:rsidR="0032065C" w:rsidRPr="003A3E2F" w:rsidRDefault="0032065C">
      <w:pPr>
        <w:pStyle w:val="FootnoteText"/>
        <w:rPr>
          <w:szCs w:val="16"/>
        </w:rPr>
      </w:pPr>
      <w:r w:rsidRPr="003A3E2F">
        <w:rPr>
          <w:rStyle w:val="FootnoteReference"/>
          <w:sz w:val="16"/>
          <w:szCs w:val="16"/>
        </w:rPr>
        <w:footnoteRef/>
      </w:r>
      <w:r>
        <w:t xml:space="preserve"> </w:t>
      </w:r>
      <w:r w:rsidR="00F26D79" w:rsidRPr="003A3E2F">
        <w:rPr>
          <w:szCs w:val="16"/>
        </w:rPr>
        <w:t>We use ONS  and NRS  data on live birth characteristics split by the age of the mother to derive the total number of births in Great Britain, 690,200 for 2020 (the most recent data available).</w:t>
      </w:r>
    </w:p>
  </w:footnote>
  <w:footnote w:id="18">
    <w:p w14:paraId="56D71F0B" w14:textId="4A0F770C" w:rsidR="003326DA" w:rsidRPr="003A3E2F" w:rsidRDefault="002E1DFA" w:rsidP="002E1DFA">
      <w:pPr>
        <w:pStyle w:val="FootnoteText"/>
        <w:rPr>
          <w:szCs w:val="16"/>
        </w:rPr>
      </w:pPr>
      <w:r w:rsidRPr="003A3E2F">
        <w:rPr>
          <w:rStyle w:val="FootnoteReference"/>
          <w:sz w:val="16"/>
          <w:szCs w:val="16"/>
        </w:rPr>
        <w:footnoteRef/>
      </w:r>
      <w:r w:rsidRPr="003A3E2F">
        <w:rPr>
          <w:szCs w:val="16"/>
        </w:rPr>
        <w:t xml:space="preserve"> </w:t>
      </w:r>
      <w:hyperlink r:id="rId6" w:history="1">
        <w:r w:rsidR="003326DA" w:rsidRPr="003A3E2F">
          <w:rPr>
            <w:rStyle w:val="Hyperlink"/>
            <w:szCs w:val="16"/>
          </w:rPr>
          <w:t>https://www.ons.gov.uk/peoplepopulationandcommunity/birthsdeathsandmarriages/livebirths/datasets/birthsbyparentscharacteristics</w:t>
        </w:r>
      </w:hyperlink>
    </w:p>
  </w:footnote>
  <w:footnote w:id="19">
    <w:p w14:paraId="1326EE07" w14:textId="6520A7B0" w:rsidR="00AC71D5" w:rsidRPr="003A3E2F" w:rsidRDefault="002E1DFA" w:rsidP="002E1DFA">
      <w:pPr>
        <w:pStyle w:val="FootnoteText"/>
        <w:rPr>
          <w:szCs w:val="16"/>
        </w:rPr>
      </w:pPr>
      <w:r w:rsidRPr="003A3E2F">
        <w:rPr>
          <w:rStyle w:val="FootnoteReference"/>
          <w:sz w:val="16"/>
          <w:szCs w:val="16"/>
        </w:rPr>
        <w:footnoteRef/>
      </w:r>
      <w:r w:rsidRPr="003A3E2F">
        <w:rPr>
          <w:szCs w:val="16"/>
        </w:rPr>
        <w:t xml:space="preserve"> </w:t>
      </w:r>
      <w:hyperlink r:id="rId7" w:history="1">
        <w:r w:rsidR="00AC71D5" w:rsidRPr="003A3E2F">
          <w:rPr>
            <w:rStyle w:val="Hyperlink"/>
            <w:szCs w:val="16"/>
          </w:rPr>
          <w:t>https://www.ons.gov.uk/employmentandlabourmarket/peopleinwork/employmentandemployeetypes/timeseries/j64p/lms</w:t>
        </w:r>
      </w:hyperlink>
    </w:p>
  </w:footnote>
  <w:footnote w:id="20">
    <w:p w14:paraId="5C268483" w14:textId="4FC2E3A7" w:rsidR="00AC71D5" w:rsidRPr="003A3E2F" w:rsidRDefault="00FC6321">
      <w:pPr>
        <w:pStyle w:val="FootnoteText"/>
        <w:rPr>
          <w:szCs w:val="16"/>
        </w:rPr>
      </w:pPr>
      <w:r w:rsidRPr="003A3E2F">
        <w:rPr>
          <w:rStyle w:val="FootnoteReference"/>
          <w:sz w:val="16"/>
          <w:szCs w:val="16"/>
        </w:rPr>
        <w:footnoteRef/>
      </w:r>
      <w:r w:rsidRPr="003A3E2F">
        <w:rPr>
          <w:szCs w:val="16"/>
        </w:rPr>
        <w:t xml:space="preserve"> </w:t>
      </w:r>
      <w:hyperlink r:id="rId8" w:history="1">
        <w:r w:rsidR="00AC71D5" w:rsidRPr="003A3E2F">
          <w:rPr>
            <w:rStyle w:val="Hyperlink"/>
            <w:szCs w:val="16"/>
          </w:rPr>
          <w:t>https://www.ons.gov.uk/employmentandlabourmarket/peopleinwork/employmentandemployeetypes/timeseries/ybul/lms</w:t>
        </w:r>
      </w:hyperlink>
    </w:p>
  </w:footnote>
  <w:footnote w:id="21">
    <w:p w14:paraId="39062E6F" w14:textId="77777777" w:rsidR="002E1DFA" w:rsidRDefault="002E1DFA" w:rsidP="002E1DFA">
      <w:pPr>
        <w:pStyle w:val="FootnoteText"/>
      </w:pPr>
      <w:r w:rsidRPr="003A3E2F">
        <w:rPr>
          <w:rStyle w:val="FootnoteReference"/>
          <w:sz w:val="16"/>
          <w:szCs w:val="16"/>
        </w:rPr>
        <w:footnoteRef/>
      </w:r>
      <w:r w:rsidRPr="003A3E2F">
        <w:rPr>
          <w:szCs w:val="16"/>
        </w:rPr>
        <w:t xml:space="preserve"> Table A05: Labour market by age group: Women by economic activity and age (seasonally adjusted) , ONS</w:t>
      </w:r>
    </w:p>
  </w:footnote>
  <w:footnote w:id="22">
    <w:p w14:paraId="45811A55" w14:textId="6AAB9F32" w:rsidR="00EF143D" w:rsidRDefault="00EF143D">
      <w:pPr>
        <w:pStyle w:val="FootnoteText"/>
      </w:pPr>
      <w:r>
        <w:rPr>
          <w:rStyle w:val="FootnoteReference"/>
        </w:rPr>
        <w:footnoteRef/>
      </w:r>
      <w:r>
        <w:t xml:space="preserve"> ONS and NRS data on live births (2019, 2020)</w:t>
      </w:r>
    </w:p>
  </w:footnote>
  <w:footnote w:id="23">
    <w:p w14:paraId="66F5DA77" w14:textId="21CA64C2" w:rsidR="00AC71D5" w:rsidRPr="003A3E2F" w:rsidRDefault="002E1DFA" w:rsidP="002E1DFA">
      <w:pPr>
        <w:rPr>
          <w:rFonts w:cs="Arial"/>
          <w:color w:val="000000"/>
          <w:sz w:val="16"/>
          <w:szCs w:val="16"/>
          <w:lang w:eastAsia="en-GB"/>
        </w:rPr>
      </w:pPr>
      <w:r w:rsidRPr="00D3294C">
        <w:rPr>
          <w:rStyle w:val="FootnoteReference"/>
          <w:rFonts w:asciiTheme="minorHAnsi" w:hAnsiTheme="minorHAnsi" w:cstheme="minorHAnsi"/>
          <w:sz w:val="18"/>
        </w:rPr>
        <w:footnoteRef/>
      </w:r>
      <w:r w:rsidR="00386CE8">
        <w:rPr>
          <w:sz w:val="18"/>
          <w:szCs w:val="18"/>
        </w:rPr>
        <w:t xml:space="preserve"> </w:t>
      </w:r>
      <w:hyperlink r:id="rId9" w:history="1">
        <w:r w:rsidR="00386CE8" w:rsidRPr="003A3E2F">
          <w:rPr>
            <w:rStyle w:val="Hyperlink"/>
            <w:rFonts w:cs="Arial"/>
            <w:sz w:val="16"/>
            <w:szCs w:val="16"/>
            <w:lang w:eastAsia="en-GB"/>
          </w:rPr>
          <w:t>https://www.ons.gov.uk/employmentandlabourmarket/peopleinwork/employmentandemployeetypes/datasets/fulltimeparttimeandtemporaryworkersseasonallyadjustedemp01sa</w:t>
        </w:r>
      </w:hyperlink>
    </w:p>
  </w:footnote>
  <w:footnote w:id="24">
    <w:p w14:paraId="7B327BBF" w14:textId="3B084F53" w:rsidR="002E1DFA" w:rsidRPr="003A3E2F" w:rsidRDefault="002E1DFA" w:rsidP="002E1DFA">
      <w:pPr>
        <w:pStyle w:val="FootnoteText"/>
        <w:rPr>
          <w:szCs w:val="16"/>
        </w:rPr>
      </w:pPr>
      <w:r w:rsidRPr="003A3E2F">
        <w:rPr>
          <w:rStyle w:val="FootnoteReference"/>
          <w:sz w:val="16"/>
          <w:szCs w:val="16"/>
        </w:rPr>
        <w:footnoteRef/>
      </w:r>
      <w:r w:rsidRPr="003A3E2F">
        <w:rPr>
          <w:szCs w:val="16"/>
        </w:rPr>
        <w:t xml:space="preserve"> This has been calculated as 0.</w:t>
      </w:r>
      <w:r w:rsidR="00B82A65" w:rsidRPr="003A3E2F">
        <w:rPr>
          <w:szCs w:val="16"/>
        </w:rPr>
        <w:t>6</w:t>
      </w:r>
      <w:r w:rsidRPr="003A3E2F">
        <w:rPr>
          <w:szCs w:val="16"/>
        </w:rPr>
        <w:t>% but has been shown below in workings as 1% for simplicity</w:t>
      </w:r>
      <w:r w:rsidR="00B82A65" w:rsidRPr="003A3E2F">
        <w:rPr>
          <w:szCs w:val="16"/>
        </w:rPr>
        <w:t>.</w:t>
      </w:r>
    </w:p>
  </w:footnote>
  <w:footnote w:id="25">
    <w:p w14:paraId="71A40184" w14:textId="37533098" w:rsidR="00D80F72" w:rsidRDefault="00D80F72" w:rsidP="00D80F72">
      <w:pPr>
        <w:pStyle w:val="FootnoteText"/>
      </w:pPr>
      <w:r w:rsidRPr="003A3E2F">
        <w:rPr>
          <w:rStyle w:val="FootnoteReference"/>
          <w:sz w:val="16"/>
          <w:szCs w:val="16"/>
        </w:rPr>
        <w:footnoteRef/>
      </w:r>
      <w:r>
        <w:t xml:space="preserve"> Pregnancy and M</w:t>
      </w:r>
      <w:r w:rsidRPr="00B32ABB">
        <w:t>aternity related discrimination and disadvantaged research</w:t>
      </w:r>
      <w:r>
        <w:t xml:space="preserve">: Experiences of mothers (2016), </w:t>
      </w:r>
      <w:hyperlink r:id="rId10" w:history="1">
        <w:r w:rsidRPr="006F2AF7">
          <w:rPr>
            <w:rStyle w:val="Hyperlink"/>
          </w:rPr>
          <w:t>https://www.gov.uk/government/uploads/system/uploads/attachment_data/file/509501/BIS-16-146-pregnancy-and-maternity-related-discrimination-and-disadvantage-experiences-of-mothers.pdf</w:t>
        </w:r>
      </w:hyperlink>
    </w:p>
  </w:footnote>
  <w:footnote w:id="26">
    <w:p w14:paraId="3BDB1E1D" w14:textId="77777777" w:rsidR="00D80F72" w:rsidRDefault="00D80F72" w:rsidP="00D80F72">
      <w:pPr>
        <w:pStyle w:val="FootnoteText"/>
      </w:pPr>
      <w:r w:rsidRPr="003A3E2F">
        <w:rPr>
          <w:rStyle w:val="FootnoteReference"/>
          <w:sz w:val="16"/>
          <w:szCs w:val="16"/>
        </w:rPr>
        <w:footnoteRef/>
      </w:r>
      <w:r>
        <w:t xml:space="preserve"> </w:t>
      </w:r>
      <w:r w:rsidRPr="00A422B5">
        <w:t>As this mirrors current protections for women on maternity leave, which effectively require employers to offer those on maternity leave an alternative post at a level comparable with their current post.</w:t>
      </w:r>
    </w:p>
  </w:footnote>
  <w:footnote w:id="27">
    <w:p w14:paraId="601F0D6F" w14:textId="77777777" w:rsidR="00D80F72" w:rsidRDefault="00D80F72" w:rsidP="00D80F72">
      <w:pPr>
        <w:pStyle w:val="FootnoteText"/>
      </w:pPr>
      <w:r w:rsidRPr="003A3E2F">
        <w:rPr>
          <w:rStyle w:val="FootnoteReference"/>
          <w:sz w:val="16"/>
          <w:szCs w:val="16"/>
        </w:rPr>
        <w:footnoteRef/>
      </w:r>
      <w:r>
        <w:t xml:space="preserve"> </w:t>
      </w:r>
      <w:r w:rsidRPr="00C04416">
        <w:t xml:space="preserve">We </w:t>
      </w:r>
      <w:r>
        <w:t xml:space="preserve">have performed sensitivity analysis on </w:t>
      </w:r>
      <w:r w:rsidRPr="00C04416">
        <w:t xml:space="preserve">this assumption </w:t>
      </w:r>
      <w:r>
        <w:t xml:space="preserve">and found that </w:t>
      </w:r>
      <w:r w:rsidRPr="00C04416">
        <w:t>a change of 1p.p to 72% decreases recurring business costs by around £1.3m</w:t>
      </w:r>
      <w:r>
        <w:t xml:space="preserve"> per annum</w:t>
      </w:r>
      <w:r w:rsidRPr="00C04416">
        <w:t>.</w:t>
      </w:r>
    </w:p>
  </w:footnote>
  <w:footnote w:id="28">
    <w:p w14:paraId="22533F6E" w14:textId="3DE86650" w:rsidR="00D80F72" w:rsidRPr="004F0684" w:rsidRDefault="00D80F72" w:rsidP="00D80F72">
      <w:pPr>
        <w:pStyle w:val="FootnoteText"/>
      </w:pPr>
      <w:r w:rsidRPr="003A3E2F">
        <w:rPr>
          <w:rStyle w:val="FootnoteReference"/>
          <w:sz w:val="16"/>
          <w:szCs w:val="16"/>
        </w:rPr>
        <w:footnoteRef/>
      </w:r>
      <w:r>
        <w:t xml:space="preserve"> </w:t>
      </w:r>
      <w:hyperlink r:id="rId11" w:history="1">
        <w:r w:rsidR="008C662C" w:rsidRPr="0015044A">
          <w:rPr>
            <w:rStyle w:val="Hyperlink"/>
          </w:rPr>
          <w:t>https://www.eurofound.europa.eu/observatories/emcc/erm/restructuring-statistics?field_value_group_by=restructuring_type&amp;field_value_country=9520&amp;field_value_sector=All&amp;date_from=&amp;date_to=&amp;edit-submit=Apply</w:t>
        </w:r>
      </w:hyperlink>
      <w:r w:rsidR="008C662C">
        <w:t xml:space="preserve"> </w:t>
      </w:r>
    </w:p>
  </w:footnote>
  <w:footnote w:id="29">
    <w:p w14:paraId="6EB52C36" w14:textId="77777777" w:rsidR="00D80F72" w:rsidRDefault="00D80F72" w:rsidP="00D80F72">
      <w:pPr>
        <w:pStyle w:val="FootnoteText"/>
      </w:pPr>
      <w:r w:rsidRPr="003A3E2F">
        <w:rPr>
          <w:rStyle w:val="FootnoteReference"/>
          <w:sz w:val="16"/>
          <w:szCs w:val="16"/>
        </w:rPr>
        <w:footnoteRef/>
      </w:r>
      <w:r w:rsidRPr="004F0684">
        <w:t xml:space="preserve"> Stripping out these cases leaves us with 69% cases (100% - 31%). We carve out these cases to avoid including cases where the employer could be justified in making redundancies for reasons unrelated to pregnancy and thus avoid overestimating the target population. </w:t>
      </w:r>
    </w:p>
  </w:footnote>
  <w:footnote w:id="30">
    <w:p w14:paraId="582AD3FB" w14:textId="6C32439E" w:rsidR="00F7726F" w:rsidRDefault="00F7726F">
      <w:pPr>
        <w:pStyle w:val="FootnoteText"/>
      </w:pPr>
      <w:r w:rsidRPr="003A3E2F">
        <w:rPr>
          <w:rStyle w:val="FootnoteReference"/>
          <w:sz w:val="16"/>
          <w:szCs w:val="16"/>
        </w:rPr>
        <w:footnoteRef/>
      </w:r>
      <w:r w:rsidRPr="003A3E2F">
        <w:rPr>
          <w:szCs w:val="16"/>
        </w:rPr>
        <w:t xml:space="preserve"> Th</w:t>
      </w:r>
      <w:r w:rsidR="005A6F65" w:rsidRPr="003A3E2F">
        <w:rPr>
          <w:szCs w:val="16"/>
        </w:rPr>
        <w:t xml:space="preserve">e percentage figures presented </w:t>
      </w:r>
      <w:r w:rsidR="00494CF1" w:rsidRPr="003A3E2F">
        <w:rPr>
          <w:szCs w:val="16"/>
        </w:rPr>
        <w:t>are based on BEIS analysis of LFS microdata</w:t>
      </w:r>
      <w:r w:rsidR="00566BE3" w:rsidRPr="003A3E2F">
        <w:rPr>
          <w:szCs w:val="16"/>
        </w:rPr>
        <w:t xml:space="preserve"> </w:t>
      </w:r>
      <w:r w:rsidR="009C7795" w:rsidRPr="003A3E2F">
        <w:rPr>
          <w:szCs w:val="16"/>
        </w:rPr>
        <w:t xml:space="preserve">of females with dependent children </w:t>
      </w:r>
      <w:r w:rsidR="00557662" w:rsidRPr="003A3E2F">
        <w:rPr>
          <w:szCs w:val="16"/>
        </w:rPr>
        <w:t xml:space="preserve">aged under 1 </w:t>
      </w:r>
      <w:r w:rsidR="00A04849" w:rsidRPr="00A04849">
        <w:rPr>
          <w:szCs w:val="16"/>
        </w:rPr>
        <w:t>specifically</w:t>
      </w:r>
      <w:r w:rsidR="008D5AE5" w:rsidRPr="00A04849">
        <w:rPr>
          <w:szCs w:val="16"/>
        </w:rPr>
        <w:t xml:space="preserve"> </w:t>
      </w:r>
      <w:r w:rsidR="008D5AE5" w:rsidRPr="003A3E2F">
        <w:rPr>
          <w:szCs w:val="16"/>
        </w:rPr>
        <w:t>and may differ from employment rates</w:t>
      </w:r>
      <w:r w:rsidR="002C77A4" w:rsidRPr="003A3E2F">
        <w:rPr>
          <w:szCs w:val="16"/>
        </w:rPr>
        <w:t xml:space="preserve"> used elsewhere (not specific to </w:t>
      </w:r>
      <w:r w:rsidR="002C199C" w:rsidRPr="003A3E2F">
        <w:rPr>
          <w:szCs w:val="16"/>
        </w:rPr>
        <w:t>parents with children under 1)</w:t>
      </w:r>
      <w:r w:rsidR="00557662" w:rsidRPr="003A3E2F">
        <w:rPr>
          <w:szCs w:val="16"/>
        </w:rPr>
        <w:t>.</w:t>
      </w:r>
    </w:p>
  </w:footnote>
  <w:footnote w:id="31">
    <w:p w14:paraId="77B6D29F" w14:textId="2C07A3BC" w:rsidR="00771805" w:rsidRDefault="00771805">
      <w:pPr>
        <w:pStyle w:val="FootnoteText"/>
      </w:pPr>
      <w:r w:rsidRPr="003A3E2F">
        <w:rPr>
          <w:rStyle w:val="FootnoteReference"/>
          <w:sz w:val="16"/>
          <w:szCs w:val="16"/>
        </w:rPr>
        <w:footnoteRef/>
      </w:r>
      <w:r>
        <w:t xml:space="preserve"> </w:t>
      </w:r>
      <w:hyperlink r:id="rId12" w:history="1">
        <w:r w:rsidR="000A7A7A" w:rsidRPr="008C3E83">
          <w:rPr>
            <w:rStyle w:val="Hyperlink"/>
          </w:rPr>
          <w:t>https://assets.publishing.service.gov.uk/government/uploads/system/uploads/attachment_data/file/110692/13-651-modern-workplaces-shared-parental-leave-and-pay-impact-assessment2.pdf</w:t>
        </w:r>
      </w:hyperlink>
      <w:r w:rsidR="000A7A7A">
        <w:t xml:space="preserve"> </w:t>
      </w:r>
    </w:p>
  </w:footnote>
  <w:footnote w:id="32">
    <w:p w14:paraId="39BE7C19" w14:textId="21DC12DE" w:rsidR="000C2A4C" w:rsidRDefault="002E1DFA" w:rsidP="002E1DFA">
      <w:pPr>
        <w:pStyle w:val="FootnoteText"/>
      </w:pPr>
      <w:r w:rsidRPr="003A3E2F">
        <w:rPr>
          <w:rStyle w:val="FootnoteReference"/>
          <w:sz w:val="16"/>
          <w:szCs w:val="16"/>
        </w:rPr>
        <w:footnoteRef/>
      </w:r>
      <w:r>
        <w:t xml:space="preserve"> </w:t>
      </w:r>
      <w:hyperlink r:id="rId13" w:history="1">
        <w:r w:rsidR="000C2A4C" w:rsidRPr="00CE372F">
          <w:rPr>
            <w:rStyle w:val="Hyperlink"/>
          </w:rPr>
          <w:t>https://explore-education-statistics.service.gov.uk/find-statistics/children-looked-after-in-england-including-adoptions/2020</w:t>
        </w:r>
      </w:hyperlink>
    </w:p>
  </w:footnote>
  <w:footnote w:id="33">
    <w:p w14:paraId="5A1FDC79" w14:textId="0991D837" w:rsidR="00F74848" w:rsidRDefault="00E678F4">
      <w:pPr>
        <w:pStyle w:val="FootnoteText"/>
      </w:pPr>
      <w:r w:rsidRPr="003A3E2F">
        <w:rPr>
          <w:rStyle w:val="FootnoteReference"/>
          <w:sz w:val="16"/>
          <w:szCs w:val="16"/>
        </w:rPr>
        <w:footnoteRef/>
      </w:r>
      <w:r>
        <w:t xml:space="preserve"> </w:t>
      </w:r>
      <w:hyperlink r:id="rId14" w:history="1">
        <w:r w:rsidR="00F74848" w:rsidRPr="00CE372F">
          <w:rPr>
            <w:rStyle w:val="Hyperlink"/>
          </w:rPr>
          <w:t>https://www.hcch.net/en/instruments/conventions/publications1/?dtid=32&amp;cid=69</w:t>
        </w:r>
      </w:hyperlink>
    </w:p>
  </w:footnote>
  <w:footnote w:id="34">
    <w:p w14:paraId="36CABFCD" w14:textId="00841D8D" w:rsidR="00F74848" w:rsidRDefault="002E1DFA" w:rsidP="002E1DFA">
      <w:pPr>
        <w:pStyle w:val="FootnoteText"/>
      </w:pPr>
      <w:r w:rsidRPr="003A3E2F">
        <w:rPr>
          <w:rStyle w:val="FootnoteReference"/>
          <w:sz w:val="16"/>
          <w:szCs w:val="16"/>
        </w:rPr>
        <w:footnoteRef/>
      </w:r>
      <w:r>
        <w:t xml:space="preserve"> </w:t>
      </w:r>
      <w:hyperlink r:id="rId15" w:history="1">
        <w:r w:rsidR="00F74848" w:rsidRPr="00CE372F">
          <w:rPr>
            <w:rStyle w:val="Hyperlink"/>
          </w:rPr>
          <w:t>https://www.gov.uk/government/statistics/family-court-statistics-quarterly-july-to-september-2021</w:t>
        </w:r>
      </w:hyperlink>
    </w:p>
    <w:p w14:paraId="27E8C733" w14:textId="77777777" w:rsidR="00F74848" w:rsidRDefault="00F74848" w:rsidP="002E1DFA">
      <w:pPr>
        <w:pStyle w:val="FootnoteText"/>
      </w:pPr>
    </w:p>
  </w:footnote>
  <w:footnote w:id="35">
    <w:p w14:paraId="029BEB85" w14:textId="77777777" w:rsidR="00E145F2" w:rsidRPr="00D3294C" w:rsidRDefault="00E145F2" w:rsidP="00E145F2">
      <w:pPr>
        <w:pStyle w:val="FootnoteText"/>
      </w:pPr>
      <w:r>
        <w:rPr>
          <w:rStyle w:val="FootnoteReference"/>
        </w:rPr>
        <w:footnoteRef/>
      </w:r>
      <w:r>
        <w:t xml:space="preserve"> </w:t>
      </w:r>
      <w:r w:rsidRPr="00D3294C">
        <w:t>Despite not including women who work in businesses with only one employee when calculating the number of eligible women, we include businesses with only one employee in the calculation of the familiarisation costs. This is because we assume that businesses with only one employee will familiarise themselves with the policy even though they will never make use of it.</w:t>
      </w:r>
    </w:p>
  </w:footnote>
  <w:footnote w:id="36">
    <w:p w14:paraId="32A708D0" w14:textId="77777777" w:rsidR="00E145F2" w:rsidRDefault="00E145F2" w:rsidP="00E145F2">
      <w:pPr>
        <w:pStyle w:val="FootnoteText"/>
      </w:pPr>
      <w:r w:rsidRPr="00D3294C">
        <w:rPr>
          <w:rStyle w:val="FootnoteReference"/>
        </w:rPr>
        <w:footnoteRef/>
      </w:r>
      <w:r w:rsidRPr="00D3294C">
        <w:t xml:space="preserve"> https://www.ons.gov.uk/employmentandlabourmarket/peopleinwork/earningsandworkinghours/datas</w:t>
      </w:r>
      <w:r>
        <w:t>Employment Tribunal</w:t>
      </w:r>
      <w:r w:rsidRPr="00D3294C">
        <w:t>/occupation4digitsoc2010ashetable14</w:t>
      </w:r>
    </w:p>
  </w:footnote>
  <w:footnote w:id="37">
    <w:p w14:paraId="3C288832" w14:textId="77777777" w:rsidR="003D1B52" w:rsidRDefault="003D1B52" w:rsidP="003D1B52">
      <w:pPr>
        <w:pStyle w:val="FootnoteText"/>
      </w:pPr>
      <w:r>
        <w:rPr>
          <w:rStyle w:val="FootnoteReference"/>
        </w:rPr>
        <w:footnoteRef/>
      </w:r>
      <w:r>
        <w:t xml:space="preserve"> </w:t>
      </w:r>
      <w:hyperlink r:id="rId16" w:history="1">
        <w:r w:rsidRPr="0036199D">
          <w:rPr>
            <w:rStyle w:val="Hyperlink"/>
          </w:rPr>
          <w:t>https://www.gov.uk/government/uploads/system/uploads/attachment_data/file/509501/BIS-16-146-pregnancy-and-maternity-related-discrimination-and-disadvantage-experiences-of-mothers.pdf</w:t>
        </w:r>
      </w:hyperlink>
      <w:r>
        <w:t>, p145)</w:t>
      </w:r>
    </w:p>
  </w:footnote>
  <w:footnote w:id="38">
    <w:p w14:paraId="79FDCC96" w14:textId="77777777" w:rsidR="003D1B52" w:rsidRDefault="003D1B52" w:rsidP="003D1B52">
      <w:pPr>
        <w:pStyle w:val="FootnoteText"/>
      </w:pPr>
      <w:r>
        <w:rPr>
          <w:rStyle w:val="FootnoteReference"/>
        </w:rPr>
        <w:footnoteRef/>
      </w:r>
      <w:r>
        <w:t xml:space="preserve"> Figures rounded to nearest 100</w:t>
      </w:r>
    </w:p>
  </w:footnote>
  <w:footnote w:id="39">
    <w:p w14:paraId="189EA250" w14:textId="77777777" w:rsidR="003D1B52" w:rsidRPr="006C726A" w:rsidRDefault="003D1B52" w:rsidP="003D1B52">
      <w:pPr>
        <w:pStyle w:val="FootnoteText"/>
      </w:pPr>
      <w:r>
        <w:rPr>
          <w:rStyle w:val="FootnoteReference"/>
        </w:rPr>
        <w:footnoteRef/>
      </w:r>
      <w:r>
        <w:t xml:space="preserve"> Findings from the Survey of Employment Tribunal Applications 2018 (SETA)</w:t>
      </w:r>
    </w:p>
  </w:footnote>
  <w:footnote w:id="40">
    <w:p w14:paraId="18C58871" w14:textId="77777777" w:rsidR="003D1B52" w:rsidRDefault="003D1B52" w:rsidP="003D1B52">
      <w:pPr>
        <w:pStyle w:val="FootnoteText"/>
      </w:pPr>
      <w:r>
        <w:rPr>
          <w:rStyle w:val="FootnoteReference"/>
        </w:rPr>
        <w:footnoteRef/>
      </w:r>
      <w:r>
        <w:t xml:space="preserve"> </w:t>
      </w:r>
      <w:hyperlink r:id="rId17" w:history="1">
        <w:r>
          <w:rPr>
            <w:rStyle w:val="Hyperlink"/>
          </w:rPr>
          <w:t>https://archive.acas.org.uk/annualreport</w:t>
        </w:r>
      </w:hyperlink>
    </w:p>
  </w:footnote>
  <w:footnote w:id="41">
    <w:p w14:paraId="3161BEA2" w14:textId="77777777" w:rsidR="00A4349D" w:rsidRDefault="00A4349D" w:rsidP="00A4349D">
      <w:pPr>
        <w:pStyle w:val="FootnoteText"/>
      </w:pPr>
      <w:r>
        <w:rPr>
          <w:rStyle w:val="FootnoteReference"/>
        </w:rPr>
        <w:footnoteRef/>
      </w:r>
      <w:r>
        <w:t xml:space="preserve"> </w:t>
      </w:r>
      <w:hyperlink r:id="rId18" w:history="1">
        <w:r w:rsidRPr="004063A0">
          <w:rPr>
            <w:rStyle w:val="Hyperlink"/>
          </w:rPr>
          <w:t>https://www.gov.uk/maternity-pay-leave/pay</w:t>
        </w:r>
      </w:hyperlink>
    </w:p>
  </w:footnote>
  <w:footnote w:id="42">
    <w:p w14:paraId="0DDB2785" w14:textId="77777777" w:rsidR="00A4349D" w:rsidRDefault="00A4349D" w:rsidP="00A4349D">
      <w:pPr>
        <w:pStyle w:val="FootnoteText"/>
      </w:pPr>
      <w:r>
        <w:rPr>
          <w:rStyle w:val="FootnoteReference"/>
        </w:rPr>
        <w:footnoteRef/>
      </w:r>
      <w:r>
        <w:t xml:space="preserve"> Using the qualifying criterion, we find approximately 200 women would not qualify for SMP once the reforms are implemented and thus assume they would have been able to claim MA instead at cost to the Exchequer. These are also added to the SMP payments paid out of the Exchequer to arrival at a total Exchequer impact. </w:t>
      </w:r>
    </w:p>
  </w:footnote>
  <w:footnote w:id="43">
    <w:p w14:paraId="630E09A3" w14:textId="09C782F4" w:rsidR="003107F7" w:rsidRDefault="003107F7">
      <w:pPr>
        <w:pStyle w:val="FootnoteText"/>
      </w:pPr>
      <w:r>
        <w:rPr>
          <w:rStyle w:val="FootnoteReference"/>
        </w:rPr>
        <w:footnoteRef/>
      </w:r>
      <w:r>
        <w:t xml:space="preserve"> </w:t>
      </w:r>
      <w:r w:rsidRPr="00297286">
        <w:rPr>
          <w:szCs w:val="16"/>
        </w:rPr>
        <w:t>For example, Blanchflower, D. G., Oswald., A. J. (2004), Well-being over time in Britain and the USA, Journal of Public Economics, 88, 1359-1386</w:t>
      </w:r>
    </w:p>
  </w:footnote>
  <w:footnote w:id="44">
    <w:p w14:paraId="6816E5DC" w14:textId="78B9303A" w:rsidR="00D21B97" w:rsidRDefault="00D21B97">
      <w:pPr>
        <w:pStyle w:val="FootnoteText"/>
      </w:pPr>
      <w:r>
        <w:rPr>
          <w:rStyle w:val="FootnoteReference"/>
        </w:rPr>
        <w:footnoteRef/>
      </w:r>
      <w:r>
        <w:t xml:space="preserve"> </w:t>
      </w:r>
      <w:r w:rsidRPr="00297286">
        <w:rPr>
          <w:szCs w:val="16"/>
        </w:rPr>
        <w:t xml:space="preserve">International Monetary Fund (2018). </w:t>
      </w:r>
      <w:r w:rsidRPr="00297286">
        <w:rPr>
          <w:i/>
          <w:iCs/>
          <w:szCs w:val="16"/>
        </w:rPr>
        <w:t>Pursuing Women’s Economic Empowerment.</w:t>
      </w:r>
    </w:p>
  </w:footnote>
  <w:footnote w:id="45">
    <w:p w14:paraId="07A97BCE" w14:textId="41043E53" w:rsidR="00C40CBF" w:rsidRDefault="00C40CBF">
      <w:pPr>
        <w:pStyle w:val="FootnoteText"/>
      </w:pPr>
      <w:r>
        <w:rPr>
          <w:rStyle w:val="FootnoteReference"/>
        </w:rPr>
        <w:footnoteRef/>
      </w:r>
      <w:r>
        <w:t xml:space="preserve"> </w:t>
      </w:r>
      <w:r w:rsidRPr="00297286">
        <w:rPr>
          <w:szCs w:val="16"/>
        </w:rPr>
        <w:t>The report defines small employers as those with under 49 employees.</w:t>
      </w:r>
    </w:p>
  </w:footnote>
  <w:footnote w:id="46">
    <w:p w14:paraId="3918870B" w14:textId="03075E55" w:rsidR="00201257" w:rsidRDefault="00201257">
      <w:pPr>
        <w:pStyle w:val="FootnoteText"/>
      </w:pPr>
      <w:r>
        <w:rPr>
          <w:rStyle w:val="FootnoteReference"/>
        </w:rPr>
        <w:footnoteRef/>
      </w:r>
      <w:r>
        <w:t xml:space="preserve"> </w:t>
      </w:r>
      <w:r w:rsidRPr="00297286">
        <w:rPr>
          <w:szCs w:val="16"/>
        </w:rPr>
        <w:t>Business population statistics, 2021</w:t>
      </w:r>
    </w:p>
  </w:footnote>
  <w:footnote w:id="47">
    <w:p w14:paraId="5B1EB536" w14:textId="4F9291BF" w:rsidR="004C2EA1" w:rsidRDefault="004C2EA1">
      <w:pPr>
        <w:pStyle w:val="FootnoteText"/>
      </w:pPr>
      <w:r>
        <w:rPr>
          <w:rStyle w:val="FootnoteReference"/>
        </w:rPr>
        <w:footnoteRef/>
      </w:r>
      <w:r>
        <w:t xml:space="preserve"> </w:t>
      </w:r>
      <w:hyperlink r:id="rId19" w:history="1">
        <w:r w:rsidRPr="00297286">
          <w:rPr>
            <w:rStyle w:val="Hyperlink"/>
            <w:rFonts w:cs="Arial"/>
            <w:szCs w:val="16"/>
          </w:rPr>
          <w:t>https://assets.publishing.service.gov.uk/government/uploads/system/uploads/attachment_data/file/871865/carers-leave-consultation-impact-assessment.pdf</w:t>
        </w:r>
      </w:hyperlink>
      <w:r w:rsidRPr="00297286">
        <w:rPr>
          <w:rFonts w:cs="Arial"/>
          <w:szCs w:val="16"/>
        </w:rPr>
        <w:t xml:space="preserve"> and </w:t>
      </w:r>
      <w:hyperlink r:id="rId20" w:history="1">
        <w:r w:rsidRPr="00297286">
          <w:rPr>
            <w:rStyle w:val="cf01"/>
            <w:rFonts w:ascii="Arial" w:hAnsi="Arial" w:cs="Arial"/>
            <w:sz w:val="16"/>
            <w:szCs w:val="16"/>
            <w:u w:val="single"/>
          </w:rPr>
          <w:t>https://www.legislation.gov.uk/ukdsi/2020/9780111192238/impacts</w:t>
        </w:r>
      </w:hyperlink>
    </w:p>
  </w:footnote>
  <w:footnote w:id="48">
    <w:p w14:paraId="5FA5400B" w14:textId="3501E415" w:rsidR="00993F76" w:rsidRDefault="00993F76">
      <w:pPr>
        <w:pStyle w:val="FootnoteText"/>
      </w:pPr>
      <w:r>
        <w:rPr>
          <w:rStyle w:val="FootnoteReference"/>
        </w:rPr>
        <w:footnoteRef/>
      </w:r>
      <w:r>
        <w:t xml:space="preserve"> </w:t>
      </w:r>
      <w:r w:rsidRPr="00297286">
        <w:rPr>
          <w:rFonts w:cs="Arial"/>
          <w:szCs w:val="16"/>
        </w:rPr>
        <w:t xml:space="preserve">Bellet, C. and De Neve, J. &amp; Ward, George. (2019), </w:t>
      </w:r>
      <w:r w:rsidRPr="00297286">
        <w:rPr>
          <w:rFonts w:cs="Arial"/>
          <w:i/>
          <w:iCs/>
          <w:szCs w:val="16"/>
        </w:rPr>
        <w:t xml:space="preserve">Does Employee Happiness have an Impact on Productivity?, </w:t>
      </w:r>
      <w:r w:rsidRPr="00297286">
        <w:rPr>
          <w:rFonts w:cs="Arial"/>
          <w:szCs w:val="16"/>
        </w:rPr>
        <w:t>Said Business School WP 2019-13.</w:t>
      </w:r>
      <w:r>
        <w:rPr>
          <w:rFonts w:cs="Arial"/>
          <w:szCs w:val="16"/>
        </w:rPr>
        <w:t xml:space="preserve"> </w:t>
      </w:r>
    </w:p>
  </w:footnote>
  <w:footnote w:id="49">
    <w:p w14:paraId="2C039BC5" w14:textId="23539316" w:rsidR="0012619D" w:rsidRDefault="0012619D">
      <w:pPr>
        <w:pStyle w:val="FootnoteText"/>
      </w:pPr>
      <w:r>
        <w:rPr>
          <w:rStyle w:val="FootnoteReference"/>
        </w:rPr>
        <w:footnoteRef/>
      </w:r>
      <w:r>
        <w:t xml:space="preserve"> Lovejoy, MC., Graczyk, PA., O’Hare, E. &amp; Neuman, G. (2000), </w:t>
      </w:r>
      <w:r>
        <w:rPr>
          <w:i/>
          <w:iCs/>
        </w:rPr>
        <w:t xml:space="preserve">Maternal depression and parenting behaviour: a meta analytic review. </w:t>
      </w:r>
      <w:r>
        <w:t>Clinical Psychological Review, 20(5):561-92.</w:t>
      </w:r>
    </w:p>
  </w:footnote>
  <w:footnote w:id="50">
    <w:p w14:paraId="006C85F2" w14:textId="16AC835D" w:rsidR="0012619D" w:rsidRDefault="0012619D">
      <w:pPr>
        <w:pStyle w:val="FootnoteText"/>
      </w:pPr>
      <w:r>
        <w:rPr>
          <w:rStyle w:val="FootnoteReference"/>
        </w:rPr>
        <w:footnoteRef/>
      </w:r>
      <w:r>
        <w:t xml:space="preserve"> </w:t>
      </w:r>
      <w:r w:rsidR="00476363">
        <w:t xml:space="preserve">Martins, C. &amp; Gaffan, EA. (2000), </w:t>
      </w:r>
      <w:r w:rsidR="00476363">
        <w:rPr>
          <w:i/>
          <w:iCs/>
        </w:rPr>
        <w:t>Effects of early maternal depression on patterns of infant-mother attachment: a meta-analytic investigation</w:t>
      </w:r>
      <w:r w:rsidR="00476363">
        <w:t>.Journal of Psychology Psychiatry, 41(6):737-46.</w:t>
      </w:r>
    </w:p>
  </w:footnote>
  <w:footnote w:id="51">
    <w:p w14:paraId="0DF28BEA" w14:textId="77777777" w:rsidR="004A6E7B" w:rsidRDefault="004A6E7B" w:rsidP="004A6E7B">
      <w:pPr>
        <w:pStyle w:val="FootnoteText"/>
      </w:pPr>
      <w:r w:rsidRPr="00BD5BA8">
        <w:rPr>
          <w:rStyle w:val="FootnoteReference"/>
          <w:szCs w:val="16"/>
        </w:rPr>
        <w:footnoteRef/>
      </w:r>
      <w:r w:rsidRPr="007B1420">
        <w:t>http://nesstar.ukdataservice.ac.uk/webview/index.jsp?v=2&amp;mode=documentation&amp;submode=abstract&amp;study=http://nesstar.ukdataservice.ac.uk:80/obj/fStudy/7226&amp;top=yes</w:t>
      </w:r>
    </w:p>
  </w:footnote>
  <w:footnote w:id="52">
    <w:p w14:paraId="2CEE3BD8" w14:textId="77777777" w:rsidR="004A6E7B" w:rsidRDefault="004A6E7B" w:rsidP="004A6E7B">
      <w:pPr>
        <w:pStyle w:val="FootnoteText"/>
      </w:pPr>
      <w:r>
        <w:rPr>
          <w:rStyle w:val="FootnoteReference"/>
        </w:rPr>
        <w:footnoteRef/>
      </w:r>
      <w:r>
        <w:t xml:space="preserve"> Non -wage costs (20.6% ) Eurostat, April 2018</w:t>
      </w:r>
    </w:p>
  </w:footnote>
  <w:footnote w:id="53">
    <w:p w14:paraId="4A7A8AE9" w14:textId="15557B95" w:rsidR="004A6E7B" w:rsidRDefault="004A6E7B" w:rsidP="004A6E7B">
      <w:pPr>
        <w:pStyle w:val="FootnoteText"/>
      </w:pPr>
      <w:r>
        <w:rPr>
          <w:rStyle w:val="FootnoteReference"/>
        </w:rPr>
        <w:footnoteRef/>
      </w:r>
      <w:r>
        <w:t xml:space="preserve"> </w:t>
      </w:r>
      <w:hyperlink r:id="rId21" w:history="1">
        <w:r w:rsidR="00254E25" w:rsidRPr="00C370BB">
          <w:rPr>
            <w:rStyle w:val="Hyperlink"/>
          </w:rPr>
          <w:t>https://www.ons.gov.uk/employmentandlabourmarket/peopleinwork/earningsandworkinghours/datasets/agegroupashetable6</w:t>
        </w:r>
      </w:hyperlink>
      <w:r w:rsidR="00254E25">
        <w:t xml:space="preserve"> </w:t>
      </w:r>
    </w:p>
  </w:footnote>
  <w:footnote w:id="54">
    <w:p w14:paraId="5A2FE462" w14:textId="77777777" w:rsidR="004A6E7B" w:rsidRDefault="004A6E7B" w:rsidP="004A6E7B">
      <w:pPr>
        <w:pStyle w:val="FootnoteText"/>
      </w:pPr>
      <w:r w:rsidRPr="00254E25">
        <w:rPr>
          <w:rStyle w:val="FootnoteReference"/>
        </w:rPr>
        <w:footnoteRef/>
      </w:r>
      <w:r w:rsidRPr="00254E25">
        <w:t xml:space="preserve"> ASHE 2021</w:t>
      </w:r>
    </w:p>
  </w:footnote>
  <w:footnote w:id="55">
    <w:p w14:paraId="7A597856" w14:textId="77777777" w:rsidR="004A6E7B" w:rsidRDefault="004A6E7B" w:rsidP="004A6E7B">
      <w:pPr>
        <w:pStyle w:val="FootnoteText"/>
      </w:pPr>
      <w:r>
        <w:rPr>
          <w:rStyle w:val="FootnoteReference"/>
        </w:rPr>
        <w:footnoteRef/>
      </w:r>
      <w:r>
        <w:t xml:space="preserve"> ONS and NRS data on live births (2019, 2020)</w:t>
      </w:r>
    </w:p>
  </w:footnote>
  <w:footnote w:id="56">
    <w:p w14:paraId="556A7B4B" w14:textId="77777777" w:rsidR="004A6E7B" w:rsidRDefault="004A6E7B" w:rsidP="004A6E7B">
      <w:pPr>
        <w:pStyle w:val="FootnoteText"/>
      </w:pPr>
      <w:r>
        <w:rPr>
          <w:rStyle w:val="FootnoteReference"/>
        </w:rPr>
        <w:footnoteRef/>
      </w:r>
      <w:r>
        <w:t xml:space="preserve"> Apply 50% factor to populations to account for businesses pursuing cost-offset strategy. </w:t>
      </w:r>
    </w:p>
  </w:footnote>
  <w:footnote w:id="57">
    <w:p w14:paraId="7108D66B" w14:textId="77777777" w:rsidR="004A6E7B" w:rsidRDefault="004A6E7B" w:rsidP="004A6E7B">
      <w:pPr>
        <w:pStyle w:val="FootnoteText"/>
      </w:pPr>
      <w:r>
        <w:rPr>
          <w:rStyle w:val="FootnoteReference"/>
        </w:rPr>
        <w:footnoteRef/>
      </w:r>
      <w:r>
        <w:t xml:space="preserve"> Labour costs uplifted for period upon return to work, reflecting percentage change in wages over time (ASHE 2021)</w:t>
      </w:r>
    </w:p>
  </w:footnote>
  <w:footnote w:id="58">
    <w:p w14:paraId="7B16AF78" w14:textId="77777777" w:rsidR="004A6E7B" w:rsidRDefault="004A6E7B" w:rsidP="004A6E7B">
      <w:pPr>
        <w:pStyle w:val="FootnoteText"/>
      </w:pPr>
      <w:r>
        <w:rPr>
          <w:rStyle w:val="FootnoteReference"/>
        </w:rPr>
        <w:footnoteRef/>
      </w:r>
      <w:r>
        <w:t xml:space="preserve"> </w:t>
      </w:r>
      <w:r w:rsidRPr="00840D02">
        <w:t xml:space="preserve">Current redundancy pay rates are based on the age of the recipient. The relevant age ranges that receive different amounts of redundancy pay are: under 22, 22-40 and 41 and older.  </w:t>
      </w:r>
      <w:hyperlink r:id="rId22" w:history="1">
        <w:r w:rsidRPr="004063A0">
          <w:rPr>
            <w:rStyle w:val="Hyperlink"/>
          </w:rPr>
          <w:t>https://www.gov.uk/redundant-your-rights/redundancy-pay</w:t>
        </w:r>
      </w:hyperlink>
    </w:p>
  </w:footnote>
  <w:footnote w:id="59">
    <w:p w14:paraId="30567E50" w14:textId="55DF1567" w:rsidR="004A6E7B" w:rsidRDefault="004A6E7B" w:rsidP="004A6E7B">
      <w:pPr>
        <w:pStyle w:val="FootnoteText"/>
      </w:pPr>
      <w:r>
        <w:rPr>
          <w:rStyle w:val="FootnoteReference"/>
        </w:rPr>
        <w:footnoteRef/>
      </w:r>
      <w:r>
        <w:t xml:space="preserve"> </w:t>
      </w:r>
      <w:hyperlink r:id="rId23" w:history="1">
        <w:r w:rsidR="00140394" w:rsidRPr="00C370BB">
          <w:rPr>
            <w:rStyle w:val="Hyperlink"/>
          </w:rPr>
          <w:t>https://www.gov.uk/redundant-your-rights/redundancy-pay</w:t>
        </w:r>
      </w:hyperlink>
      <w:r w:rsidR="00140394">
        <w:t xml:space="preserve"> </w:t>
      </w:r>
    </w:p>
  </w:footnote>
  <w:footnote w:id="60">
    <w:p w14:paraId="01389650" w14:textId="77777777" w:rsidR="004A6E7B" w:rsidRDefault="004A6E7B" w:rsidP="004A6E7B">
      <w:pPr>
        <w:pStyle w:val="FootnoteText"/>
      </w:pPr>
      <w:r>
        <w:rPr>
          <w:rStyle w:val="FootnoteReference"/>
        </w:rPr>
        <w:footnoteRef/>
      </w:r>
      <w:r>
        <w:t xml:space="preserve"> The population of parents by age is based on Live Births in England and Wales -  </w:t>
      </w:r>
      <w:hyperlink r:id="rId24" w:history="1">
        <w:r w:rsidRPr="00C6416D">
          <w:rPr>
            <w:rStyle w:val="Hyperlink"/>
          </w:rPr>
          <w:t>https://www.ons.gov.uk/peoplepopulationandcommunity/birthsdeathsandmarriages/livebirths/datasets/birthsbyparentscharacteristics</w:t>
        </w:r>
      </w:hyperlink>
      <w:r>
        <w:t xml:space="preserve"> and National Records of Scotland - </w:t>
      </w:r>
      <w:hyperlink r:id="rId25" w:anchor="section3" w:history="1">
        <w:r w:rsidRPr="00C6416D">
          <w:rPr>
            <w:rStyle w:val="Hyperlink"/>
          </w:rPr>
          <w:t>https://www.nrscotland.gov.uk/statistics-and-data/statistics/statistics-by-theme/vital-events/general-publications/vital-events-reference-tables/2020/list-of-data-tables#section3</w:t>
        </w:r>
      </w:hyperlink>
      <w:r>
        <w:t xml:space="preserve">, </w:t>
      </w:r>
    </w:p>
  </w:footnote>
  <w:footnote w:id="61">
    <w:p w14:paraId="72EB26F8" w14:textId="77777777" w:rsidR="004A6E7B" w:rsidRDefault="004A6E7B" w:rsidP="004A6E7B">
      <w:pPr>
        <w:pStyle w:val="FootnoteText"/>
      </w:pPr>
      <w:r>
        <w:rPr>
          <w:rStyle w:val="FootnoteReference"/>
        </w:rPr>
        <w:footnoteRef/>
      </w:r>
      <w:r>
        <w:t xml:space="preserve"> Internal BEIS analysis of the Annual Survey of Hours and Earnings data based on the m</w:t>
      </w:r>
      <w:r w:rsidRPr="002B19CA">
        <w:t>edian weekly earnings for men/women aged 16+</w:t>
      </w:r>
      <w:r>
        <w:t>.</w:t>
      </w:r>
    </w:p>
  </w:footnote>
  <w:footnote w:id="62">
    <w:p w14:paraId="4242E2DE" w14:textId="77777777" w:rsidR="004A6E7B" w:rsidRDefault="004A6E7B" w:rsidP="004A6E7B">
      <w:pPr>
        <w:pStyle w:val="FootnoteText"/>
      </w:pPr>
      <w:r>
        <w:rPr>
          <w:rStyle w:val="FootnoteReference"/>
        </w:rPr>
        <w:footnoteRef/>
      </w:r>
      <w:r>
        <w:t xml:space="preserve"> Internal BEIS analysis of LFS microdate</w:t>
      </w:r>
      <w:r w:rsidRPr="00A959F2">
        <w:t>.</w:t>
      </w:r>
    </w:p>
  </w:footnote>
  <w:footnote w:id="63">
    <w:p w14:paraId="1B063DE3" w14:textId="77777777" w:rsidR="004A6E7B" w:rsidRDefault="004A6E7B" w:rsidP="004A6E7B">
      <w:pPr>
        <w:pStyle w:val="FootnoteText"/>
      </w:pPr>
      <w:r>
        <w:rPr>
          <w:rStyle w:val="FootnoteReference"/>
        </w:rPr>
        <w:footnoteRef/>
      </w:r>
      <w:r>
        <w:t xml:space="preserve"> </w:t>
      </w:r>
      <w:r w:rsidRPr="00FC3072">
        <w:t>Aggregating figures across tables 12 and 13 may give slightly different figure due to rounding</w:t>
      </w:r>
    </w:p>
  </w:footnote>
  <w:footnote w:id="64">
    <w:p w14:paraId="5980DBC5" w14:textId="77777777" w:rsidR="004A6E7B" w:rsidRDefault="004A6E7B" w:rsidP="004A6E7B">
      <w:pPr>
        <w:pStyle w:val="FootnoteText"/>
      </w:pPr>
      <w:r>
        <w:rPr>
          <w:rStyle w:val="FootnoteReference"/>
        </w:rPr>
        <w:footnoteRef/>
      </w:r>
      <w:r>
        <w:t xml:space="preserve"> </w:t>
      </w:r>
      <w:hyperlink r:id="rId26" w:history="1">
        <w:r w:rsidRPr="00DD5CDF">
          <w:rPr>
            <w:rStyle w:val="Hyperlink"/>
          </w:rPr>
          <w:t>https://www.gov.uk/government/publications/maternity-certificate-mat-b1-guidance-for-health-professionals/maternity-certificate-form-mat-b1-guidance-on-completion</w:t>
        </w:r>
      </w:hyperlink>
    </w:p>
  </w:footnote>
  <w:footnote w:id="65">
    <w:p w14:paraId="3F7BF825" w14:textId="77777777" w:rsidR="004A6E7B" w:rsidRDefault="004A6E7B" w:rsidP="004A6E7B">
      <w:pPr>
        <w:pStyle w:val="FootnoteText"/>
      </w:pPr>
      <w:r>
        <w:rPr>
          <w:rStyle w:val="FootnoteReference"/>
        </w:rPr>
        <w:footnoteRef/>
      </w:r>
      <w:r>
        <w:t xml:space="preserve"> </w:t>
      </w:r>
      <w:hyperlink r:id="rId27" w:history="1">
        <w:r w:rsidRPr="00CE372F">
          <w:rPr>
            <w:rStyle w:val="Hyperlink"/>
          </w:rPr>
          <w:t>https://www.ons.gov.uk/employmentandlabourmarket/peopleinwork/employmentandemployeetypes/timeseries/j64p/lms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B4F79" w14:textId="77777777" w:rsidR="008B5AAD" w:rsidRDefault="008B5A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920D" w14:textId="2D4AFF07" w:rsidR="00F84E50" w:rsidRDefault="00F84E50">
    <w:pPr>
      <w:pStyle w:val="Header"/>
    </w:pPr>
    <w:r>
      <w:fldChar w:fldCharType="begin"/>
    </w:r>
    <w:r>
      <w:instrText xml:space="preserve"> DOCPROPERTY  Classification  \* MERGEFORMAT </w:instrTex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8CBF2" w14:textId="77777777" w:rsidR="008B5AAD" w:rsidRDefault="008B5A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E7460" w14:textId="77777777" w:rsidR="00F84E50" w:rsidRDefault="00F84E50"/>
  <w:p w14:paraId="13C35FD1" w14:textId="77777777" w:rsidR="00F84E50" w:rsidRDefault="00F84E5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40B7E"/>
    <w:multiLevelType w:val="multilevel"/>
    <w:tmpl w:val="3962C62E"/>
    <w:lvl w:ilvl="0">
      <w:start w:val="7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82D3E"/>
    <w:multiLevelType w:val="multilevel"/>
    <w:tmpl w:val="BD32C40A"/>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29786C"/>
    <w:multiLevelType w:val="multilevel"/>
    <w:tmpl w:val="2D965DA4"/>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74341A"/>
    <w:multiLevelType w:val="hybridMultilevel"/>
    <w:tmpl w:val="129C5E38"/>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4" w15:restartNumberingAfterBreak="0">
    <w:nsid w:val="03C558D3"/>
    <w:multiLevelType w:val="hybridMultilevel"/>
    <w:tmpl w:val="F0F46884"/>
    <w:lvl w:ilvl="0" w:tplc="E3C0EEDC">
      <w:start w:val="1"/>
      <w:numFmt w:val="decimal"/>
      <w:lvlText w:val="%1."/>
      <w:lvlJc w:val="left"/>
      <w:pPr>
        <w:ind w:left="360" w:hanging="360"/>
      </w:pPr>
      <w:rPr>
        <w:b w:val="0"/>
        <w:i w:val="0"/>
      </w:rPr>
    </w:lvl>
    <w:lvl w:ilvl="1" w:tplc="08090005">
      <w:start w:val="1"/>
      <w:numFmt w:val="bullet"/>
      <w:lvlText w:val=""/>
      <w:lvlJc w:val="left"/>
      <w:pPr>
        <w:ind w:left="1440" w:hanging="360"/>
      </w:pPr>
      <w:rPr>
        <w:rFonts w:ascii="Wingdings" w:hAnsi="Wingdings" w:hint="default"/>
      </w:rPr>
    </w:lvl>
    <w:lvl w:ilvl="2" w:tplc="8770396E">
      <w:start w:val="1"/>
      <w:numFmt w:val="bullet"/>
      <w:lvlText w:val="-"/>
      <w:lvlJc w:val="left"/>
      <w:pPr>
        <w:ind w:left="2340" w:hanging="360"/>
      </w:pPr>
      <w:rPr>
        <w:rFonts w:ascii="Arial" w:eastAsia="Times New Roman" w:hAnsi="Arial" w:cs="Arial" w:hint="default"/>
      </w:rPr>
    </w:lvl>
    <w:lvl w:ilvl="3" w:tplc="2EDACDDA">
      <w:start w:val="2"/>
      <w:numFmt w:val="lowerRoman"/>
      <w:lvlText w:val="%4)"/>
      <w:lvlJc w:val="left"/>
      <w:pPr>
        <w:ind w:left="3240" w:hanging="720"/>
      </w:pPr>
      <w:rPr>
        <w:rFonts w:hint="default"/>
      </w:r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3D40990"/>
    <w:multiLevelType w:val="multilevel"/>
    <w:tmpl w:val="210C1342"/>
    <w:lvl w:ilvl="0">
      <w:start w:val="5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4822982"/>
    <w:multiLevelType w:val="multilevel"/>
    <w:tmpl w:val="3D321BE0"/>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4C76786"/>
    <w:multiLevelType w:val="multilevel"/>
    <w:tmpl w:val="A0EE50C8"/>
    <w:lvl w:ilvl="0">
      <w:start w:val="6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095D1A"/>
    <w:multiLevelType w:val="multilevel"/>
    <w:tmpl w:val="F9F609E2"/>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83931EA"/>
    <w:multiLevelType w:val="hybridMultilevel"/>
    <w:tmpl w:val="C106B7C2"/>
    <w:lvl w:ilvl="0" w:tplc="FFFFFFFF">
      <w:start w:val="1"/>
      <w:numFmt w:val="decimal"/>
      <w:lvlText w:val="%1."/>
      <w:lvlJc w:val="left"/>
      <w:pPr>
        <w:ind w:left="720" w:hanging="360"/>
      </w:pPr>
      <w:rPr>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8F55ADC"/>
    <w:multiLevelType w:val="multilevel"/>
    <w:tmpl w:val="EB6058D2"/>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97C7888"/>
    <w:multiLevelType w:val="hybridMultilevel"/>
    <w:tmpl w:val="00702180"/>
    <w:lvl w:ilvl="0" w:tplc="08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0A8A7569"/>
    <w:multiLevelType w:val="hybridMultilevel"/>
    <w:tmpl w:val="C106B7C2"/>
    <w:lvl w:ilvl="0" w:tplc="FFFFFFFF">
      <w:start w:val="1"/>
      <w:numFmt w:val="decimal"/>
      <w:lvlText w:val="%1."/>
      <w:lvlJc w:val="left"/>
      <w:pPr>
        <w:ind w:left="720" w:hanging="360"/>
      </w:pPr>
      <w:rPr>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0AD83AA1"/>
    <w:multiLevelType w:val="multilevel"/>
    <w:tmpl w:val="F6E8B600"/>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B5275ED"/>
    <w:multiLevelType w:val="multilevel"/>
    <w:tmpl w:val="978EC55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BE57AE5"/>
    <w:multiLevelType w:val="multilevel"/>
    <w:tmpl w:val="FA4249B0"/>
    <w:lvl w:ilvl="0">
      <w:start w:val="8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45419B"/>
    <w:multiLevelType w:val="multilevel"/>
    <w:tmpl w:val="3BA8F6BA"/>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05D74AC"/>
    <w:multiLevelType w:val="multilevel"/>
    <w:tmpl w:val="5618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23A6171"/>
    <w:multiLevelType w:val="multilevel"/>
    <w:tmpl w:val="E6DAC08C"/>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2E92EB9"/>
    <w:multiLevelType w:val="multilevel"/>
    <w:tmpl w:val="42368B28"/>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F14065"/>
    <w:multiLevelType w:val="multilevel"/>
    <w:tmpl w:val="3752B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4D86093"/>
    <w:multiLevelType w:val="hybridMultilevel"/>
    <w:tmpl w:val="814A888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15:restartNumberingAfterBreak="0">
    <w:nsid w:val="14DF5C65"/>
    <w:multiLevelType w:val="hybridMultilevel"/>
    <w:tmpl w:val="8C4CAA64"/>
    <w:lvl w:ilvl="0" w:tplc="66008136">
      <w:start w:val="1"/>
      <w:numFmt w:val="decimal"/>
      <w:lvlText w:val="%1."/>
      <w:lvlJc w:val="left"/>
      <w:pPr>
        <w:ind w:left="720" w:hanging="360"/>
      </w:pPr>
      <w:rPr>
        <w:b w:val="0"/>
        <w:bCs/>
        <w:sz w:val="24"/>
        <w:szCs w:val="24"/>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14FB1725"/>
    <w:multiLevelType w:val="hybridMultilevel"/>
    <w:tmpl w:val="41B8B1E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15772147"/>
    <w:multiLevelType w:val="multilevel"/>
    <w:tmpl w:val="BEEAC4C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5EF3286"/>
    <w:multiLevelType w:val="multilevel"/>
    <w:tmpl w:val="028AC9A8"/>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62D7970"/>
    <w:multiLevelType w:val="hybridMultilevel"/>
    <w:tmpl w:val="2E5611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16EB66BB"/>
    <w:multiLevelType w:val="hybridMultilevel"/>
    <w:tmpl w:val="C2DC0C72"/>
    <w:lvl w:ilvl="0" w:tplc="0809000F">
      <w:start w:val="1"/>
      <w:numFmt w:val="decimal"/>
      <w:lvlText w:val="%1."/>
      <w:lvlJc w:val="lef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28" w15:restartNumberingAfterBreak="0">
    <w:nsid w:val="170848B8"/>
    <w:multiLevelType w:val="hybridMultilevel"/>
    <w:tmpl w:val="AA6A4A36"/>
    <w:lvl w:ilvl="0" w:tplc="FFFFFFFF">
      <w:start w:val="1"/>
      <w:numFmt w:val="decimal"/>
      <w:lvlText w:val="%1."/>
      <w:lvlJc w:val="left"/>
      <w:pPr>
        <w:ind w:left="720" w:hanging="360"/>
      </w:pPr>
      <w:rPr>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19AF1184"/>
    <w:multiLevelType w:val="hybridMultilevel"/>
    <w:tmpl w:val="DECAACAE"/>
    <w:lvl w:ilvl="0" w:tplc="FFFFFFFF">
      <w:start w:val="1"/>
      <w:numFmt w:val="decimal"/>
      <w:lvlText w:val="%1."/>
      <w:lvlJc w:val="left"/>
      <w:pPr>
        <w:ind w:left="720" w:hanging="360"/>
      </w:pPr>
      <w:rPr>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1A987684"/>
    <w:multiLevelType w:val="multilevel"/>
    <w:tmpl w:val="CBFAF3EC"/>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BD745B5"/>
    <w:multiLevelType w:val="multilevel"/>
    <w:tmpl w:val="E3804E7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DCD05A7"/>
    <w:multiLevelType w:val="multilevel"/>
    <w:tmpl w:val="F7507AA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03710A6"/>
    <w:multiLevelType w:val="hybridMultilevel"/>
    <w:tmpl w:val="DEE6BCD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15:restartNumberingAfterBreak="0">
    <w:nsid w:val="207E2CD0"/>
    <w:multiLevelType w:val="multilevel"/>
    <w:tmpl w:val="E228938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5" w15:restartNumberingAfterBreak="0">
    <w:nsid w:val="20A4769A"/>
    <w:multiLevelType w:val="multilevel"/>
    <w:tmpl w:val="AB22A60C"/>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1044A7E"/>
    <w:multiLevelType w:val="multilevel"/>
    <w:tmpl w:val="12C21FC4"/>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1D1789D"/>
    <w:multiLevelType w:val="hybridMultilevel"/>
    <w:tmpl w:val="7E283436"/>
    <w:lvl w:ilvl="0" w:tplc="FFFFFFFF">
      <w:start w:val="1"/>
      <w:numFmt w:val="decimal"/>
      <w:lvlText w:val="%1."/>
      <w:lvlJc w:val="left"/>
      <w:pPr>
        <w:ind w:left="720" w:hanging="360"/>
      </w:pPr>
      <w:rPr>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22CF17F7"/>
    <w:multiLevelType w:val="hybridMultilevel"/>
    <w:tmpl w:val="B7F4941C"/>
    <w:lvl w:ilvl="0" w:tplc="99CA8210">
      <w:start w:val="1"/>
      <w:numFmt w:val="decimal"/>
      <w:pStyle w:val="NormalB"/>
      <w:lvlText w:val="%1."/>
      <w:lvlJc w:val="left"/>
      <w:pPr>
        <w:ind w:left="1070" w:hanging="360"/>
      </w:pPr>
      <w:rPr>
        <w:rFonts w:ascii="Arial" w:hAnsi="Arial" w:cs="Arial" w:hint="default"/>
        <w:b w:val="0"/>
        <w:color w:val="auto"/>
        <w:sz w:val="22"/>
        <w:szCs w:val="22"/>
      </w:rPr>
    </w:lvl>
    <w:lvl w:ilvl="1" w:tplc="08090001">
      <w:start w:val="1"/>
      <w:numFmt w:val="bullet"/>
      <w:lvlText w:val=""/>
      <w:lvlJc w:val="left"/>
      <w:pPr>
        <w:ind w:left="1440" w:hanging="360"/>
      </w:pPr>
      <w:rPr>
        <w:rFonts w:ascii="Symbol" w:hAnsi="Symbol" w:hint="default"/>
      </w:rPr>
    </w:lvl>
    <w:lvl w:ilvl="2" w:tplc="08090001">
      <w:start w:val="1"/>
      <w:numFmt w:val="bullet"/>
      <w:lvlText w:val=""/>
      <w:lvlJc w:val="left"/>
      <w:pPr>
        <w:ind w:left="2160" w:hanging="180"/>
      </w:pPr>
      <w:rPr>
        <w:rFonts w:ascii="Symbol" w:hAnsi="Symbol" w:hint="default"/>
      </w:rPr>
    </w:lvl>
    <w:lvl w:ilvl="3" w:tplc="0809000F" w:tentative="1">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2394104B"/>
    <w:multiLevelType w:val="hybridMultilevel"/>
    <w:tmpl w:val="9AB48B2E"/>
    <w:lvl w:ilvl="0" w:tplc="08090001">
      <w:start w:val="1"/>
      <w:numFmt w:val="bullet"/>
      <w:lvlText w:val=""/>
      <w:lvlJc w:val="left"/>
      <w:pPr>
        <w:ind w:left="720" w:hanging="360"/>
      </w:pPr>
      <w:rPr>
        <w:rFonts w:ascii="Symbol" w:hAnsi="Symbol" w:hint="default"/>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23AF331A"/>
    <w:multiLevelType w:val="multilevel"/>
    <w:tmpl w:val="5716535C"/>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48001AE"/>
    <w:multiLevelType w:val="hybridMultilevel"/>
    <w:tmpl w:val="7778C79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2" w15:restartNumberingAfterBreak="0">
    <w:nsid w:val="259D21EA"/>
    <w:multiLevelType w:val="hybridMultilevel"/>
    <w:tmpl w:val="A2587DD0"/>
    <w:lvl w:ilvl="0" w:tplc="CC0EBD18">
      <w:start w:val="1"/>
      <w:numFmt w:val="decimal"/>
      <w:lvlText w:val="%1."/>
      <w:lvlJc w:val="left"/>
      <w:pPr>
        <w:ind w:left="720" w:hanging="360"/>
      </w:pPr>
      <w:rPr>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26467540"/>
    <w:multiLevelType w:val="multilevel"/>
    <w:tmpl w:val="F34890E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6A65FC0"/>
    <w:multiLevelType w:val="multilevel"/>
    <w:tmpl w:val="28BE6AA2"/>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B3F39F8"/>
    <w:multiLevelType w:val="multilevel"/>
    <w:tmpl w:val="130ADDBA"/>
    <w:lvl w:ilvl="0">
      <w:start w:val="1"/>
      <w:numFmt w:val="bullet"/>
      <w:pStyle w:val="EBBullet"/>
      <w:lvlText w:val=""/>
      <w:lvlJc w:val="left"/>
      <w:pPr>
        <w:tabs>
          <w:tab w:val="num" w:pos="284"/>
        </w:tabs>
        <w:ind w:left="284" w:hanging="284"/>
      </w:pPr>
      <w:rPr>
        <w:rFonts w:ascii="Symbol" w:hAnsi="Symbol" w:hint="default"/>
      </w:rPr>
    </w:lvl>
    <w:lvl w:ilvl="1">
      <w:start w:val="1"/>
      <w:numFmt w:val="bullet"/>
      <w:lvlText w:val=""/>
      <w:lvlJc w:val="left"/>
      <w:pPr>
        <w:tabs>
          <w:tab w:val="num" w:pos="567"/>
        </w:tabs>
        <w:ind w:left="567" w:hanging="283"/>
      </w:pPr>
      <w:rPr>
        <w:rFonts w:ascii="Symbol" w:hAnsi="Symbol"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46" w15:restartNumberingAfterBreak="0">
    <w:nsid w:val="2F8131CB"/>
    <w:multiLevelType w:val="hybridMultilevel"/>
    <w:tmpl w:val="032ADC1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15:restartNumberingAfterBreak="0">
    <w:nsid w:val="2F8835D6"/>
    <w:multiLevelType w:val="hybridMultilevel"/>
    <w:tmpl w:val="D2606CCA"/>
    <w:lvl w:ilvl="0" w:tplc="6E4846D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8" w15:restartNumberingAfterBreak="0">
    <w:nsid w:val="2F9B14E9"/>
    <w:multiLevelType w:val="hybridMultilevel"/>
    <w:tmpl w:val="C106B7C2"/>
    <w:lvl w:ilvl="0" w:tplc="FFFFFFFF">
      <w:start w:val="1"/>
      <w:numFmt w:val="decimal"/>
      <w:lvlText w:val="%1."/>
      <w:lvlJc w:val="left"/>
      <w:pPr>
        <w:ind w:left="720" w:hanging="360"/>
      </w:pPr>
      <w:rPr>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9" w15:restartNumberingAfterBreak="0">
    <w:nsid w:val="303802CA"/>
    <w:multiLevelType w:val="multilevel"/>
    <w:tmpl w:val="5B5AF5F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0707E4E"/>
    <w:multiLevelType w:val="multilevel"/>
    <w:tmpl w:val="B1E64ED4"/>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15539B2"/>
    <w:multiLevelType w:val="hybridMultilevel"/>
    <w:tmpl w:val="EE9C825C"/>
    <w:lvl w:ilvl="0" w:tplc="758AB65C">
      <w:start w:val="1"/>
      <w:numFmt w:val="decimal"/>
      <w:lvlText w:val="%1."/>
      <w:lvlJc w:val="left"/>
      <w:pPr>
        <w:ind w:left="720" w:hanging="360"/>
      </w:pPr>
      <w:rPr>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31A71458"/>
    <w:multiLevelType w:val="multilevel"/>
    <w:tmpl w:val="5DA28AA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3" w15:restartNumberingAfterBreak="0">
    <w:nsid w:val="320F1E4E"/>
    <w:multiLevelType w:val="hybridMultilevel"/>
    <w:tmpl w:val="B29EDB7C"/>
    <w:lvl w:ilvl="0" w:tplc="754E9E7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4" w15:restartNumberingAfterBreak="0">
    <w:nsid w:val="3358688D"/>
    <w:multiLevelType w:val="multilevel"/>
    <w:tmpl w:val="93C46AC6"/>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361537C"/>
    <w:multiLevelType w:val="multilevel"/>
    <w:tmpl w:val="04DA9C00"/>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4AC5687"/>
    <w:multiLevelType w:val="multilevel"/>
    <w:tmpl w:val="9DEC0710"/>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5140645"/>
    <w:multiLevelType w:val="hybridMultilevel"/>
    <w:tmpl w:val="6C403F4C"/>
    <w:lvl w:ilvl="0" w:tplc="08090017">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8" w15:restartNumberingAfterBreak="0">
    <w:nsid w:val="35412F2E"/>
    <w:multiLevelType w:val="hybridMultilevel"/>
    <w:tmpl w:val="95124AEE"/>
    <w:lvl w:ilvl="0" w:tplc="FFFFFFFF">
      <w:start w:val="1"/>
      <w:numFmt w:val="decimal"/>
      <w:lvlText w:val="%1."/>
      <w:lvlJc w:val="left"/>
      <w:pPr>
        <w:ind w:left="720" w:hanging="360"/>
      </w:pPr>
      <w:rPr>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9" w15:restartNumberingAfterBreak="0">
    <w:nsid w:val="35D4461D"/>
    <w:multiLevelType w:val="hybridMultilevel"/>
    <w:tmpl w:val="F6B2A660"/>
    <w:lvl w:ilvl="0" w:tplc="FFFFFFFF">
      <w:start w:val="1"/>
      <w:numFmt w:val="decimal"/>
      <w:lvlText w:val="%1."/>
      <w:lvlJc w:val="left"/>
      <w:pPr>
        <w:ind w:left="720" w:hanging="360"/>
      </w:pPr>
      <w:rPr>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0" w15:restartNumberingAfterBreak="0">
    <w:nsid w:val="3606533F"/>
    <w:multiLevelType w:val="multilevel"/>
    <w:tmpl w:val="5618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66F7159"/>
    <w:multiLevelType w:val="multilevel"/>
    <w:tmpl w:val="8C008866"/>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87516E4"/>
    <w:multiLevelType w:val="hybridMultilevel"/>
    <w:tmpl w:val="AA6A4A36"/>
    <w:lvl w:ilvl="0" w:tplc="FFFFFFFF">
      <w:start w:val="1"/>
      <w:numFmt w:val="decimal"/>
      <w:lvlText w:val="%1."/>
      <w:lvlJc w:val="left"/>
      <w:pPr>
        <w:ind w:left="720" w:hanging="360"/>
      </w:pPr>
      <w:rPr>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38B82715"/>
    <w:multiLevelType w:val="hybridMultilevel"/>
    <w:tmpl w:val="DECAACAE"/>
    <w:lvl w:ilvl="0" w:tplc="FFFFFFFF">
      <w:start w:val="1"/>
      <w:numFmt w:val="decimal"/>
      <w:lvlText w:val="%1."/>
      <w:lvlJc w:val="left"/>
      <w:pPr>
        <w:ind w:left="720" w:hanging="360"/>
      </w:pPr>
      <w:rPr>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38D910A6"/>
    <w:multiLevelType w:val="multilevel"/>
    <w:tmpl w:val="5618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96C1AB5"/>
    <w:multiLevelType w:val="hybridMultilevel"/>
    <w:tmpl w:val="DECAACAE"/>
    <w:lvl w:ilvl="0" w:tplc="FFFFFFFF">
      <w:start w:val="1"/>
      <w:numFmt w:val="decimal"/>
      <w:lvlText w:val="%1."/>
      <w:lvlJc w:val="left"/>
      <w:pPr>
        <w:ind w:left="720" w:hanging="360"/>
      </w:pPr>
      <w:rPr>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39AB07DD"/>
    <w:multiLevelType w:val="multilevel"/>
    <w:tmpl w:val="C298BC3A"/>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3A050D6E"/>
    <w:multiLevelType w:val="multilevel"/>
    <w:tmpl w:val="E3C497B0"/>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C9E38A7"/>
    <w:multiLevelType w:val="multilevel"/>
    <w:tmpl w:val="471EDC80"/>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3E160542"/>
    <w:multiLevelType w:val="multilevel"/>
    <w:tmpl w:val="E090A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F2E0C95"/>
    <w:multiLevelType w:val="multilevel"/>
    <w:tmpl w:val="D77C342A"/>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F2F277B"/>
    <w:multiLevelType w:val="multilevel"/>
    <w:tmpl w:val="A7E6AEDE"/>
    <w:lvl w:ilvl="0">
      <w:start w:val="7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3F394154"/>
    <w:multiLevelType w:val="hybridMultilevel"/>
    <w:tmpl w:val="D758C91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3" w15:restartNumberingAfterBreak="0">
    <w:nsid w:val="422C606C"/>
    <w:multiLevelType w:val="multilevel"/>
    <w:tmpl w:val="CC36E2C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2336DF7"/>
    <w:multiLevelType w:val="multilevel"/>
    <w:tmpl w:val="C3704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23A6C54"/>
    <w:multiLevelType w:val="multilevel"/>
    <w:tmpl w:val="3E5CA5C6"/>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2435540"/>
    <w:multiLevelType w:val="multilevel"/>
    <w:tmpl w:val="70305F32"/>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5203237"/>
    <w:multiLevelType w:val="hybridMultilevel"/>
    <w:tmpl w:val="BF76AB16"/>
    <w:lvl w:ilvl="0" w:tplc="5F36243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45DC5151"/>
    <w:multiLevelType w:val="multilevel"/>
    <w:tmpl w:val="AEE875DC"/>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60908D5"/>
    <w:multiLevelType w:val="multilevel"/>
    <w:tmpl w:val="5618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46B422AD"/>
    <w:multiLevelType w:val="multilevel"/>
    <w:tmpl w:val="FD322FA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75E2C6B"/>
    <w:multiLevelType w:val="hybridMultilevel"/>
    <w:tmpl w:val="AA6A4A36"/>
    <w:lvl w:ilvl="0" w:tplc="FFFFFFFF">
      <w:start w:val="1"/>
      <w:numFmt w:val="decimal"/>
      <w:lvlText w:val="%1."/>
      <w:lvlJc w:val="left"/>
      <w:pPr>
        <w:ind w:left="720" w:hanging="360"/>
      </w:pPr>
      <w:rPr>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49865391"/>
    <w:multiLevelType w:val="multilevel"/>
    <w:tmpl w:val="47B4124E"/>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99923DE"/>
    <w:multiLevelType w:val="multilevel"/>
    <w:tmpl w:val="7A06C668"/>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99A6740"/>
    <w:multiLevelType w:val="hybridMultilevel"/>
    <w:tmpl w:val="3CE20672"/>
    <w:lvl w:ilvl="0" w:tplc="08090017">
      <w:start w:val="1"/>
      <w:numFmt w:val="lowerLetter"/>
      <w:lvlText w:val="%1)"/>
      <w:lvlJc w:val="left"/>
      <w:pPr>
        <w:ind w:left="720" w:hanging="360"/>
      </w:pPr>
      <w:rPr>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49AD3124"/>
    <w:multiLevelType w:val="multilevel"/>
    <w:tmpl w:val="BBB46770"/>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A991534"/>
    <w:multiLevelType w:val="hybridMultilevel"/>
    <w:tmpl w:val="AEF464F0"/>
    <w:lvl w:ilvl="0" w:tplc="833C04A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4C0D422E"/>
    <w:multiLevelType w:val="multilevel"/>
    <w:tmpl w:val="3B98CA20"/>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4D075458"/>
    <w:multiLevelType w:val="multilevel"/>
    <w:tmpl w:val="09FEADC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9" w15:restartNumberingAfterBreak="0">
    <w:nsid w:val="4D4E5D92"/>
    <w:multiLevelType w:val="multilevel"/>
    <w:tmpl w:val="DA2A2BEE"/>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4D5920BF"/>
    <w:multiLevelType w:val="hybridMultilevel"/>
    <w:tmpl w:val="7E283436"/>
    <w:lvl w:ilvl="0" w:tplc="FFFFFFFF">
      <w:start w:val="1"/>
      <w:numFmt w:val="decimal"/>
      <w:lvlText w:val="%1."/>
      <w:lvlJc w:val="left"/>
      <w:pPr>
        <w:ind w:left="720" w:hanging="360"/>
      </w:pPr>
      <w:rPr>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1" w15:restartNumberingAfterBreak="0">
    <w:nsid w:val="4DCF4438"/>
    <w:multiLevelType w:val="multilevel"/>
    <w:tmpl w:val="C8108534"/>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E27637C"/>
    <w:multiLevelType w:val="multilevel"/>
    <w:tmpl w:val="CF7EA028"/>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4E6B37B3"/>
    <w:multiLevelType w:val="multilevel"/>
    <w:tmpl w:val="2676CDD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4" w15:restartNumberingAfterBreak="0">
    <w:nsid w:val="4F7E57C4"/>
    <w:multiLevelType w:val="multilevel"/>
    <w:tmpl w:val="85D6DC72"/>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4FC323E8"/>
    <w:multiLevelType w:val="hybridMultilevel"/>
    <w:tmpl w:val="C106B7C2"/>
    <w:lvl w:ilvl="0" w:tplc="FFFFFFFF">
      <w:start w:val="1"/>
      <w:numFmt w:val="decimal"/>
      <w:lvlText w:val="%1."/>
      <w:lvlJc w:val="left"/>
      <w:pPr>
        <w:ind w:left="720" w:hanging="360"/>
      </w:pPr>
      <w:rPr>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4FEA17F0"/>
    <w:multiLevelType w:val="multilevel"/>
    <w:tmpl w:val="292E5614"/>
    <w:lvl w:ilvl="0">
      <w:start w:val="8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0B57D7B"/>
    <w:multiLevelType w:val="hybridMultilevel"/>
    <w:tmpl w:val="5172FAB6"/>
    <w:lvl w:ilvl="0" w:tplc="FFFFFFFF">
      <w:start w:val="1"/>
      <w:numFmt w:val="decimal"/>
      <w:lvlText w:val="%1."/>
      <w:lvlJc w:val="left"/>
      <w:pPr>
        <w:ind w:left="720" w:hanging="360"/>
      </w:pPr>
      <w:rPr>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8" w15:restartNumberingAfterBreak="0">
    <w:nsid w:val="51486DB5"/>
    <w:multiLevelType w:val="hybridMultilevel"/>
    <w:tmpl w:val="13BA2A88"/>
    <w:lvl w:ilvl="0" w:tplc="FFFFFFFF">
      <w:start w:val="1"/>
      <w:numFmt w:val="decimal"/>
      <w:lvlText w:val="%1."/>
      <w:lvlJc w:val="left"/>
      <w:pPr>
        <w:ind w:left="720" w:hanging="360"/>
      </w:pPr>
      <w:rPr>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9" w15:restartNumberingAfterBreak="0">
    <w:nsid w:val="516B4945"/>
    <w:multiLevelType w:val="multilevel"/>
    <w:tmpl w:val="34EA7156"/>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51CC40D3"/>
    <w:multiLevelType w:val="multilevel"/>
    <w:tmpl w:val="50C4CA96"/>
    <w:lvl w:ilvl="0">
      <w:start w:val="1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53A2417B"/>
    <w:multiLevelType w:val="multilevel"/>
    <w:tmpl w:val="811802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545744F7"/>
    <w:multiLevelType w:val="multilevel"/>
    <w:tmpl w:val="02086F4E"/>
    <w:lvl w:ilvl="0">
      <w:start w:val="7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55294E37"/>
    <w:multiLevelType w:val="hybridMultilevel"/>
    <w:tmpl w:val="01AECE60"/>
    <w:lvl w:ilvl="0" w:tplc="FFFFFFFF">
      <w:start w:val="1"/>
      <w:numFmt w:val="decimal"/>
      <w:lvlText w:val="%1."/>
      <w:lvlJc w:val="left"/>
      <w:pPr>
        <w:ind w:left="720" w:hanging="360"/>
      </w:pPr>
      <w:rPr>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4" w15:restartNumberingAfterBreak="0">
    <w:nsid w:val="552E0E38"/>
    <w:multiLevelType w:val="hybridMultilevel"/>
    <w:tmpl w:val="BC50D4C2"/>
    <w:lvl w:ilvl="0" w:tplc="FFFFFFFF">
      <w:start w:val="1"/>
      <w:numFmt w:val="decimal"/>
      <w:lvlText w:val="%1."/>
      <w:lvlJc w:val="left"/>
      <w:pPr>
        <w:ind w:left="720" w:hanging="360"/>
      </w:pPr>
      <w:rPr>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554C017F"/>
    <w:multiLevelType w:val="multilevel"/>
    <w:tmpl w:val="3ED00558"/>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55630DC6"/>
    <w:multiLevelType w:val="multilevel"/>
    <w:tmpl w:val="243C8C9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55EE62C8"/>
    <w:multiLevelType w:val="hybridMultilevel"/>
    <w:tmpl w:val="70F852D2"/>
    <w:lvl w:ilvl="0" w:tplc="FFFFFFFF">
      <w:start w:val="1"/>
      <w:numFmt w:val="decimal"/>
      <w:lvlText w:val="%1."/>
      <w:lvlJc w:val="left"/>
      <w:pPr>
        <w:ind w:left="720" w:hanging="360"/>
      </w:pPr>
      <w:rPr>
        <w:sz w:val="22"/>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8" w15:restartNumberingAfterBreak="0">
    <w:nsid w:val="58353672"/>
    <w:multiLevelType w:val="hybridMultilevel"/>
    <w:tmpl w:val="6A944A94"/>
    <w:lvl w:ilvl="0" w:tplc="08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9" w15:restartNumberingAfterBreak="0">
    <w:nsid w:val="591D6617"/>
    <w:multiLevelType w:val="multilevel"/>
    <w:tmpl w:val="8EFA8AC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5A2F02B1"/>
    <w:multiLevelType w:val="multilevel"/>
    <w:tmpl w:val="D58AC1C0"/>
    <w:lvl w:ilvl="0">
      <w:start w:val="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AA53513"/>
    <w:multiLevelType w:val="multilevel"/>
    <w:tmpl w:val="9D0443AC"/>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5B535772"/>
    <w:multiLevelType w:val="hybridMultilevel"/>
    <w:tmpl w:val="955A3B3A"/>
    <w:lvl w:ilvl="0" w:tplc="08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3" w15:restartNumberingAfterBreak="0">
    <w:nsid w:val="5B6C134F"/>
    <w:multiLevelType w:val="multilevel"/>
    <w:tmpl w:val="FE0CB830"/>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CA61198"/>
    <w:multiLevelType w:val="multilevel"/>
    <w:tmpl w:val="3F7ABC4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5DBF1F9F"/>
    <w:multiLevelType w:val="multilevel"/>
    <w:tmpl w:val="7826B722"/>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107072E"/>
    <w:multiLevelType w:val="multilevel"/>
    <w:tmpl w:val="21563D70"/>
    <w:lvl w:ilvl="0">
      <w:start w:val="5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2494D80"/>
    <w:multiLevelType w:val="multilevel"/>
    <w:tmpl w:val="F3BC12E0"/>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65623CD6"/>
    <w:multiLevelType w:val="multilevel"/>
    <w:tmpl w:val="5D40F6C6"/>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65CE64A5"/>
    <w:multiLevelType w:val="hybridMultilevel"/>
    <w:tmpl w:val="A410A74E"/>
    <w:lvl w:ilvl="0" w:tplc="D7126460">
      <w:start w:val="1"/>
      <w:numFmt w:val="decimal"/>
      <w:lvlText w:val="%1."/>
      <w:lvlJc w:val="left"/>
      <w:pPr>
        <w:ind w:left="720" w:hanging="360"/>
      </w:pPr>
      <w:rPr>
        <w:rFonts w:hint="default"/>
        <w:sz w:val="22"/>
        <w:szCs w:val="22"/>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0" w15:restartNumberingAfterBreak="0">
    <w:nsid w:val="65DD14AF"/>
    <w:multiLevelType w:val="multilevel"/>
    <w:tmpl w:val="49EEABF0"/>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66191946"/>
    <w:multiLevelType w:val="multilevel"/>
    <w:tmpl w:val="A6524C32"/>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671E2443"/>
    <w:multiLevelType w:val="multilevel"/>
    <w:tmpl w:val="9AEE3C84"/>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69610AD4"/>
    <w:multiLevelType w:val="multilevel"/>
    <w:tmpl w:val="290646FA"/>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698C5B11"/>
    <w:multiLevelType w:val="hybridMultilevel"/>
    <w:tmpl w:val="F354A03A"/>
    <w:lvl w:ilvl="0" w:tplc="6518DE04">
      <w:start w:val="300"/>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5" w15:restartNumberingAfterBreak="0">
    <w:nsid w:val="6A23064E"/>
    <w:multiLevelType w:val="multilevel"/>
    <w:tmpl w:val="1C007316"/>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6B7F2F60"/>
    <w:multiLevelType w:val="multilevel"/>
    <w:tmpl w:val="3F60A31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7" w15:restartNumberingAfterBreak="0">
    <w:nsid w:val="6BAA1A5E"/>
    <w:multiLevelType w:val="multilevel"/>
    <w:tmpl w:val="5C861218"/>
    <w:lvl w:ilvl="0">
      <w:start w:val="3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6BE1695F"/>
    <w:multiLevelType w:val="multilevel"/>
    <w:tmpl w:val="56187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6CB938F5"/>
    <w:multiLevelType w:val="multilevel"/>
    <w:tmpl w:val="A580A336"/>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6CEB3D1D"/>
    <w:multiLevelType w:val="hybridMultilevel"/>
    <w:tmpl w:val="C8E21730"/>
    <w:lvl w:ilvl="0" w:tplc="196A5F3A">
      <w:start w:val="300"/>
      <w:numFmt w:val="bullet"/>
      <w:lvlText w:val=""/>
      <w:lvlJc w:val="left"/>
      <w:pPr>
        <w:ind w:left="720" w:hanging="360"/>
      </w:pPr>
      <w:rPr>
        <w:rFonts w:ascii="Symbol" w:eastAsia="Times New Roman"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1" w15:restartNumberingAfterBreak="0">
    <w:nsid w:val="6EA914C5"/>
    <w:multiLevelType w:val="multilevel"/>
    <w:tmpl w:val="E7787E22"/>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6F51378B"/>
    <w:multiLevelType w:val="multilevel"/>
    <w:tmpl w:val="0CB28E6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3" w15:restartNumberingAfterBreak="0">
    <w:nsid w:val="706D4ACF"/>
    <w:multiLevelType w:val="multilevel"/>
    <w:tmpl w:val="64743BCE"/>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18851C2"/>
    <w:multiLevelType w:val="multilevel"/>
    <w:tmpl w:val="3626DD9A"/>
    <w:lvl w:ilvl="0">
      <w:start w:val="1"/>
      <w:numFmt w:val="decimal"/>
      <w:pStyle w:val="IARefNumber"/>
      <w:suff w:val="nothing"/>
      <w:lvlText w:val="%1"/>
      <w:lvlJc w:val="left"/>
      <w:pPr>
        <w:ind w:firstLine="113"/>
      </w:pPr>
      <w:rPr>
        <w:rFonts w:cs="Times New Roman" w:hint="default"/>
      </w:rPr>
    </w:lvl>
    <w:lvl w:ilvl="1">
      <w:start w:val="1"/>
      <w:numFmt w:val="decimal"/>
      <w:lvlText w:val="%1.%2."/>
      <w:lvlJc w:val="left"/>
      <w:pPr>
        <w:tabs>
          <w:tab w:val="num" w:pos="1080"/>
        </w:tabs>
        <w:ind w:left="792" w:hanging="432"/>
      </w:pPr>
      <w:rPr>
        <w:rFonts w:cs="Times New Roman" w:hint="default"/>
      </w:rPr>
    </w:lvl>
    <w:lvl w:ilvl="2">
      <w:start w:val="1"/>
      <w:numFmt w:val="decimal"/>
      <w:lvlText w:val="%1.%2.%3."/>
      <w:lvlJc w:val="left"/>
      <w:pPr>
        <w:tabs>
          <w:tab w:val="num" w:pos="1800"/>
        </w:tabs>
        <w:ind w:left="1224" w:hanging="504"/>
      </w:pPr>
      <w:rPr>
        <w:rFonts w:cs="Times New Roman" w:hint="default"/>
      </w:rPr>
    </w:lvl>
    <w:lvl w:ilvl="3">
      <w:start w:val="1"/>
      <w:numFmt w:val="decimal"/>
      <w:lvlText w:val="%1.%2.%3.%4."/>
      <w:lvlJc w:val="left"/>
      <w:pPr>
        <w:tabs>
          <w:tab w:val="num" w:pos="2520"/>
        </w:tabs>
        <w:ind w:left="1728" w:hanging="648"/>
      </w:pPr>
      <w:rPr>
        <w:rFonts w:cs="Times New Roman" w:hint="default"/>
      </w:rPr>
    </w:lvl>
    <w:lvl w:ilvl="4">
      <w:start w:val="1"/>
      <w:numFmt w:val="decimal"/>
      <w:lvlText w:val="%1.%2.%3.%4.%5."/>
      <w:lvlJc w:val="left"/>
      <w:pPr>
        <w:tabs>
          <w:tab w:val="num" w:pos="2880"/>
        </w:tabs>
        <w:ind w:left="2232" w:hanging="792"/>
      </w:pPr>
      <w:rPr>
        <w:rFonts w:cs="Times New Roman" w:hint="default"/>
      </w:rPr>
    </w:lvl>
    <w:lvl w:ilvl="5">
      <w:start w:val="1"/>
      <w:numFmt w:val="decimal"/>
      <w:lvlText w:val="%1.%2.%3.%4.%5.%6."/>
      <w:lvlJc w:val="left"/>
      <w:pPr>
        <w:tabs>
          <w:tab w:val="num" w:pos="3600"/>
        </w:tabs>
        <w:ind w:left="2736" w:hanging="936"/>
      </w:pPr>
      <w:rPr>
        <w:rFonts w:cs="Times New Roman" w:hint="default"/>
      </w:rPr>
    </w:lvl>
    <w:lvl w:ilvl="6">
      <w:start w:val="1"/>
      <w:numFmt w:val="decimal"/>
      <w:lvlText w:val="%1.%2.%3.%4.%5.%6.%7."/>
      <w:lvlJc w:val="left"/>
      <w:pPr>
        <w:tabs>
          <w:tab w:val="num" w:pos="4320"/>
        </w:tabs>
        <w:ind w:left="3240" w:hanging="1080"/>
      </w:pPr>
      <w:rPr>
        <w:rFonts w:cs="Times New Roman" w:hint="default"/>
      </w:rPr>
    </w:lvl>
    <w:lvl w:ilvl="7">
      <w:start w:val="1"/>
      <w:numFmt w:val="decimal"/>
      <w:lvlText w:val="%1.%2.%3.%4.%5.%6.%7.%8."/>
      <w:lvlJc w:val="left"/>
      <w:pPr>
        <w:tabs>
          <w:tab w:val="num" w:pos="5040"/>
        </w:tabs>
        <w:ind w:left="3744" w:hanging="1224"/>
      </w:pPr>
      <w:rPr>
        <w:rFonts w:cs="Times New Roman" w:hint="default"/>
      </w:rPr>
    </w:lvl>
    <w:lvl w:ilvl="8">
      <w:start w:val="1"/>
      <w:numFmt w:val="decimal"/>
      <w:lvlText w:val="%1.%2.%3.%4.%5.%6.%7.%8.%9."/>
      <w:lvlJc w:val="left"/>
      <w:pPr>
        <w:tabs>
          <w:tab w:val="num" w:pos="5760"/>
        </w:tabs>
        <w:ind w:left="4320" w:hanging="1440"/>
      </w:pPr>
      <w:rPr>
        <w:rFonts w:cs="Times New Roman" w:hint="default"/>
      </w:rPr>
    </w:lvl>
  </w:abstractNum>
  <w:abstractNum w:abstractNumId="135" w15:restartNumberingAfterBreak="0">
    <w:nsid w:val="7289341F"/>
    <w:multiLevelType w:val="multilevel"/>
    <w:tmpl w:val="A0C65004"/>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2ED4A84"/>
    <w:multiLevelType w:val="hybridMultilevel"/>
    <w:tmpl w:val="CD548960"/>
    <w:lvl w:ilvl="0" w:tplc="FFFFFFFF">
      <w:start w:val="1"/>
      <w:numFmt w:val="decimal"/>
      <w:lvlText w:val="%1."/>
      <w:lvlJc w:val="left"/>
      <w:pPr>
        <w:ind w:left="720" w:hanging="360"/>
      </w:pPr>
      <w:rPr>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7" w15:restartNumberingAfterBreak="0">
    <w:nsid w:val="73C05216"/>
    <w:multiLevelType w:val="multilevel"/>
    <w:tmpl w:val="B838D458"/>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45E1BEB"/>
    <w:multiLevelType w:val="hybridMultilevel"/>
    <w:tmpl w:val="41D85E96"/>
    <w:lvl w:ilvl="0" w:tplc="754E9E7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74A939E8"/>
    <w:multiLevelType w:val="hybridMultilevel"/>
    <w:tmpl w:val="EE0E3C62"/>
    <w:lvl w:ilvl="0" w:tplc="FFFFFFFF">
      <w:start w:val="1"/>
      <w:numFmt w:val="decimal"/>
      <w:lvlText w:val="%1."/>
      <w:lvlJc w:val="left"/>
      <w:pPr>
        <w:ind w:left="720" w:hanging="360"/>
      </w:pPr>
      <w:rPr>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0" w15:restartNumberingAfterBreak="0">
    <w:nsid w:val="75F474E9"/>
    <w:multiLevelType w:val="multilevel"/>
    <w:tmpl w:val="E4762D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76BF51D8"/>
    <w:multiLevelType w:val="multilevel"/>
    <w:tmpl w:val="2FFA05C2"/>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2" w15:restartNumberingAfterBreak="0">
    <w:nsid w:val="78593D45"/>
    <w:multiLevelType w:val="multilevel"/>
    <w:tmpl w:val="62B2DA22"/>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3" w15:restartNumberingAfterBreak="0">
    <w:nsid w:val="793D5A05"/>
    <w:multiLevelType w:val="multilevel"/>
    <w:tmpl w:val="86E81B58"/>
    <w:lvl w:ilvl="0">
      <w:start w:val="5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795049EA"/>
    <w:multiLevelType w:val="multilevel"/>
    <w:tmpl w:val="975C3482"/>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7A2105D7"/>
    <w:multiLevelType w:val="multilevel"/>
    <w:tmpl w:val="5B6ED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A59082D"/>
    <w:multiLevelType w:val="multilevel"/>
    <w:tmpl w:val="CA6C3A48"/>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7D730296"/>
    <w:multiLevelType w:val="hybridMultilevel"/>
    <w:tmpl w:val="787483F4"/>
    <w:lvl w:ilvl="0" w:tplc="FFFFFFFF">
      <w:start w:val="1"/>
      <w:numFmt w:val="decimal"/>
      <w:lvlText w:val="%1."/>
      <w:lvlJc w:val="left"/>
      <w:pPr>
        <w:ind w:left="720" w:hanging="360"/>
      </w:pPr>
      <w:rPr>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8" w15:restartNumberingAfterBreak="0">
    <w:nsid w:val="7D794D06"/>
    <w:multiLevelType w:val="multilevel"/>
    <w:tmpl w:val="2E224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E2B1D03"/>
    <w:multiLevelType w:val="hybridMultilevel"/>
    <w:tmpl w:val="7C5EA056"/>
    <w:lvl w:ilvl="0" w:tplc="CC0EBD18">
      <w:start w:val="1"/>
      <w:numFmt w:val="decimal"/>
      <w:lvlText w:val="%1."/>
      <w:lvlJc w:val="left"/>
      <w:pPr>
        <w:ind w:left="720" w:hanging="360"/>
      </w:pPr>
      <w:rPr>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7FB62D1A"/>
    <w:multiLevelType w:val="hybridMultilevel"/>
    <w:tmpl w:val="DECAACAE"/>
    <w:lvl w:ilvl="0" w:tplc="FFFFFFFF">
      <w:start w:val="1"/>
      <w:numFmt w:val="decimal"/>
      <w:lvlText w:val="%1."/>
      <w:lvlJc w:val="left"/>
      <w:pPr>
        <w:ind w:left="720" w:hanging="360"/>
      </w:pPr>
      <w:rPr>
        <w:sz w:val="22"/>
        <w:szCs w:val="22"/>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1" w15:restartNumberingAfterBreak="0">
    <w:nsid w:val="7FB75C1D"/>
    <w:multiLevelType w:val="multilevel"/>
    <w:tmpl w:val="E2CC615A"/>
    <w:lvl w:ilvl="0">
      <w:start w:val="1"/>
      <w:numFmt w:val="none"/>
      <w:pStyle w:val="EBNumberRestart"/>
      <w:suff w:val="nothing"/>
      <w:lvlText w:val="%1"/>
      <w:lvlJc w:val="left"/>
      <w:rPr>
        <w:rFonts w:cs="Times New Roman" w:hint="default"/>
      </w:rPr>
    </w:lvl>
    <w:lvl w:ilvl="1">
      <w:start w:val="1"/>
      <w:numFmt w:val="decimal"/>
      <w:pStyle w:val="EBNumber"/>
      <w:lvlText w:val="%1%2."/>
      <w:lvlJc w:val="left"/>
      <w:pPr>
        <w:tabs>
          <w:tab w:val="num" w:pos="425"/>
        </w:tabs>
        <w:ind w:left="425" w:hanging="425"/>
      </w:pPr>
      <w:rPr>
        <w:rFonts w:cs="Times New Roman" w:hint="default"/>
      </w:rPr>
    </w:lvl>
    <w:lvl w:ilvl="2">
      <w:start w:val="1"/>
      <w:numFmt w:val="lowerLetter"/>
      <w:lvlText w:val="%1%3."/>
      <w:lvlJc w:val="left"/>
      <w:pPr>
        <w:tabs>
          <w:tab w:val="num" w:pos="851"/>
        </w:tabs>
        <w:ind w:left="851" w:hanging="426"/>
      </w:pPr>
      <w:rPr>
        <w:rFonts w:cs="Times New Roman" w:hint="default"/>
      </w:rPr>
    </w:lvl>
    <w:lvl w:ilvl="3">
      <w:start w:val="1"/>
      <w:numFmt w:val="none"/>
      <w:lvlText w:val="%1"/>
      <w:lvlJc w:val="left"/>
      <w:pPr>
        <w:tabs>
          <w:tab w:val="num" w:pos="2880"/>
        </w:tabs>
        <w:ind w:left="1728" w:hanging="648"/>
      </w:pPr>
      <w:rPr>
        <w:rFonts w:cs="Times New Roman" w:hint="default"/>
      </w:rPr>
    </w:lvl>
    <w:lvl w:ilvl="4">
      <w:start w:val="1"/>
      <w:numFmt w:val="none"/>
      <w:lvlText w:val="%1"/>
      <w:lvlJc w:val="left"/>
      <w:pPr>
        <w:tabs>
          <w:tab w:val="num" w:pos="3600"/>
        </w:tabs>
        <w:ind w:left="2232" w:hanging="792"/>
      </w:pPr>
      <w:rPr>
        <w:rFonts w:cs="Times New Roman" w:hint="default"/>
      </w:rPr>
    </w:lvl>
    <w:lvl w:ilvl="5">
      <w:start w:val="1"/>
      <w:numFmt w:val="none"/>
      <w:lvlText w:val="%1"/>
      <w:lvlJc w:val="left"/>
      <w:pPr>
        <w:tabs>
          <w:tab w:val="num" w:pos="4320"/>
        </w:tabs>
        <w:ind w:left="2736" w:hanging="936"/>
      </w:pPr>
      <w:rPr>
        <w:rFonts w:cs="Times New Roman" w:hint="default"/>
      </w:rPr>
    </w:lvl>
    <w:lvl w:ilvl="6">
      <w:start w:val="1"/>
      <w:numFmt w:val="none"/>
      <w:lvlText w:val="%1"/>
      <w:lvlJc w:val="left"/>
      <w:pPr>
        <w:tabs>
          <w:tab w:val="num" w:pos="5040"/>
        </w:tabs>
        <w:ind w:left="3240" w:hanging="1080"/>
      </w:pPr>
      <w:rPr>
        <w:rFonts w:cs="Times New Roman" w:hint="default"/>
      </w:rPr>
    </w:lvl>
    <w:lvl w:ilvl="7">
      <w:start w:val="1"/>
      <w:numFmt w:val="decimal"/>
      <w:lvlText w:val="%1.%2.%3.%4.%5.%6.%7.%8."/>
      <w:lvlJc w:val="left"/>
      <w:pPr>
        <w:tabs>
          <w:tab w:val="num" w:pos="5760"/>
        </w:tabs>
        <w:ind w:left="3744" w:hanging="1224"/>
      </w:pPr>
      <w:rPr>
        <w:rFonts w:cs="Times New Roman" w:hint="default"/>
      </w:rPr>
    </w:lvl>
    <w:lvl w:ilvl="8">
      <w:start w:val="1"/>
      <w:numFmt w:val="decimal"/>
      <w:lvlText w:val="%1.%2.%3.%4.%5.%6.%7.%8.%9."/>
      <w:lvlJc w:val="left"/>
      <w:pPr>
        <w:tabs>
          <w:tab w:val="num" w:pos="6480"/>
        </w:tabs>
        <w:ind w:left="4320" w:hanging="1440"/>
      </w:pPr>
      <w:rPr>
        <w:rFonts w:cs="Times New Roman" w:hint="default"/>
      </w:rPr>
    </w:lvl>
  </w:abstractNum>
  <w:num w:numId="1" w16cid:durableId="1033266227">
    <w:abstractNumId w:val="151"/>
  </w:num>
  <w:num w:numId="2" w16cid:durableId="689796615">
    <w:abstractNumId w:val="134"/>
  </w:num>
  <w:num w:numId="3" w16cid:durableId="1540512072">
    <w:abstractNumId w:val="45"/>
  </w:num>
  <w:num w:numId="4" w16cid:durableId="896211609">
    <w:abstractNumId w:val="41"/>
  </w:num>
  <w:num w:numId="5" w16cid:durableId="589119838">
    <w:abstractNumId w:val="4"/>
  </w:num>
  <w:num w:numId="6" w16cid:durableId="278686666">
    <w:abstractNumId w:val="38"/>
  </w:num>
  <w:num w:numId="7" w16cid:durableId="2083406751">
    <w:abstractNumId w:val="22"/>
  </w:num>
  <w:num w:numId="8" w16cid:durableId="1335760219">
    <w:abstractNumId w:val="46"/>
  </w:num>
  <w:num w:numId="9" w16cid:durableId="1877429365">
    <w:abstractNumId w:val="23"/>
  </w:num>
  <w:num w:numId="10" w16cid:durableId="1380864554">
    <w:abstractNumId w:val="107"/>
  </w:num>
  <w:num w:numId="11" w16cid:durableId="1491409457">
    <w:abstractNumId w:val="119"/>
  </w:num>
  <w:num w:numId="12" w16cid:durableId="503086066">
    <w:abstractNumId w:val="47"/>
  </w:num>
  <w:num w:numId="13" w16cid:durableId="1839693576">
    <w:abstractNumId w:val="77"/>
  </w:num>
  <w:num w:numId="14" w16cid:durableId="96944168">
    <w:abstractNumId w:val="93"/>
  </w:num>
  <w:num w:numId="15" w16cid:durableId="128718055">
    <w:abstractNumId w:val="52"/>
  </w:num>
  <w:num w:numId="16" w16cid:durableId="557013803">
    <w:abstractNumId w:val="12"/>
  </w:num>
  <w:num w:numId="17" w16cid:durableId="573466774">
    <w:abstractNumId w:val="95"/>
  </w:num>
  <w:num w:numId="18" w16cid:durableId="643434165">
    <w:abstractNumId w:val="48"/>
  </w:num>
  <w:num w:numId="19" w16cid:durableId="1749385073">
    <w:abstractNumId w:val="45"/>
  </w:num>
  <w:num w:numId="20" w16cid:durableId="1722946090">
    <w:abstractNumId w:val="45"/>
  </w:num>
  <w:num w:numId="21" w16cid:durableId="621958260">
    <w:abstractNumId w:val="9"/>
  </w:num>
  <w:num w:numId="22" w16cid:durableId="999430605">
    <w:abstractNumId w:val="139"/>
  </w:num>
  <w:num w:numId="23" w16cid:durableId="1383016427">
    <w:abstractNumId w:val="147"/>
  </w:num>
  <w:num w:numId="24" w16cid:durableId="448934726">
    <w:abstractNumId w:val="29"/>
  </w:num>
  <w:num w:numId="25" w16cid:durableId="951715326">
    <w:abstractNumId w:val="65"/>
  </w:num>
  <w:num w:numId="26" w16cid:durableId="158279881">
    <w:abstractNumId w:val="150"/>
  </w:num>
  <w:num w:numId="27" w16cid:durableId="1190339649">
    <w:abstractNumId w:val="63"/>
  </w:num>
  <w:num w:numId="28" w16cid:durableId="137461522">
    <w:abstractNumId w:val="97"/>
  </w:num>
  <w:num w:numId="29" w16cid:durableId="258103182">
    <w:abstractNumId w:val="98"/>
  </w:num>
  <w:num w:numId="30" w16cid:durableId="1829982170">
    <w:abstractNumId w:val="62"/>
  </w:num>
  <w:num w:numId="31" w16cid:durableId="1907648062">
    <w:abstractNumId w:val="28"/>
  </w:num>
  <w:num w:numId="32" w16cid:durableId="47264489">
    <w:abstractNumId w:val="72"/>
  </w:num>
  <w:num w:numId="33" w16cid:durableId="1304576545">
    <w:abstractNumId w:val="33"/>
  </w:num>
  <w:num w:numId="34" w16cid:durableId="974288785">
    <w:abstractNumId w:val="81"/>
  </w:num>
  <w:num w:numId="35" w16cid:durableId="334771335">
    <w:abstractNumId w:val="59"/>
  </w:num>
  <w:num w:numId="36" w16cid:durableId="861432217">
    <w:abstractNumId w:val="58"/>
  </w:num>
  <w:num w:numId="37" w16cid:durableId="2109617181">
    <w:abstractNumId w:val="126"/>
  </w:num>
  <w:num w:numId="38" w16cid:durableId="1700082177">
    <w:abstractNumId w:val="90"/>
  </w:num>
  <w:num w:numId="39" w16cid:durableId="330303518">
    <w:abstractNumId w:val="26"/>
  </w:num>
  <w:num w:numId="40" w16cid:durableId="2042047634">
    <w:abstractNumId w:val="112"/>
  </w:num>
  <w:num w:numId="41" w16cid:durableId="987436549">
    <w:abstractNumId w:val="11"/>
  </w:num>
  <w:num w:numId="42" w16cid:durableId="1970277273">
    <w:abstractNumId w:val="37"/>
  </w:num>
  <w:num w:numId="43" w16cid:durableId="1265459347">
    <w:abstractNumId w:val="103"/>
  </w:num>
  <w:num w:numId="44" w16cid:durableId="1878006736">
    <w:abstractNumId w:val="86"/>
  </w:num>
  <w:num w:numId="45" w16cid:durableId="2075272402">
    <w:abstractNumId w:val="108"/>
  </w:num>
  <w:num w:numId="46" w16cid:durableId="330065071">
    <w:abstractNumId w:val="31"/>
  </w:num>
  <w:num w:numId="47" w16cid:durableId="1501656445">
    <w:abstractNumId w:val="43"/>
  </w:num>
  <w:num w:numId="48" w16cid:durableId="316107064">
    <w:abstractNumId w:val="66"/>
  </w:num>
  <w:num w:numId="49" w16cid:durableId="1553730701">
    <w:abstractNumId w:val="80"/>
  </w:num>
  <w:num w:numId="50" w16cid:durableId="749809901">
    <w:abstractNumId w:val="56"/>
  </w:num>
  <w:num w:numId="51" w16cid:durableId="948897993">
    <w:abstractNumId w:val="111"/>
  </w:num>
  <w:num w:numId="52" w16cid:durableId="842858781">
    <w:abstractNumId w:val="114"/>
  </w:num>
  <w:num w:numId="53" w16cid:durableId="1524324736">
    <w:abstractNumId w:val="24"/>
  </w:num>
  <w:num w:numId="54" w16cid:durableId="1604338510">
    <w:abstractNumId w:val="106"/>
  </w:num>
  <w:num w:numId="55" w16cid:durableId="1424033486">
    <w:abstractNumId w:val="122"/>
  </w:num>
  <w:num w:numId="56" w16cid:durableId="1304389432">
    <w:abstractNumId w:val="16"/>
  </w:num>
  <w:num w:numId="57" w16cid:durableId="561984004">
    <w:abstractNumId w:val="87"/>
  </w:num>
  <w:num w:numId="58" w16cid:durableId="191462784">
    <w:abstractNumId w:val="92"/>
  </w:num>
  <w:num w:numId="59" w16cid:durableId="2007897565">
    <w:abstractNumId w:val="75"/>
  </w:num>
  <w:num w:numId="60" w16cid:durableId="1784113397">
    <w:abstractNumId w:val="109"/>
  </w:num>
  <w:num w:numId="61" w16cid:durableId="1065878828">
    <w:abstractNumId w:val="113"/>
  </w:num>
  <w:num w:numId="62" w16cid:durableId="207305680">
    <w:abstractNumId w:val="25"/>
  </w:num>
  <w:num w:numId="63" w16cid:durableId="1527863636">
    <w:abstractNumId w:val="105"/>
  </w:num>
  <w:num w:numId="64" w16cid:durableId="876242284">
    <w:abstractNumId w:val="110"/>
  </w:num>
  <w:num w:numId="65" w16cid:durableId="439297829">
    <w:abstractNumId w:val="120"/>
  </w:num>
  <w:num w:numId="66" w16cid:durableId="1891139502">
    <w:abstractNumId w:val="14"/>
  </w:num>
  <w:num w:numId="67" w16cid:durableId="333186997">
    <w:abstractNumId w:val="141"/>
  </w:num>
  <w:num w:numId="68" w16cid:durableId="1493528347">
    <w:abstractNumId w:val="73"/>
  </w:num>
  <w:num w:numId="69" w16cid:durableId="1004936834">
    <w:abstractNumId w:val="69"/>
  </w:num>
  <w:num w:numId="70" w16cid:durableId="266163771">
    <w:abstractNumId w:val="127"/>
  </w:num>
  <w:num w:numId="71" w16cid:durableId="1593659442">
    <w:abstractNumId w:val="142"/>
  </w:num>
  <w:num w:numId="72" w16cid:durableId="1552695269">
    <w:abstractNumId w:val="82"/>
  </w:num>
  <w:num w:numId="73" w16cid:durableId="1744259413">
    <w:abstractNumId w:val="10"/>
  </w:num>
  <w:num w:numId="74" w16cid:durableId="2076656377">
    <w:abstractNumId w:val="40"/>
  </w:num>
  <w:num w:numId="75" w16cid:durableId="401682294">
    <w:abstractNumId w:val="67"/>
  </w:num>
  <w:num w:numId="76" w16cid:durableId="237637242">
    <w:abstractNumId w:val="13"/>
  </w:num>
  <w:num w:numId="77" w16cid:durableId="2147235032">
    <w:abstractNumId w:val="85"/>
  </w:num>
  <w:num w:numId="78" w16cid:durableId="31073290">
    <w:abstractNumId w:val="50"/>
  </w:num>
  <w:num w:numId="79" w16cid:durableId="1165902084">
    <w:abstractNumId w:val="36"/>
  </w:num>
  <w:num w:numId="80" w16cid:durableId="1729643541">
    <w:abstractNumId w:val="49"/>
  </w:num>
  <w:num w:numId="81" w16cid:durableId="764419901">
    <w:abstractNumId w:val="132"/>
  </w:num>
  <w:num w:numId="82" w16cid:durableId="368452802">
    <w:abstractNumId w:val="34"/>
  </w:num>
  <w:num w:numId="83" w16cid:durableId="1804225285">
    <w:abstractNumId w:val="88"/>
  </w:num>
  <w:num w:numId="84" w16cid:durableId="1296837715">
    <w:abstractNumId w:val="61"/>
  </w:num>
  <w:num w:numId="85" w16cid:durableId="628633160">
    <w:abstractNumId w:val="19"/>
  </w:num>
  <w:num w:numId="86" w16cid:durableId="850802117">
    <w:abstractNumId w:val="89"/>
  </w:num>
  <w:num w:numId="87" w16cid:durableId="58094717">
    <w:abstractNumId w:val="115"/>
  </w:num>
  <w:num w:numId="88" w16cid:durableId="524173172">
    <w:abstractNumId w:val="83"/>
  </w:num>
  <w:num w:numId="89" w16cid:durableId="2007518222">
    <w:abstractNumId w:val="32"/>
  </w:num>
  <w:num w:numId="90" w16cid:durableId="98524143">
    <w:abstractNumId w:val="140"/>
  </w:num>
  <w:num w:numId="91" w16cid:durableId="784085168">
    <w:abstractNumId w:val="101"/>
  </w:num>
  <w:num w:numId="92" w16cid:durableId="2109764972">
    <w:abstractNumId w:val="125"/>
  </w:num>
  <w:num w:numId="93" w16cid:durableId="1870994520">
    <w:abstractNumId w:val="131"/>
  </w:num>
  <w:num w:numId="94" w16cid:durableId="108201836">
    <w:abstractNumId w:val="70"/>
  </w:num>
  <w:num w:numId="95" w16cid:durableId="1955020297">
    <w:abstractNumId w:val="116"/>
  </w:num>
  <w:num w:numId="96" w16cid:durableId="416707406">
    <w:abstractNumId w:val="143"/>
  </w:num>
  <w:num w:numId="97" w16cid:durableId="942033387">
    <w:abstractNumId w:val="133"/>
  </w:num>
  <w:num w:numId="98" w16cid:durableId="2109498848">
    <w:abstractNumId w:val="94"/>
  </w:num>
  <w:num w:numId="99" w16cid:durableId="74783031">
    <w:abstractNumId w:val="137"/>
  </w:num>
  <w:num w:numId="100" w16cid:durableId="2098860110">
    <w:abstractNumId w:val="145"/>
  </w:num>
  <w:num w:numId="101" w16cid:durableId="927230966">
    <w:abstractNumId w:val="148"/>
  </w:num>
  <w:num w:numId="102" w16cid:durableId="2116711621">
    <w:abstractNumId w:val="54"/>
  </w:num>
  <w:num w:numId="103" w16cid:durableId="2087802098">
    <w:abstractNumId w:val="20"/>
  </w:num>
  <w:num w:numId="104" w16cid:durableId="51344789">
    <w:abstractNumId w:val="74"/>
  </w:num>
  <w:num w:numId="105" w16cid:durableId="958335505">
    <w:abstractNumId w:val="78"/>
  </w:num>
  <w:num w:numId="106" w16cid:durableId="1394814705">
    <w:abstractNumId w:val="5"/>
  </w:num>
  <w:num w:numId="107" w16cid:durableId="68622988">
    <w:abstractNumId w:val="123"/>
  </w:num>
  <w:num w:numId="108" w16cid:durableId="394285279">
    <w:abstractNumId w:val="135"/>
  </w:num>
  <w:num w:numId="109" w16cid:durableId="1365328691">
    <w:abstractNumId w:val="7"/>
  </w:num>
  <w:num w:numId="110" w16cid:durableId="1185435470">
    <w:abstractNumId w:val="129"/>
  </w:num>
  <w:num w:numId="111" w16cid:durableId="489518246">
    <w:abstractNumId w:val="117"/>
  </w:num>
  <w:num w:numId="112" w16cid:durableId="1247812716">
    <w:abstractNumId w:val="6"/>
  </w:num>
  <w:num w:numId="113" w16cid:durableId="403071905">
    <w:abstractNumId w:val="76"/>
  </w:num>
  <w:num w:numId="114" w16cid:durableId="1754430670">
    <w:abstractNumId w:val="146"/>
  </w:num>
  <w:num w:numId="115" w16cid:durableId="1365792499">
    <w:abstractNumId w:val="18"/>
  </w:num>
  <w:num w:numId="116" w16cid:durableId="1773889484">
    <w:abstractNumId w:val="1"/>
  </w:num>
  <w:num w:numId="117" w16cid:durableId="1020934265">
    <w:abstractNumId w:val="68"/>
  </w:num>
  <w:num w:numId="118" w16cid:durableId="670303125">
    <w:abstractNumId w:val="144"/>
  </w:num>
  <w:num w:numId="119" w16cid:durableId="194319317">
    <w:abstractNumId w:val="99"/>
  </w:num>
  <w:num w:numId="120" w16cid:durableId="1991791087">
    <w:abstractNumId w:val="102"/>
  </w:num>
  <w:num w:numId="121" w16cid:durableId="96413732">
    <w:abstractNumId w:val="0"/>
  </w:num>
  <w:num w:numId="122" w16cid:durableId="498884550">
    <w:abstractNumId w:val="71"/>
  </w:num>
  <w:num w:numId="123" w16cid:durableId="1845240880">
    <w:abstractNumId w:val="44"/>
  </w:num>
  <w:num w:numId="124" w16cid:durableId="1849059158">
    <w:abstractNumId w:val="91"/>
  </w:num>
  <w:num w:numId="125" w16cid:durableId="501820065">
    <w:abstractNumId w:val="121"/>
  </w:num>
  <w:num w:numId="126" w16cid:durableId="408623647">
    <w:abstractNumId w:val="118"/>
  </w:num>
  <w:num w:numId="127" w16cid:durableId="1027369460">
    <w:abstractNumId w:val="15"/>
  </w:num>
  <w:num w:numId="128" w16cid:durableId="1949316948">
    <w:abstractNumId w:val="30"/>
  </w:num>
  <w:num w:numId="129" w16cid:durableId="1427385058">
    <w:abstractNumId w:val="35"/>
  </w:num>
  <w:num w:numId="130" w16cid:durableId="1426997346">
    <w:abstractNumId w:val="55"/>
  </w:num>
  <w:num w:numId="131" w16cid:durableId="720709831">
    <w:abstractNumId w:val="100"/>
  </w:num>
  <w:num w:numId="132" w16cid:durableId="271208017">
    <w:abstractNumId w:val="2"/>
  </w:num>
  <w:num w:numId="133" w16cid:durableId="1372418281">
    <w:abstractNumId w:val="8"/>
  </w:num>
  <w:num w:numId="134" w16cid:durableId="1888908023">
    <w:abstractNumId w:val="96"/>
  </w:num>
  <w:num w:numId="135" w16cid:durableId="1136525662">
    <w:abstractNumId w:val="128"/>
  </w:num>
  <w:num w:numId="136" w16cid:durableId="1387678226">
    <w:abstractNumId w:val="79"/>
  </w:num>
  <w:num w:numId="137" w16cid:durableId="2075345500">
    <w:abstractNumId w:val="136"/>
  </w:num>
  <w:num w:numId="138" w16cid:durableId="151217143">
    <w:abstractNumId w:val="138"/>
  </w:num>
  <w:num w:numId="139" w16cid:durableId="747000581">
    <w:abstractNumId w:val="51"/>
  </w:num>
  <w:num w:numId="140" w16cid:durableId="165369394">
    <w:abstractNumId w:val="149"/>
  </w:num>
  <w:num w:numId="141" w16cid:durableId="397823892">
    <w:abstractNumId w:val="42"/>
  </w:num>
  <w:num w:numId="142" w16cid:durableId="1651448133">
    <w:abstractNumId w:val="84"/>
  </w:num>
  <w:num w:numId="143" w16cid:durableId="1176765546">
    <w:abstractNumId w:val="17"/>
  </w:num>
  <w:num w:numId="144" w16cid:durableId="1393233713">
    <w:abstractNumId w:val="3"/>
  </w:num>
  <w:num w:numId="145" w16cid:durableId="1989818438">
    <w:abstractNumId w:val="27"/>
  </w:num>
  <w:num w:numId="146" w16cid:durableId="572546825">
    <w:abstractNumId w:val="60"/>
  </w:num>
  <w:num w:numId="147" w16cid:durableId="2055301368">
    <w:abstractNumId w:val="64"/>
  </w:num>
  <w:num w:numId="148" w16cid:durableId="1068529752">
    <w:abstractNumId w:val="39"/>
  </w:num>
  <w:num w:numId="149" w16cid:durableId="729042202">
    <w:abstractNumId w:val="57"/>
  </w:num>
  <w:num w:numId="150" w16cid:durableId="1241139904">
    <w:abstractNumId w:val="22"/>
  </w:num>
  <w:num w:numId="151" w16cid:durableId="2089379043">
    <w:abstractNumId w:val="53"/>
  </w:num>
  <w:num w:numId="152" w16cid:durableId="474182003">
    <w:abstractNumId w:val="21"/>
  </w:num>
  <w:num w:numId="153" w16cid:durableId="968781138">
    <w:abstractNumId w:val="104"/>
  </w:num>
  <w:num w:numId="154" w16cid:durableId="105660104">
    <w:abstractNumId w:val="124"/>
  </w:num>
  <w:num w:numId="155" w16cid:durableId="1672834775">
    <w:abstractNumId w:val="130"/>
  </w:num>
  <w:numIdMacAtCleanup w:val="1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edit="forms" w:enforcement="0"/>
  <w:defaultTabStop w:val="720"/>
  <w:doNotShadeFormData/>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NewDoc" w:val="Created"/>
    <w:docVar w:name="VerNumber" w:val="3.9.0"/>
  </w:docVars>
  <w:rsids>
    <w:rsidRoot w:val="00044FE7"/>
    <w:rsid w:val="00000053"/>
    <w:rsid w:val="000000B4"/>
    <w:rsid w:val="00000588"/>
    <w:rsid w:val="00000766"/>
    <w:rsid w:val="00000C65"/>
    <w:rsid w:val="000012C5"/>
    <w:rsid w:val="000016A1"/>
    <w:rsid w:val="000017AF"/>
    <w:rsid w:val="000019B2"/>
    <w:rsid w:val="00001AD9"/>
    <w:rsid w:val="00001E72"/>
    <w:rsid w:val="00002ADE"/>
    <w:rsid w:val="00002AE7"/>
    <w:rsid w:val="00003104"/>
    <w:rsid w:val="00003129"/>
    <w:rsid w:val="000038EC"/>
    <w:rsid w:val="00003A70"/>
    <w:rsid w:val="00003B6E"/>
    <w:rsid w:val="00004047"/>
    <w:rsid w:val="000046FE"/>
    <w:rsid w:val="0000505F"/>
    <w:rsid w:val="00005511"/>
    <w:rsid w:val="000055E7"/>
    <w:rsid w:val="00005FBE"/>
    <w:rsid w:val="000064A8"/>
    <w:rsid w:val="00006B56"/>
    <w:rsid w:val="00006D2E"/>
    <w:rsid w:val="00006EF6"/>
    <w:rsid w:val="000071A5"/>
    <w:rsid w:val="000073A8"/>
    <w:rsid w:val="000073D1"/>
    <w:rsid w:val="00007554"/>
    <w:rsid w:val="00007853"/>
    <w:rsid w:val="000079C0"/>
    <w:rsid w:val="00010513"/>
    <w:rsid w:val="0001056A"/>
    <w:rsid w:val="00010950"/>
    <w:rsid w:val="00010EE1"/>
    <w:rsid w:val="00011023"/>
    <w:rsid w:val="00011383"/>
    <w:rsid w:val="00011537"/>
    <w:rsid w:val="00011BBA"/>
    <w:rsid w:val="00012095"/>
    <w:rsid w:val="00012307"/>
    <w:rsid w:val="00012458"/>
    <w:rsid w:val="00012498"/>
    <w:rsid w:val="0001262A"/>
    <w:rsid w:val="0001264D"/>
    <w:rsid w:val="000129CE"/>
    <w:rsid w:val="000130C4"/>
    <w:rsid w:val="00013ECD"/>
    <w:rsid w:val="00013F52"/>
    <w:rsid w:val="0001418E"/>
    <w:rsid w:val="000142F1"/>
    <w:rsid w:val="0001460F"/>
    <w:rsid w:val="000146D0"/>
    <w:rsid w:val="00014CAB"/>
    <w:rsid w:val="00015243"/>
    <w:rsid w:val="00016380"/>
    <w:rsid w:val="000166B7"/>
    <w:rsid w:val="00016E66"/>
    <w:rsid w:val="00016E86"/>
    <w:rsid w:val="0001702E"/>
    <w:rsid w:val="0001761F"/>
    <w:rsid w:val="00020B04"/>
    <w:rsid w:val="00020FC6"/>
    <w:rsid w:val="00021306"/>
    <w:rsid w:val="00021BC0"/>
    <w:rsid w:val="00022080"/>
    <w:rsid w:val="000220A0"/>
    <w:rsid w:val="0002219F"/>
    <w:rsid w:val="000222F1"/>
    <w:rsid w:val="00022BE0"/>
    <w:rsid w:val="00022F52"/>
    <w:rsid w:val="00023080"/>
    <w:rsid w:val="000231A8"/>
    <w:rsid w:val="0002370C"/>
    <w:rsid w:val="000239A7"/>
    <w:rsid w:val="00023BBF"/>
    <w:rsid w:val="00023E62"/>
    <w:rsid w:val="00024306"/>
    <w:rsid w:val="00024BF7"/>
    <w:rsid w:val="0002500D"/>
    <w:rsid w:val="000251D0"/>
    <w:rsid w:val="00025348"/>
    <w:rsid w:val="00025718"/>
    <w:rsid w:val="00025917"/>
    <w:rsid w:val="00025B8C"/>
    <w:rsid w:val="00025CC4"/>
    <w:rsid w:val="000261BF"/>
    <w:rsid w:val="000263D2"/>
    <w:rsid w:val="000264E7"/>
    <w:rsid w:val="00026555"/>
    <w:rsid w:val="00026AC0"/>
    <w:rsid w:val="00026E16"/>
    <w:rsid w:val="00026F01"/>
    <w:rsid w:val="00026F43"/>
    <w:rsid w:val="000275CA"/>
    <w:rsid w:val="000276D6"/>
    <w:rsid w:val="00027732"/>
    <w:rsid w:val="00027ED9"/>
    <w:rsid w:val="00027FDE"/>
    <w:rsid w:val="00030595"/>
    <w:rsid w:val="0003059B"/>
    <w:rsid w:val="00030713"/>
    <w:rsid w:val="00030B38"/>
    <w:rsid w:val="00030B92"/>
    <w:rsid w:val="00031341"/>
    <w:rsid w:val="00032213"/>
    <w:rsid w:val="00032729"/>
    <w:rsid w:val="000327D5"/>
    <w:rsid w:val="00032A31"/>
    <w:rsid w:val="00032E4E"/>
    <w:rsid w:val="00033093"/>
    <w:rsid w:val="0003367C"/>
    <w:rsid w:val="00033E46"/>
    <w:rsid w:val="00034261"/>
    <w:rsid w:val="00034397"/>
    <w:rsid w:val="00034627"/>
    <w:rsid w:val="00034B7E"/>
    <w:rsid w:val="000351B8"/>
    <w:rsid w:val="000351C4"/>
    <w:rsid w:val="00035536"/>
    <w:rsid w:val="00035E22"/>
    <w:rsid w:val="000365B1"/>
    <w:rsid w:val="00036926"/>
    <w:rsid w:val="00036D80"/>
    <w:rsid w:val="000375A7"/>
    <w:rsid w:val="0003786D"/>
    <w:rsid w:val="0004016B"/>
    <w:rsid w:val="000401B1"/>
    <w:rsid w:val="000407D8"/>
    <w:rsid w:val="00040E51"/>
    <w:rsid w:val="0004133E"/>
    <w:rsid w:val="00041799"/>
    <w:rsid w:val="0004186C"/>
    <w:rsid w:val="00041DBA"/>
    <w:rsid w:val="0004221B"/>
    <w:rsid w:val="00042767"/>
    <w:rsid w:val="00042B54"/>
    <w:rsid w:val="00042EAA"/>
    <w:rsid w:val="00043399"/>
    <w:rsid w:val="000439F7"/>
    <w:rsid w:val="00043A7E"/>
    <w:rsid w:val="00043AE7"/>
    <w:rsid w:val="00044038"/>
    <w:rsid w:val="00044462"/>
    <w:rsid w:val="00044605"/>
    <w:rsid w:val="0004482D"/>
    <w:rsid w:val="00044F07"/>
    <w:rsid w:val="00044F18"/>
    <w:rsid w:val="00044FE7"/>
    <w:rsid w:val="000450FA"/>
    <w:rsid w:val="0004564C"/>
    <w:rsid w:val="00045828"/>
    <w:rsid w:val="00045A4C"/>
    <w:rsid w:val="00045BAD"/>
    <w:rsid w:val="000460C7"/>
    <w:rsid w:val="00046C98"/>
    <w:rsid w:val="00047D70"/>
    <w:rsid w:val="00047DBB"/>
    <w:rsid w:val="000500F2"/>
    <w:rsid w:val="00050824"/>
    <w:rsid w:val="00050C4E"/>
    <w:rsid w:val="00050FE4"/>
    <w:rsid w:val="000513D6"/>
    <w:rsid w:val="00051403"/>
    <w:rsid w:val="000516B0"/>
    <w:rsid w:val="00051FA4"/>
    <w:rsid w:val="000527B6"/>
    <w:rsid w:val="00052991"/>
    <w:rsid w:val="00052A1B"/>
    <w:rsid w:val="00052B80"/>
    <w:rsid w:val="00052F44"/>
    <w:rsid w:val="00052FF0"/>
    <w:rsid w:val="000539EA"/>
    <w:rsid w:val="00053E82"/>
    <w:rsid w:val="00053F54"/>
    <w:rsid w:val="0005439A"/>
    <w:rsid w:val="000545B3"/>
    <w:rsid w:val="00054A43"/>
    <w:rsid w:val="00054FDA"/>
    <w:rsid w:val="000551A0"/>
    <w:rsid w:val="0005543F"/>
    <w:rsid w:val="00055BC4"/>
    <w:rsid w:val="00055D6F"/>
    <w:rsid w:val="00056039"/>
    <w:rsid w:val="000566A0"/>
    <w:rsid w:val="00056B7A"/>
    <w:rsid w:val="00056D13"/>
    <w:rsid w:val="00056EE6"/>
    <w:rsid w:val="000570B9"/>
    <w:rsid w:val="00057127"/>
    <w:rsid w:val="00057378"/>
    <w:rsid w:val="00057928"/>
    <w:rsid w:val="00060175"/>
    <w:rsid w:val="0006047F"/>
    <w:rsid w:val="0006053F"/>
    <w:rsid w:val="00060A19"/>
    <w:rsid w:val="000610EC"/>
    <w:rsid w:val="00061272"/>
    <w:rsid w:val="000614FD"/>
    <w:rsid w:val="00061786"/>
    <w:rsid w:val="00061D9C"/>
    <w:rsid w:val="00061DBB"/>
    <w:rsid w:val="00061E5F"/>
    <w:rsid w:val="00061F88"/>
    <w:rsid w:val="00062469"/>
    <w:rsid w:val="0006287F"/>
    <w:rsid w:val="00062A81"/>
    <w:rsid w:val="00062AFD"/>
    <w:rsid w:val="00062E7F"/>
    <w:rsid w:val="00062E86"/>
    <w:rsid w:val="00062F85"/>
    <w:rsid w:val="00063092"/>
    <w:rsid w:val="00063338"/>
    <w:rsid w:val="000634EE"/>
    <w:rsid w:val="000636A4"/>
    <w:rsid w:val="00063820"/>
    <w:rsid w:val="00064133"/>
    <w:rsid w:val="00064B8C"/>
    <w:rsid w:val="00064C40"/>
    <w:rsid w:val="00064FB9"/>
    <w:rsid w:val="0006510A"/>
    <w:rsid w:val="00065310"/>
    <w:rsid w:val="00065524"/>
    <w:rsid w:val="00065789"/>
    <w:rsid w:val="0006589F"/>
    <w:rsid w:val="00065C32"/>
    <w:rsid w:val="00066240"/>
    <w:rsid w:val="00066311"/>
    <w:rsid w:val="000671A2"/>
    <w:rsid w:val="00067326"/>
    <w:rsid w:val="000673C7"/>
    <w:rsid w:val="00067464"/>
    <w:rsid w:val="00067B53"/>
    <w:rsid w:val="00067EC6"/>
    <w:rsid w:val="000700DE"/>
    <w:rsid w:val="000707DF"/>
    <w:rsid w:val="00070CA7"/>
    <w:rsid w:val="00070EEB"/>
    <w:rsid w:val="00071299"/>
    <w:rsid w:val="0007152C"/>
    <w:rsid w:val="000715D9"/>
    <w:rsid w:val="00071A0C"/>
    <w:rsid w:val="00071E5F"/>
    <w:rsid w:val="00072008"/>
    <w:rsid w:val="00072272"/>
    <w:rsid w:val="00072AAB"/>
    <w:rsid w:val="00072BE9"/>
    <w:rsid w:val="000736C6"/>
    <w:rsid w:val="00073D35"/>
    <w:rsid w:val="0007406A"/>
    <w:rsid w:val="0007437E"/>
    <w:rsid w:val="00074BEA"/>
    <w:rsid w:val="00074C8E"/>
    <w:rsid w:val="00074E92"/>
    <w:rsid w:val="00075041"/>
    <w:rsid w:val="0007510E"/>
    <w:rsid w:val="0007521A"/>
    <w:rsid w:val="0007524C"/>
    <w:rsid w:val="0007532E"/>
    <w:rsid w:val="00075847"/>
    <w:rsid w:val="00075926"/>
    <w:rsid w:val="00075A79"/>
    <w:rsid w:val="00075C8E"/>
    <w:rsid w:val="00075FED"/>
    <w:rsid w:val="00076042"/>
    <w:rsid w:val="000760BE"/>
    <w:rsid w:val="0007615F"/>
    <w:rsid w:val="000767AC"/>
    <w:rsid w:val="0007695E"/>
    <w:rsid w:val="00076A78"/>
    <w:rsid w:val="00076C08"/>
    <w:rsid w:val="000771CD"/>
    <w:rsid w:val="000771D5"/>
    <w:rsid w:val="000774F0"/>
    <w:rsid w:val="000778FB"/>
    <w:rsid w:val="00077BA1"/>
    <w:rsid w:val="00077D44"/>
    <w:rsid w:val="00077E2D"/>
    <w:rsid w:val="0008003F"/>
    <w:rsid w:val="000805C8"/>
    <w:rsid w:val="000806EC"/>
    <w:rsid w:val="00080A63"/>
    <w:rsid w:val="000812E4"/>
    <w:rsid w:val="000814FD"/>
    <w:rsid w:val="00081F89"/>
    <w:rsid w:val="000821A0"/>
    <w:rsid w:val="00082436"/>
    <w:rsid w:val="00082659"/>
    <w:rsid w:val="0008274B"/>
    <w:rsid w:val="00082B13"/>
    <w:rsid w:val="00082B2E"/>
    <w:rsid w:val="00082BAC"/>
    <w:rsid w:val="00082EA7"/>
    <w:rsid w:val="000831F3"/>
    <w:rsid w:val="00083A37"/>
    <w:rsid w:val="0008479A"/>
    <w:rsid w:val="00084B97"/>
    <w:rsid w:val="00084BD1"/>
    <w:rsid w:val="00085813"/>
    <w:rsid w:val="00085A20"/>
    <w:rsid w:val="00085EEA"/>
    <w:rsid w:val="000860CC"/>
    <w:rsid w:val="00086128"/>
    <w:rsid w:val="0008647D"/>
    <w:rsid w:val="0008667F"/>
    <w:rsid w:val="000867B0"/>
    <w:rsid w:val="0008731F"/>
    <w:rsid w:val="00087614"/>
    <w:rsid w:val="0008795D"/>
    <w:rsid w:val="00087B9A"/>
    <w:rsid w:val="0009058D"/>
    <w:rsid w:val="00090A45"/>
    <w:rsid w:val="00090B0D"/>
    <w:rsid w:val="00090E80"/>
    <w:rsid w:val="00090F94"/>
    <w:rsid w:val="00091710"/>
    <w:rsid w:val="0009187D"/>
    <w:rsid w:val="000919DE"/>
    <w:rsid w:val="00091F94"/>
    <w:rsid w:val="000921D3"/>
    <w:rsid w:val="00092487"/>
    <w:rsid w:val="00092926"/>
    <w:rsid w:val="00092A99"/>
    <w:rsid w:val="00093598"/>
    <w:rsid w:val="0009375E"/>
    <w:rsid w:val="000937D5"/>
    <w:rsid w:val="0009381F"/>
    <w:rsid w:val="00093EAD"/>
    <w:rsid w:val="00094680"/>
    <w:rsid w:val="0009481F"/>
    <w:rsid w:val="000948EA"/>
    <w:rsid w:val="00094E72"/>
    <w:rsid w:val="000956FD"/>
    <w:rsid w:val="00095710"/>
    <w:rsid w:val="000962E2"/>
    <w:rsid w:val="0009657A"/>
    <w:rsid w:val="0009670D"/>
    <w:rsid w:val="00096D02"/>
    <w:rsid w:val="00097366"/>
    <w:rsid w:val="000973A5"/>
    <w:rsid w:val="0009743B"/>
    <w:rsid w:val="0009799D"/>
    <w:rsid w:val="000979C9"/>
    <w:rsid w:val="000A01DE"/>
    <w:rsid w:val="000A02E3"/>
    <w:rsid w:val="000A0568"/>
    <w:rsid w:val="000A0AB2"/>
    <w:rsid w:val="000A0F61"/>
    <w:rsid w:val="000A11FE"/>
    <w:rsid w:val="000A1607"/>
    <w:rsid w:val="000A1768"/>
    <w:rsid w:val="000A1798"/>
    <w:rsid w:val="000A1C60"/>
    <w:rsid w:val="000A1D7F"/>
    <w:rsid w:val="000A2B57"/>
    <w:rsid w:val="000A32BC"/>
    <w:rsid w:val="000A3380"/>
    <w:rsid w:val="000A34A6"/>
    <w:rsid w:val="000A3649"/>
    <w:rsid w:val="000A36EE"/>
    <w:rsid w:val="000A3C87"/>
    <w:rsid w:val="000A3FC4"/>
    <w:rsid w:val="000A4820"/>
    <w:rsid w:val="000A5174"/>
    <w:rsid w:val="000A5746"/>
    <w:rsid w:val="000A5C5D"/>
    <w:rsid w:val="000A5D9D"/>
    <w:rsid w:val="000A64C9"/>
    <w:rsid w:val="000A6910"/>
    <w:rsid w:val="000A6C67"/>
    <w:rsid w:val="000A6E4B"/>
    <w:rsid w:val="000A6E7C"/>
    <w:rsid w:val="000A79C0"/>
    <w:rsid w:val="000A79FC"/>
    <w:rsid w:val="000A7A7A"/>
    <w:rsid w:val="000B0049"/>
    <w:rsid w:val="000B02E3"/>
    <w:rsid w:val="000B0412"/>
    <w:rsid w:val="000B04EB"/>
    <w:rsid w:val="000B07A1"/>
    <w:rsid w:val="000B08DA"/>
    <w:rsid w:val="000B0B08"/>
    <w:rsid w:val="000B1176"/>
    <w:rsid w:val="000B157B"/>
    <w:rsid w:val="000B1634"/>
    <w:rsid w:val="000B1A2E"/>
    <w:rsid w:val="000B1BBC"/>
    <w:rsid w:val="000B1DC7"/>
    <w:rsid w:val="000B1F04"/>
    <w:rsid w:val="000B2117"/>
    <w:rsid w:val="000B214E"/>
    <w:rsid w:val="000B296D"/>
    <w:rsid w:val="000B2B11"/>
    <w:rsid w:val="000B2EE1"/>
    <w:rsid w:val="000B3175"/>
    <w:rsid w:val="000B3210"/>
    <w:rsid w:val="000B3855"/>
    <w:rsid w:val="000B3B15"/>
    <w:rsid w:val="000B3CD1"/>
    <w:rsid w:val="000B3E49"/>
    <w:rsid w:val="000B410E"/>
    <w:rsid w:val="000B4387"/>
    <w:rsid w:val="000B49A4"/>
    <w:rsid w:val="000B4E90"/>
    <w:rsid w:val="000B4ECD"/>
    <w:rsid w:val="000B4ECF"/>
    <w:rsid w:val="000B55DA"/>
    <w:rsid w:val="000B56C6"/>
    <w:rsid w:val="000B5BA2"/>
    <w:rsid w:val="000B5BEA"/>
    <w:rsid w:val="000B6E9B"/>
    <w:rsid w:val="000B7153"/>
    <w:rsid w:val="000B7E83"/>
    <w:rsid w:val="000B7FA9"/>
    <w:rsid w:val="000C01C5"/>
    <w:rsid w:val="000C02DB"/>
    <w:rsid w:val="000C031E"/>
    <w:rsid w:val="000C0C8E"/>
    <w:rsid w:val="000C0D01"/>
    <w:rsid w:val="000C0FCF"/>
    <w:rsid w:val="000C165A"/>
    <w:rsid w:val="000C1D45"/>
    <w:rsid w:val="000C1DAC"/>
    <w:rsid w:val="000C2456"/>
    <w:rsid w:val="000C267F"/>
    <w:rsid w:val="000C2A4C"/>
    <w:rsid w:val="000C2A6E"/>
    <w:rsid w:val="000C30D8"/>
    <w:rsid w:val="000C33EA"/>
    <w:rsid w:val="000C34C3"/>
    <w:rsid w:val="000C391E"/>
    <w:rsid w:val="000C3D20"/>
    <w:rsid w:val="000C3FE2"/>
    <w:rsid w:val="000C4048"/>
    <w:rsid w:val="000C41F0"/>
    <w:rsid w:val="000C4589"/>
    <w:rsid w:val="000C4599"/>
    <w:rsid w:val="000C462C"/>
    <w:rsid w:val="000C4E85"/>
    <w:rsid w:val="000C57D5"/>
    <w:rsid w:val="000C5906"/>
    <w:rsid w:val="000C59BA"/>
    <w:rsid w:val="000C6127"/>
    <w:rsid w:val="000C68EC"/>
    <w:rsid w:val="000C6A87"/>
    <w:rsid w:val="000C74E3"/>
    <w:rsid w:val="000D0F7F"/>
    <w:rsid w:val="000D12FE"/>
    <w:rsid w:val="000D1A12"/>
    <w:rsid w:val="000D1A47"/>
    <w:rsid w:val="000D1B44"/>
    <w:rsid w:val="000D1CB0"/>
    <w:rsid w:val="000D2819"/>
    <w:rsid w:val="000D292B"/>
    <w:rsid w:val="000D33DD"/>
    <w:rsid w:val="000D37C7"/>
    <w:rsid w:val="000D3C47"/>
    <w:rsid w:val="000D3CCF"/>
    <w:rsid w:val="000D438D"/>
    <w:rsid w:val="000D5290"/>
    <w:rsid w:val="000D55B5"/>
    <w:rsid w:val="000D55DB"/>
    <w:rsid w:val="000D56A7"/>
    <w:rsid w:val="000D58BD"/>
    <w:rsid w:val="000D5B31"/>
    <w:rsid w:val="000D5ED5"/>
    <w:rsid w:val="000D619B"/>
    <w:rsid w:val="000D671D"/>
    <w:rsid w:val="000D67C8"/>
    <w:rsid w:val="000D68B0"/>
    <w:rsid w:val="000D6EA2"/>
    <w:rsid w:val="000D6F85"/>
    <w:rsid w:val="000D71C3"/>
    <w:rsid w:val="000D74F3"/>
    <w:rsid w:val="000D7800"/>
    <w:rsid w:val="000D7854"/>
    <w:rsid w:val="000D7DEF"/>
    <w:rsid w:val="000D7EC3"/>
    <w:rsid w:val="000D7F7C"/>
    <w:rsid w:val="000E02BE"/>
    <w:rsid w:val="000E0491"/>
    <w:rsid w:val="000E051D"/>
    <w:rsid w:val="000E08BB"/>
    <w:rsid w:val="000E1198"/>
    <w:rsid w:val="000E1558"/>
    <w:rsid w:val="000E19A1"/>
    <w:rsid w:val="000E2041"/>
    <w:rsid w:val="000E22F5"/>
    <w:rsid w:val="000E2402"/>
    <w:rsid w:val="000E2647"/>
    <w:rsid w:val="000E2E5D"/>
    <w:rsid w:val="000E3308"/>
    <w:rsid w:val="000E3990"/>
    <w:rsid w:val="000E3A0F"/>
    <w:rsid w:val="000E3A9D"/>
    <w:rsid w:val="000E3FD7"/>
    <w:rsid w:val="000E4126"/>
    <w:rsid w:val="000E445B"/>
    <w:rsid w:val="000E452D"/>
    <w:rsid w:val="000E46F6"/>
    <w:rsid w:val="000E4992"/>
    <w:rsid w:val="000E4EAE"/>
    <w:rsid w:val="000E5443"/>
    <w:rsid w:val="000E5D26"/>
    <w:rsid w:val="000E60E7"/>
    <w:rsid w:val="000E617A"/>
    <w:rsid w:val="000E6A94"/>
    <w:rsid w:val="000E6A9E"/>
    <w:rsid w:val="000E6AD4"/>
    <w:rsid w:val="000E7942"/>
    <w:rsid w:val="000E7A9E"/>
    <w:rsid w:val="000E7D96"/>
    <w:rsid w:val="000F004E"/>
    <w:rsid w:val="000F0495"/>
    <w:rsid w:val="000F05AF"/>
    <w:rsid w:val="000F0840"/>
    <w:rsid w:val="000F0BEF"/>
    <w:rsid w:val="000F1698"/>
    <w:rsid w:val="000F16CE"/>
    <w:rsid w:val="000F1BDB"/>
    <w:rsid w:val="000F1D93"/>
    <w:rsid w:val="000F2629"/>
    <w:rsid w:val="000F2654"/>
    <w:rsid w:val="000F2911"/>
    <w:rsid w:val="000F2EDE"/>
    <w:rsid w:val="000F30E8"/>
    <w:rsid w:val="000F3191"/>
    <w:rsid w:val="000F320D"/>
    <w:rsid w:val="000F3267"/>
    <w:rsid w:val="000F3361"/>
    <w:rsid w:val="000F37BB"/>
    <w:rsid w:val="000F3EDA"/>
    <w:rsid w:val="000F4481"/>
    <w:rsid w:val="000F4D5D"/>
    <w:rsid w:val="000F5507"/>
    <w:rsid w:val="000F57BB"/>
    <w:rsid w:val="000F5B74"/>
    <w:rsid w:val="000F6055"/>
    <w:rsid w:val="000F6427"/>
    <w:rsid w:val="000F6BE5"/>
    <w:rsid w:val="000F6DD0"/>
    <w:rsid w:val="000F7186"/>
    <w:rsid w:val="000F71FA"/>
    <w:rsid w:val="000F73EF"/>
    <w:rsid w:val="000F77F2"/>
    <w:rsid w:val="000F7CFB"/>
    <w:rsid w:val="000F7F3D"/>
    <w:rsid w:val="001002B1"/>
    <w:rsid w:val="00100A81"/>
    <w:rsid w:val="00100EED"/>
    <w:rsid w:val="00101683"/>
    <w:rsid w:val="00101961"/>
    <w:rsid w:val="00101991"/>
    <w:rsid w:val="00101DE5"/>
    <w:rsid w:val="00102870"/>
    <w:rsid w:val="00102D19"/>
    <w:rsid w:val="00103966"/>
    <w:rsid w:val="00103E17"/>
    <w:rsid w:val="00104554"/>
    <w:rsid w:val="00104F89"/>
    <w:rsid w:val="0010524D"/>
    <w:rsid w:val="0010548A"/>
    <w:rsid w:val="00105C42"/>
    <w:rsid w:val="00105FF7"/>
    <w:rsid w:val="0010601E"/>
    <w:rsid w:val="00106089"/>
    <w:rsid w:val="00106164"/>
    <w:rsid w:val="0010657C"/>
    <w:rsid w:val="00106783"/>
    <w:rsid w:val="00106C0F"/>
    <w:rsid w:val="00107002"/>
    <w:rsid w:val="00107334"/>
    <w:rsid w:val="00107D3F"/>
    <w:rsid w:val="00110396"/>
    <w:rsid w:val="0011045C"/>
    <w:rsid w:val="00110BD7"/>
    <w:rsid w:val="00110CD8"/>
    <w:rsid w:val="001110DB"/>
    <w:rsid w:val="00111395"/>
    <w:rsid w:val="001113A3"/>
    <w:rsid w:val="00111CBB"/>
    <w:rsid w:val="0011218E"/>
    <w:rsid w:val="00112343"/>
    <w:rsid w:val="00112425"/>
    <w:rsid w:val="001125CF"/>
    <w:rsid w:val="00112D2D"/>
    <w:rsid w:val="00112EA8"/>
    <w:rsid w:val="00113310"/>
    <w:rsid w:val="00113CF7"/>
    <w:rsid w:val="00114831"/>
    <w:rsid w:val="00114AA4"/>
    <w:rsid w:val="00114E14"/>
    <w:rsid w:val="00115438"/>
    <w:rsid w:val="001154EF"/>
    <w:rsid w:val="001155DA"/>
    <w:rsid w:val="0011569A"/>
    <w:rsid w:val="00115B4E"/>
    <w:rsid w:val="00115D70"/>
    <w:rsid w:val="001161D5"/>
    <w:rsid w:val="00116498"/>
    <w:rsid w:val="00116594"/>
    <w:rsid w:val="0011694F"/>
    <w:rsid w:val="00116983"/>
    <w:rsid w:val="00116B63"/>
    <w:rsid w:val="00116C79"/>
    <w:rsid w:val="001172A3"/>
    <w:rsid w:val="00117B2E"/>
    <w:rsid w:val="00117C15"/>
    <w:rsid w:val="00117D61"/>
    <w:rsid w:val="00117E81"/>
    <w:rsid w:val="00120113"/>
    <w:rsid w:val="001203F1"/>
    <w:rsid w:val="001208BD"/>
    <w:rsid w:val="00120A1E"/>
    <w:rsid w:val="00121335"/>
    <w:rsid w:val="0012161E"/>
    <w:rsid w:val="00121EAA"/>
    <w:rsid w:val="00122092"/>
    <w:rsid w:val="00122661"/>
    <w:rsid w:val="00122A00"/>
    <w:rsid w:val="00122D9F"/>
    <w:rsid w:val="00123368"/>
    <w:rsid w:val="001235DD"/>
    <w:rsid w:val="0012369A"/>
    <w:rsid w:val="001237AC"/>
    <w:rsid w:val="00123E81"/>
    <w:rsid w:val="001243CD"/>
    <w:rsid w:val="0012460B"/>
    <w:rsid w:val="00124EDC"/>
    <w:rsid w:val="001257CC"/>
    <w:rsid w:val="0012587C"/>
    <w:rsid w:val="001258CA"/>
    <w:rsid w:val="00125AA3"/>
    <w:rsid w:val="00125B66"/>
    <w:rsid w:val="00125EC8"/>
    <w:rsid w:val="0012619D"/>
    <w:rsid w:val="0012716D"/>
    <w:rsid w:val="00127373"/>
    <w:rsid w:val="001274CA"/>
    <w:rsid w:val="00127CA5"/>
    <w:rsid w:val="00127D70"/>
    <w:rsid w:val="00130907"/>
    <w:rsid w:val="00130E3F"/>
    <w:rsid w:val="0013108D"/>
    <w:rsid w:val="001310C5"/>
    <w:rsid w:val="0013122F"/>
    <w:rsid w:val="00131602"/>
    <w:rsid w:val="00131AA0"/>
    <w:rsid w:val="00131CE4"/>
    <w:rsid w:val="00132E58"/>
    <w:rsid w:val="0013398A"/>
    <w:rsid w:val="00133A17"/>
    <w:rsid w:val="00133C58"/>
    <w:rsid w:val="0013491D"/>
    <w:rsid w:val="0013494D"/>
    <w:rsid w:val="00134EA8"/>
    <w:rsid w:val="00135CCA"/>
    <w:rsid w:val="00135F28"/>
    <w:rsid w:val="0013627E"/>
    <w:rsid w:val="001362ED"/>
    <w:rsid w:val="00136558"/>
    <w:rsid w:val="001365F4"/>
    <w:rsid w:val="0013689E"/>
    <w:rsid w:val="00136F78"/>
    <w:rsid w:val="001372B7"/>
    <w:rsid w:val="001372FE"/>
    <w:rsid w:val="0013763D"/>
    <w:rsid w:val="0013766A"/>
    <w:rsid w:val="00137C6F"/>
    <w:rsid w:val="00137E31"/>
    <w:rsid w:val="001401D1"/>
    <w:rsid w:val="00140394"/>
    <w:rsid w:val="00140689"/>
    <w:rsid w:val="001406A3"/>
    <w:rsid w:val="001408AD"/>
    <w:rsid w:val="0014095D"/>
    <w:rsid w:val="00140964"/>
    <w:rsid w:val="00140CFE"/>
    <w:rsid w:val="00140E0E"/>
    <w:rsid w:val="00140E24"/>
    <w:rsid w:val="00140EFE"/>
    <w:rsid w:val="00140F25"/>
    <w:rsid w:val="00140F27"/>
    <w:rsid w:val="001410AE"/>
    <w:rsid w:val="0014140D"/>
    <w:rsid w:val="00141B6F"/>
    <w:rsid w:val="00141C70"/>
    <w:rsid w:val="00141DDC"/>
    <w:rsid w:val="00141E5B"/>
    <w:rsid w:val="00142993"/>
    <w:rsid w:val="00142E5B"/>
    <w:rsid w:val="0014336D"/>
    <w:rsid w:val="00144809"/>
    <w:rsid w:val="00144A45"/>
    <w:rsid w:val="00144E6D"/>
    <w:rsid w:val="001456C4"/>
    <w:rsid w:val="001457AA"/>
    <w:rsid w:val="0014632E"/>
    <w:rsid w:val="00146EA3"/>
    <w:rsid w:val="0014716E"/>
    <w:rsid w:val="001472B6"/>
    <w:rsid w:val="0014734A"/>
    <w:rsid w:val="001477D1"/>
    <w:rsid w:val="00147901"/>
    <w:rsid w:val="00147B2C"/>
    <w:rsid w:val="00147CCB"/>
    <w:rsid w:val="001500F9"/>
    <w:rsid w:val="0015043C"/>
    <w:rsid w:val="001504AB"/>
    <w:rsid w:val="00150C6C"/>
    <w:rsid w:val="00150DAE"/>
    <w:rsid w:val="00150EC0"/>
    <w:rsid w:val="001512FA"/>
    <w:rsid w:val="00151386"/>
    <w:rsid w:val="00151A4C"/>
    <w:rsid w:val="0015222D"/>
    <w:rsid w:val="0015254E"/>
    <w:rsid w:val="00152C60"/>
    <w:rsid w:val="00152D16"/>
    <w:rsid w:val="00152DE4"/>
    <w:rsid w:val="00152F27"/>
    <w:rsid w:val="00152F60"/>
    <w:rsid w:val="0015333D"/>
    <w:rsid w:val="001535F3"/>
    <w:rsid w:val="00153979"/>
    <w:rsid w:val="00153A92"/>
    <w:rsid w:val="00153B32"/>
    <w:rsid w:val="00154109"/>
    <w:rsid w:val="0015433F"/>
    <w:rsid w:val="001545C4"/>
    <w:rsid w:val="00154D95"/>
    <w:rsid w:val="00156034"/>
    <w:rsid w:val="001563EB"/>
    <w:rsid w:val="00156D08"/>
    <w:rsid w:val="00156E0C"/>
    <w:rsid w:val="00157640"/>
    <w:rsid w:val="00157E5B"/>
    <w:rsid w:val="00160036"/>
    <w:rsid w:val="00160691"/>
    <w:rsid w:val="00160AAD"/>
    <w:rsid w:val="00160E04"/>
    <w:rsid w:val="00161175"/>
    <w:rsid w:val="001612CA"/>
    <w:rsid w:val="00162280"/>
    <w:rsid w:val="00162428"/>
    <w:rsid w:val="00162722"/>
    <w:rsid w:val="00162B3A"/>
    <w:rsid w:val="00162D57"/>
    <w:rsid w:val="0016302A"/>
    <w:rsid w:val="00163154"/>
    <w:rsid w:val="0016353B"/>
    <w:rsid w:val="0016376D"/>
    <w:rsid w:val="0016381A"/>
    <w:rsid w:val="0016395E"/>
    <w:rsid w:val="00163EA5"/>
    <w:rsid w:val="00163FEF"/>
    <w:rsid w:val="0016440B"/>
    <w:rsid w:val="00164C3B"/>
    <w:rsid w:val="00164D57"/>
    <w:rsid w:val="00165113"/>
    <w:rsid w:val="00165EC9"/>
    <w:rsid w:val="001662B7"/>
    <w:rsid w:val="0016633B"/>
    <w:rsid w:val="00166AA3"/>
    <w:rsid w:val="00166D7E"/>
    <w:rsid w:val="00167088"/>
    <w:rsid w:val="00167C57"/>
    <w:rsid w:val="00167E12"/>
    <w:rsid w:val="001701DB"/>
    <w:rsid w:val="001709E2"/>
    <w:rsid w:val="00170E82"/>
    <w:rsid w:val="00170E8F"/>
    <w:rsid w:val="00170F47"/>
    <w:rsid w:val="00170F6E"/>
    <w:rsid w:val="00170FC7"/>
    <w:rsid w:val="00171188"/>
    <w:rsid w:val="0017188B"/>
    <w:rsid w:val="00171B57"/>
    <w:rsid w:val="00172073"/>
    <w:rsid w:val="00172628"/>
    <w:rsid w:val="001730B0"/>
    <w:rsid w:val="0017336A"/>
    <w:rsid w:val="001734D3"/>
    <w:rsid w:val="00173B05"/>
    <w:rsid w:val="00173D1A"/>
    <w:rsid w:val="00174119"/>
    <w:rsid w:val="0017432A"/>
    <w:rsid w:val="00174C10"/>
    <w:rsid w:val="0017516A"/>
    <w:rsid w:val="00175268"/>
    <w:rsid w:val="00175447"/>
    <w:rsid w:val="00175886"/>
    <w:rsid w:val="00175962"/>
    <w:rsid w:val="0017599C"/>
    <w:rsid w:val="00175D1D"/>
    <w:rsid w:val="00175E8E"/>
    <w:rsid w:val="00175F49"/>
    <w:rsid w:val="001765A9"/>
    <w:rsid w:val="00176861"/>
    <w:rsid w:val="00176B95"/>
    <w:rsid w:val="00176D6F"/>
    <w:rsid w:val="0017717C"/>
    <w:rsid w:val="00177929"/>
    <w:rsid w:val="00177C49"/>
    <w:rsid w:val="00177E09"/>
    <w:rsid w:val="00180112"/>
    <w:rsid w:val="0018020E"/>
    <w:rsid w:val="00180292"/>
    <w:rsid w:val="0018114D"/>
    <w:rsid w:val="00181CE0"/>
    <w:rsid w:val="001821D2"/>
    <w:rsid w:val="00182988"/>
    <w:rsid w:val="00182B85"/>
    <w:rsid w:val="00183038"/>
    <w:rsid w:val="0018315D"/>
    <w:rsid w:val="0018346F"/>
    <w:rsid w:val="001836D2"/>
    <w:rsid w:val="00183882"/>
    <w:rsid w:val="00183A95"/>
    <w:rsid w:val="00184313"/>
    <w:rsid w:val="001844B6"/>
    <w:rsid w:val="00184539"/>
    <w:rsid w:val="0018469D"/>
    <w:rsid w:val="001851A3"/>
    <w:rsid w:val="001851B9"/>
    <w:rsid w:val="00185497"/>
    <w:rsid w:val="00185593"/>
    <w:rsid w:val="001855B1"/>
    <w:rsid w:val="00185719"/>
    <w:rsid w:val="001859CE"/>
    <w:rsid w:val="001861C0"/>
    <w:rsid w:val="001862B0"/>
    <w:rsid w:val="001862BB"/>
    <w:rsid w:val="001865D5"/>
    <w:rsid w:val="00186B9A"/>
    <w:rsid w:val="00186D01"/>
    <w:rsid w:val="00187A3B"/>
    <w:rsid w:val="00187B40"/>
    <w:rsid w:val="00187DFF"/>
    <w:rsid w:val="0019021E"/>
    <w:rsid w:val="001902AA"/>
    <w:rsid w:val="00190395"/>
    <w:rsid w:val="00190745"/>
    <w:rsid w:val="00190832"/>
    <w:rsid w:val="00190A07"/>
    <w:rsid w:val="00190C14"/>
    <w:rsid w:val="00190D66"/>
    <w:rsid w:val="00190F9A"/>
    <w:rsid w:val="00191313"/>
    <w:rsid w:val="0019168A"/>
    <w:rsid w:val="00191989"/>
    <w:rsid w:val="00191D18"/>
    <w:rsid w:val="00191DEB"/>
    <w:rsid w:val="0019208E"/>
    <w:rsid w:val="001920F2"/>
    <w:rsid w:val="00192340"/>
    <w:rsid w:val="00192AC0"/>
    <w:rsid w:val="0019311C"/>
    <w:rsid w:val="00193268"/>
    <w:rsid w:val="00193602"/>
    <w:rsid w:val="001938F2"/>
    <w:rsid w:val="00193995"/>
    <w:rsid w:val="001939E4"/>
    <w:rsid w:val="00193D17"/>
    <w:rsid w:val="00193D54"/>
    <w:rsid w:val="00194050"/>
    <w:rsid w:val="001940C6"/>
    <w:rsid w:val="001941C9"/>
    <w:rsid w:val="001942FB"/>
    <w:rsid w:val="00194745"/>
    <w:rsid w:val="00194AB9"/>
    <w:rsid w:val="00194C58"/>
    <w:rsid w:val="00194E96"/>
    <w:rsid w:val="00195C78"/>
    <w:rsid w:val="00195E0D"/>
    <w:rsid w:val="0019609B"/>
    <w:rsid w:val="001966EE"/>
    <w:rsid w:val="001969EA"/>
    <w:rsid w:val="00196C19"/>
    <w:rsid w:val="00196C34"/>
    <w:rsid w:val="00196DB6"/>
    <w:rsid w:val="00196E75"/>
    <w:rsid w:val="00197445"/>
    <w:rsid w:val="0019751C"/>
    <w:rsid w:val="001978BC"/>
    <w:rsid w:val="001A003F"/>
    <w:rsid w:val="001A07F1"/>
    <w:rsid w:val="001A0E85"/>
    <w:rsid w:val="001A154D"/>
    <w:rsid w:val="001A18FB"/>
    <w:rsid w:val="001A1A99"/>
    <w:rsid w:val="001A1B29"/>
    <w:rsid w:val="001A1F1D"/>
    <w:rsid w:val="001A2057"/>
    <w:rsid w:val="001A2104"/>
    <w:rsid w:val="001A22BA"/>
    <w:rsid w:val="001A236A"/>
    <w:rsid w:val="001A287B"/>
    <w:rsid w:val="001A2AE4"/>
    <w:rsid w:val="001A2C49"/>
    <w:rsid w:val="001A3032"/>
    <w:rsid w:val="001A31F5"/>
    <w:rsid w:val="001A34FE"/>
    <w:rsid w:val="001A3514"/>
    <w:rsid w:val="001A3B0B"/>
    <w:rsid w:val="001A3DFE"/>
    <w:rsid w:val="001A4332"/>
    <w:rsid w:val="001A4432"/>
    <w:rsid w:val="001A46EB"/>
    <w:rsid w:val="001A478E"/>
    <w:rsid w:val="001A4794"/>
    <w:rsid w:val="001A4890"/>
    <w:rsid w:val="001A4A2A"/>
    <w:rsid w:val="001A4F7F"/>
    <w:rsid w:val="001A4F95"/>
    <w:rsid w:val="001A509E"/>
    <w:rsid w:val="001A5169"/>
    <w:rsid w:val="001A5DAC"/>
    <w:rsid w:val="001A6577"/>
    <w:rsid w:val="001A66E1"/>
    <w:rsid w:val="001A68E2"/>
    <w:rsid w:val="001A69F6"/>
    <w:rsid w:val="001A6FE6"/>
    <w:rsid w:val="001A704E"/>
    <w:rsid w:val="001A7683"/>
    <w:rsid w:val="001A785F"/>
    <w:rsid w:val="001A7B61"/>
    <w:rsid w:val="001A7D6D"/>
    <w:rsid w:val="001A7E0C"/>
    <w:rsid w:val="001B01D1"/>
    <w:rsid w:val="001B0B19"/>
    <w:rsid w:val="001B1210"/>
    <w:rsid w:val="001B1DAB"/>
    <w:rsid w:val="001B2AC8"/>
    <w:rsid w:val="001B2D8E"/>
    <w:rsid w:val="001B305C"/>
    <w:rsid w:val="001B34EB"/>
    <w:rsid w:val="001B3692"/>
    <w:rsid w:val="001B3ED2"/>
    <w:rsid w:val="001B441C"/>
    <w:rsid w:val="001B46C2"/>
    <w:rsid w:val="001B4BAE"/>
    <w:rsid w:val="001B509E"/>
    <w:rsid w:val="001B57A7"/>
    <w:rsid w:val="001B58C8"/>
    <w:rsid w:val="001B58DD"/>
    <w:rsid w:val="001B5B68"/>
    <w:rsid w:val="001B5E6C"/>
    <w:rsid w:val="001B61AD"/>
    <w:rsid w:val="001B6533"/>
    <w:rsid w:val="001B6740"/>
    <w:rsid w:val="001B693E"/>
    <w:rsid w:val="001B6A78"/>
    <w:rsid w:val="001B7185"/>
    <w:rsid w:val="001B71AD"/>
    <w:rsid w:val="001B7434"/>
    <w:rsid w:val="001B74F1"/>
    <w:rsid w:val="001B76B3"/>
    <w:rsid w:val="001B7C71"/>
    <w:rsid w:val="001B7D8C"/>
    <w:rsid w:val="001C0060"/>
    <w:rsid w:val="001C02CF"/>
    <w:rsid w:val="001C0644"/>
    <w:rsid w:val="001C0B58"/>
    <w:rsid w:val="001C1249"/>
    <w:rsid w:val="001C14F5"/>
    <w:rsid w:val="001C14FF"/>
    <w:rsid w:val="001C157E"/>
    <w:rsid w:val="001C16EB"/>
    <w:rsid w:val="001C17E1"/>
    <w:rsid w:val="001C2125"/>
    <w:rsid w:val="001C22A3"/>
    <w:rsid w:val="001C235F"/>
    <w:rsid w:val="001C276E"/>
    <w:rsid w:val="001C3322"/>
    <w:rsid w:val="001C3363"/>
    <w:rsid w:val="001C33E6"/>
    <w:rsid w:val="001C35EA"/>
    <w:rsid w:val="001C3A26"/>
    <w:rsid w:val="001C3B33"/>
    <w:rsid w:val="001C3B39"/>
    <w:rsid w:val="001C3D6F"/>
    <w:rsid w:val="001C3E43"/>
    <w:rsid w:val="001C3EFE"/>
    <w:rsid w:val="001C44B6"/>
    <w:rsid w:val="001C4F01"/>
    <w:rsid w:val="001C5048"/>
    <w:rsid w:val="001C5159"/>
    <w:rsid w:val="001C5203"/>
    <w:rsid w:val="001C5433"/>
    <w:rsid w:val="001C555A"/>
    <w:rsid w:val="001C5A25"/>
    <w:rsid w:val="001C5D76"/>
    <w:rsid w:val="001C625C"/>
    <w:rsid w:val="001C66D2"/>
    <w:rsid w:val="001C67A7"/>
    <w:rsid w:val="001C69F9"/>
    <w:rsid w:val="001C7022"/>
    <w:rsid w:val="001C7C39"/>
    <w:rsid w:val="001D002C"/>
    <w:rsid w:val="001D0451"/>
    <w:rsid w:val="001D04F5"/>
    <w:rsid w:val="001D0728"/>
    <w:rsid w:val="001D09CC"/>
    <w:rsid w:val="001D0AF4"/>
    <w:rsid w:val="001D0E48"/>
    <w:rsid w:val="001D1095"/>
    <w:rsid w:val="001D109F"/>
    <w:rsid w:val="001D10BF"/>
    <w:rsid w:val="001D12D6"/>
    <w:rsid w:val="001D1FC0"/>
    <w:rsid w:val="001D2096"/>
    <w:rsid w:val="001D2709"/>
    <w:rsid w:val="001D2813"/>
    <w:rsid w:val="001D28A2"/>
    <w:rsid w:val="001D28D3"/>
    <w:rsid w:val="001D30A1"/>
    <w:rsid w:val="001D3A43"/>
    <w:rsid w:val="001D3C11"/>
    <w:rsid w:val="001D3CE5"/>
    <w:rsid w:val="001D4AA8"/>
    <w:rsid w:val="001D4D42"/>
    <w:rsid w:val="001D4FB2"/>
    <w:rsid w:val="001D502A"/>
    <w:rsid w:val="001D50D8"/>
    <w:rsid w:val="001D50DE"/>
    <w:rsid w:val="001D5100"/>
    <w:rsid w:val="001D53F7"/>
    <w:rsid w:val="001D5CC9"/>
    <w:rsid w:val="001D5D9C"/>
    <w:rsid w:val="001D5EC9"/>
    <w:rsid w:val="001D6848"/>
    <w:rsid w:val="001D6999"/>
    <w:rsid w:val="001D6AEC"/>
    <w:rsid w:val="001D6B90"/>
    <w:rsid w:val="001D6B99"/>
    <w:rsid w:val="001D6F5F"/>
    <w:rsid w:val="001D72B0"/>
    <w:rsid w:val="001D75F8"/>
    <w:rsid w:val="001D7626"/>
    <w:rsid w:val="001D7BE6"/>
    <w:rsid w:val="001E0370"/>
    <w:rsid w:val="001E03C9"/>
    <w:rsid w:val="001E0433"/>
    <w:rsid w:val="001E0669"/>
    <w:rsid w:val="001E0E6D"/>
    <w:rsid w:val="001E10E4"/>
    <w:rsid w:val="001E10EE"/>
    <w:rsid w:val="001E152A"/>
    <w:rsid w:val="001E1532"/>
    <w:rsid w:val="001E1703"/>
    <w:rsid w:val="001E18DC"/>
    <w:rsid w:val="001E1C20"/>
    <w:rsid w:val="001E1CDB"/>
    <w:rsid w:val="001E1DA0"/>
    <w:rsid w:val="001E1E59"/>
    <w:rsid w:val="001E211D"/>
    <w:rsid w:val="001E2163"/>
    <w:rsid w:val="001E22B7"/>
    <w:rsid w:val="001E299F"/>
    <w:rsid w:val="001E2BAA"/>
    <w:rsid w:val="001E2C59"/>
    <w:rsid w:val="001E2E17"/>
    <w:rsid w:val="001E2E4D"/>
    <w:rsid w:val="001E32BD"/>
    <w:rsid w:val="001E3A5A"/>
    <w:rsid w:val="001E3BB0"/>
    <w:rsid w:val="001E3BDD"/>
    <w:rsid w:val="001E43D9"/>
    <w:rsid w:val="001E447D"/>
    <w:rsid w:val="001E50EA"/>
    <w:rsid w:val="001E50EE"/>
    <w:rsid w:val="001E51B0"/>
    <w:rsid w:val="001E69A2"/>
    <w:rsid w:val="001E6CD4"/>
    <w:rsid w:val="001E7012"/>
    <w:rsid w:val="001E764A"/>
    <w:rsid w:val="001E7B29"/>
    <w:rsid w:val="001E7C8D"/>
    <w:rsid w:val="001F0781"/>
    <w:rsid w:val="001F0BAF"/>
    <w:rsid w:val="001F0DD4"/>
    <w:rsid w:val="001F0E9E"/>
    <w:rsid w:val="001F0F12"/>
    <w:rsid w:val="001F18BF"/>
    <w:rsid w:val="001F1CBF"/>
    <w:rsid w:val="001F1E89"/>
    <w:rsid w:val="001F2066"/>
    <w:rsid w:val="001F2538"/>
    <w:rsid w:val="001F286E"/>
    <w:rsid w:val="001F32D3"/>
    <w:rsid w:val="001F3437"/>
    <w:rsid w:val="001F36E0"/>
    <w:rsid w:val="001F38C9"/>
    <w:rsid w:val="001F3964"/>
    <w:rsid w:val="001F3B25"/>
    <w:rsid w:val="001F3C0C"/>
    <w:rsid w:val="001F428D"/>
    <w:rsid w:val="001F432A"/>
    <w:rsid w:val="001F4352"/>
    <w:rsid w:val="001F4D36"/>
    <w:rsid w:val="001F502C"/>
    <w:rsid w:val="001F5423"/>
    <w:rsid w:val="001F5DD9"/>
    <w:rsid w:val="001F64B8"/>
    <w:rsid w:val="001F65BC"/>
    <w:rsid w:val="001F69E9"/>
    <w:rsid w:val="001F6A52"/>
    <w:rsid w:val="001F6AC3"/>
    <w:rsid w:val="001F6D51"/>
    <w:rsid w:val="001F7166"/>
    <w:rsid w:val="001F71C9"/>
    <w:rsid w:val="001F71F0"/>
    <w:rsid w:val="001F7369"/>
    <w:rsid w:val="001F74D5"/>
    <w:rsid w:val="001F76AC"/>
    <w:rsid w:val="001F7CF8"/>
    <w:rsid w:val="0020052B"/>
    <w:rsid w:val="00200BB4"/>
    <w:rsid w:val="00200DB3"/>
    <w:rsid w:val="0020104C"/>
    <w:rsid w:val="002011F1"/>
    <w:rsid w:val="00201257"/>
    <w:rsid w:val="002013B9"/>
    <w:rsid w:val="0020151D"/>
    <w:rsid w:val="002019E1"/>
    <w:rsid w:val="00201A63"/>
    <w:rsid w:val="00201B79"/>
    <w:rsid w:val="00201F0A"/>
    <w:rsid w:val="00202090"/>
    <w:rsid w:val="002022ED"/>
    <w:rsid w:val="002023A7"/>
    <w:rsid w:val="00202D78"/>
    <w:rsid w:val="00202E56"/>
    <w:rsid w:val="002033D6"/>
    <w:rsid w:val="00203646"/>
    <w:rsid w:val="00203758"/>
    <w:rsid w:val="00203846"/>
    <w:rsid w:val="002038EC"/>
    <w:rsid w:val="00203C04"/>
    <w:rsid w:val="002042D6"/>
    <w:rsid w:val="00204669"/>
    <w:rsid w:val="002047E0"/>
    <w:rsid w:val="002047E8"/>
    <w:rsid w:val="00204AB1"/>
    <w:rsid w:val="00204B84"/>
    <w:rsid w:val="002050B1"/>
    <w:rsid w:val="002058CB"/>
    <w:rsid w:val="00205C01"/>
    <w:rsid w:val="00205C50"/>
    <w:rsid w:val="00205E05"/>
    <w:rsid w:val="00206296"/>
    <w:rsid w:val="00206CB8"/>
    <w:rsid w:val="0020708B"/>
    <w:rsid w:val="002077C2"/>
    <w:rsid w:val="002079C9"/>
    <w:rsid w:val="00207B21"/>
    <w:rsid w:val="00207C92"/>
    <w:rsid w:val="00207D2A"/>
    <w:rsid w:val="00207D34"/>
    <w:rsid w:val="00207DDD"/>
    <w:rsid w:val="00207E20"/>
    <w:rsid w:val="002105DC"/>
    <w:rsid w:val="002109C8"/>
    <w:rsid w:val="002109D4"/>
    <w:rsid w:val="002109FD"/>
    <w:rsid w:val="00211257"/>
    <w:rsid w:val="00211263"/>
    <w:rsid w:val="0021175C"/>
    <w:rsid w:val="0021184B"/>
    <w:rsid w:val="00211A73"/>
    <w:rsid w:val="00211AF6"/>
    <w:rsid w:val="0021207A"/>
    <w:rsid w:val="0021216E"/>
    <w:rsid w:val="00212563"/>
    <w:rsid w:val="002129A1"/>
    <w:rsid w:val="00212B66"/>
    <w:rsid w:val="00212D8F"/>
    <w:rsid w:val="00212DCC"/>
    <w:rsid w:val="00212E04"/>
    <w:rsid w:val="00213347"/>
    <w:rsid w:val="002136A5"/>
    <w:rsid w:val="002136DF"/>
    <w:rsid w:val="002138B6"/>
    <w:rsid w:val="00213AB3"/>
    <w:rsid w:val="002143D0"/>
    <w:rsid w:val="002144F0"/>
    <w:rsid w:val="00214C7C"/>
    <w:rsid w:val="00215420"/>
    <w:rsid w:val="002155B2"/>
    <w:rsid w:val="00215A36"/>
    <w:rsid w:val="00216349"/>
    <w:rsid w:val="00216537"/>
    <w:rsid w:val="00216B7A"/>
    <w:rsid w:val="00216F02"/>
    <w:rsid w:val="00216FBD"/>
    <w:rsid w:val="0021731F"/>
    <w:rsid w:val="00217B1D"/>
    <w:rsid w:val="00217CA1"/>
    <w:rsid w:val="00217F7E"/>
    <w:rsid w:val="00220308"/>
    <w:rsid w:val="00220913"/>
    <w:rsid w:val="00220EFE"/>
    <w:rsid w:val="00220F29"/>
    <w:rsid w:val="00221024"/>
    <w:rsid w:val="00221231"/>
    <w:rsid w:val="002218CB"/>
    <w:rsid w:val="0022194F"/>
    <w:rsid w:val="00221FAD"/>
    <w:rsid w:val="002227B6"/>
    <w:rsid w:val="002229F4"/>
    <w:rsid w:val="00222A9A"/>
    <w:rsid w:val="00222D7E"/>
    <w:rsid w:val="002234AC"/>
    <w:rsid w:val="00223713"/>
    <w:rsid w:val="00223911"/>
    <w:rsid w:val="00223C89"/>
    <w:rsid w:val="00223D10"/>
    <w:rsid w:val="0022414F"/>
    <w:rsid w:val="0022424C"/>
    <w:rsid w:val="00224683"/>
    <w:rsid w:val="0022490F"/>
    <w:rsid w:val="0022510C"/>
    <w:rsid w:val="00225148"/>
    <w:rsid w:val="00225319"/>
    <w:rsid w:val="002253AF"/>
    <w:rsid w:val="00225442"/>
    <w:rsid w:val="00225731"/>
    <w:rsid w:val="00225794"/>
    <w:rsid w:val="00225F9C"/>
    <w:rsid w:val="00226020"/>
    <w:rsid w:val="002267B1"/>
    <w:rsid w:val="002272CB"/>
    <w:rsid w:val="002274E5"/>
    <w:rsid w:val="0022767B"/>
    <w:rsid w:val="002277EB"/>
    <w:rsid w:val="002279AC"/>
    <w:rsid w:val="00227EBE"/>
    <w:rsid w:val="00230094"/>
    <w:rsid w:val="002306B7"/>
    <w:rsid w:val="0023103C"/>
    <w:rsid w:val="002312D9"/>
    <w:rsid w:val="002314B1"/>
    <w:rsid w:val="002316B0"/>
    <w:rsid w:val="002316CA"/>
    <w:rsid w:val="00231988"/>
    <w:rsid w:val="00232555"/>
    <w:rsid w:val="002325A6"/>
    <w:rsid w:val="00232A15"/>
    <w:rsid w:val="002330AF"/>
    <w:rsid w:val="002330F0"/>
    <w:rsid w:val="0023355B"/>
    <w:rsid w:val="00233591"/>
    <w:rsid w:val="0023364D"/>
    <w:rsid w:val="00233722"/>
    <w:rsid w:val="00233772"/>
    <w:rsid w:val="002340EE"/>
    <w:rsid w:val="002347A2"/>
    <w:rsid w:val="002348B0"/>
    <w:rsid w:val="00234AB6"/>
    <w:rsid w:val="00234F5D"/>
    <w:rsid w:val="002350F3"/>
    <w:rsid w:val="00235725"/>
    <w:rsid w:val="0023594E"/>
    <w:rsid w:val="00235AC6"/>
    <w:rsid w:val="00235DB2"/>
    <w:rsid w:val="00235F66"/>
    <w:rsid w:val="0023612F"/>
    <w:rsid w:val="0023613C"/>
    <w:rsid w:val="002361E4"/>
    <w:rsid w:val="0023637B"/>
    <w:rsid w:val="00236C36"/>
    <w:rsid w:val="00236C7F"/>
    <w:rsid w:val="00236E93"/>
    <w:rsid w:val="00236F2E"/>
    <w:rsid w:val="002377E8"/>
    <w:rsid w:val="00237CD1"/>
    <w:rsid w:val="00240029"/>
    <w:rsid w:val="002405F6"/>
    <w:rsid w:val="00240907"/>
    <w:rsid w:val="00240FC7"/>
    <w:rsid w:val="00241089"/>
    <w:rsid w:val="00241738"/>
    <w:rsid w:val="002418B8"/>
    <w:rsid w:val="002425C2"/>
    <w:rsid w:val="002425C4"/>
    <w:rsid w:val="0024263E"/>
    <w:rsid w:val="0024265C"/>
    <w:rsid w:val="002429FD"/>
    <w:rsid w:val="00242BE3"/>
    <w:rsid w:val="00242C41"/>
    <w:rsid w:val="00242F09"/>
    <w:rsid w:val="00242F21"/>
    <w:rsid w:val="00242F52"/>
    <w:rsid w:val="0024308A"/>
    <w:rsid w:val="002437A8"/>
    <w:rsid w:val="00243DBE"/>
    <w:rsid w:val="0024401A"/>
    <w:rsid w:val="002442DE"/>
    <w:rsid w:val="00244D4C"/>
    <w:rsid w:val="00245844"/>
    <w:rsid w:val="00245A1A"/>
    <w:rsid w:val="00245C3C"/>
    <w:rsid w:val="00245DF7"/>
    <w:rsid w:val="00245FA5"/>
    <w:rsid w:val="00246360"/>
    <w:rsid w:val="002466DF"/>
    <w:rsid w:val="00246AF8"/>
    <w:rsid w:val="00246AFF"/>
    <w:rsid w:val="00246CC1"/>
    <w:rsid w:val="002470AD"/>
    <w:rsid w:val="0024752D"/>
    <w:rsid w:val="0024755D"/>
    <w:rsid w:val="0024795B"/>
    <w:rsid w:val="00247D62"/>
    <w:rsid w:val="00250054"/>
    <w:rsid w:val="00250259"/>
    <w:rsid w:val="0025047B"/>
    <w:rsid w:val="00250778"/>
    <w:rsid w:val="002507F2"/>
    <w:rsid w:val="00250A69"/>
    <w:rsid w:val="00250ECB"/>
    <w:rsid w:val="002512D9"/>
    <w:rsid w:val="002513E6"/>
    <w:rsid w:val="002515A5"/>
    <w:rsid w:val="00251DF9"/>
    <w:rsid w:val="00251ED1"/>
    <w:rsid w:val="00251FBB"/>
    <w:rsid w:val="002521FE"/>
    <w:rsid w:val="00252296"/>
    <w:rsid w:val="002529F1"/>
    <w:rsid w:val="00252AF1"/>
    <w:rsid w:val="00252B0A"/>
    <w:rsid w:val="00252DBB"/>
    <w:rsid w:val="00252FC3"/>
    <w:rsid w:val="002530A8"/>
    <w:rsid w:val="002531D2"/>
    <w:rsid w:val="002534C4"/>
    <w:rsid w:val="00253906"/>
    <w:rsid w:val="00253A6B"/>
    <w:rsid w:val="00253C2C"/>
    <w:rsid w:val="00253D9B"/>
    <w:rsid w:val="00253F4D"/>
    <w:rsid w:val="00254380"/>
    <w:rsid w:val="0025461D"/>
    <w:rsid w:val="00254743"/>
    <w:rsid w:val="00254B0E"/>
    <w:rsid w:val="00254C5F"/>
    <w:rsid w:val="00254E25"/>
    <w:rsid w:val="00254EF0"/>
    <w:rsid w:val="002557EB"/>
    <w:rsid w:val="00255999"/>
    <w:rsid w:val="00255C1B"/>
    <w:rsid w:val="00255E4F"/>
    <w:rsid w:val="002561A2"/>
    <w:rsid w:val="00256582"/>
    <w:rsid w:val="002566CA"/>
    <w:rsid w:val="00256A65"/>
    <w:rsid w:val="00256CB1"/>
    <w:rsid w:val="00256D20"/>
    <w:rsid w:val="002574CD"/>
    <w:rsid w:val="00257C8A"/>
    <w:rsid w:val="00260CD5"/>
    <w:rsid w:val="00261261"/>
    <w:rsid w:val="00261522"/>
    <w:rsid w:val="00261545"/>
    <w:rsid w:val="002617DF"/>
    <w:rsid w:val="002618CB"/>
    <w:rsid w:val="0026191F"/>
    <w:rsid w:val="00261AAF"/>
    <w:rsid w:val="00262437"/>
    <w:rsid w:val="002625EB"/>
    <w:rsid w:val="00262D8C"/>
    <w:rsid w:val="00262E4B"/>
    <w:rsid w:val="002631A1"/>
    <w:rsid w:val="00263F58"/>
    <w:rsid w:val="00264380"/>
    <w:rsid w:val="00264437"/>
    <w:rsid w:val="00264B03"/>
    <w:rsid w:val="00264D97"/>
    <w:rsid w:val="00264E13"/>
    <w:rsid w:val="002650A0"/>
    <w:rsid w:val="00265153"/>
    <w:rsid w:val="00265B68"/>
    <w:rsid w:val="00265C43"/>
    <w:rsid w:val="00265E04"/>
    <w:rsid w:val="0026604F"/>
    <w:rsid w:val="002660BF"/>
    <w:rsid w:val="0026611F"/>
    <w:rsid w:val="00266195"/>
    <w:rsid w:val="002661C0"/>
    <w:rsid w:val="0026646A"/>
    <w:rsid w:val="002667DF"/>
    <w:rsid w:val="00266D0D"/>
    <w:rsid w:val="00266F02"/>
    <w:rsid w:val="00266F74"/>
    <w:rsid w:val="002671EA"/>
    <w:rsid w:val="002678DC"/>
    <w:rsid w:val="00267917"/>
    <w:rsid w:val="00267991"/>
    <w:rsid w:val="00267A81"/>
    <w:rsid w:val="00267C77"/>
    <w:rsid w:val="00267EA4"/>
    <w:rsid w:val="00270495"/>
    <w:rsid w:val="002709E2"/>
    <w:rsid w:val="00270A31"/>
    <w:rsid w:val="0027108C"/>
    <w:rsid w:val="002710FC"/>
    <w:rsid w:val="00271116"/>
    <w:rsid w:val="00271232"/>
    <w:rsid w:val="0027123B"/>
    <w:rsid w:val="002718D6"/>
    <w:rsid w:val="002718E7"/>
    <w:rsid w:val="00271A1D"/>
    <w:rsid w:val="00271AD2"/>
    <w:rsid w:val="0027204C"/>
    <w:rsid w:val="002721E1"/>
    <w:rsid w:val="00272539"/>
    <w:rsid w:val="00272C3C"/>
    <w:rsid w:val="00272F62"/>
    <w:rsid w:val="00272FA0"/>
    <w:rsid w:val="00272FB6"/>
    <w:rsid w:val="002733D0"/>
    <w:rsid w:val="002734D4"/>
    <w:rsid w:val="0027376C"/>
    <w:rsid w:val="002738D8"/>
    <w:rsid w:val="00273A3C"/>
    <w:rsid w:val="00274046"/>
    <w:rsid w:val="00274047"/>
    <w:rsid w:val="002744A1"/>
    <w:rsid w:val="00274802"/>
    <w:rsid w:val="00274C07"/>
    <w:rsid w:val="00274E44"/>
    <w:rsid w:val="002752F6"/>
    <w:rsid w:val="002754B5"/>
    <w:rsid w:val="00275675"/>
    <w:rsid w:val="0027593A"/>
    <w:rsid w:val="00275971"/>
    <w:rsid w:val="00275C60"/>
    <w:rsid w:val="00275CE4"/>
    <w:rsid w:val="00275ED7"/>
    <w:rsid w:val="00276414"/>
    <w:rsid w:val="00276546"/>
    <w:rsid w:val="002767F8"/>
    <w:rsid w:val="00276BA6"/>
    <w:rsid w:val="00276D88"/>
    <w:rsid w:val="00276FE3"/>
    <w:rsid w:val="002776FC"/>
    <w:rsid w:val="00277989"/>
    <w:rsid w:val="00277DED"/>
    <w:rsid w:val="00277FAC"/>
    <w:rsid w:val="002803FC"/>
    <w:rsid w:val="002807BE"/>
    <w:rsid w:val="002807F2"/>
    <w:rsid w:val="00280CCD"/>
    <w:rsid w:val="00280FE1"/>
    <w:rsid w:val="002810BA"/>
    <w:rsid w:val="0028113F"/>
    <w:rsid w:val="002813E1"/>
    <w:rsid w:val="00281696"/>
    <w:rsid w:val="00281820"/>
    <w:rsid w:val="00281B44"/>
    <w:rsid w:val="00281B8D"/>
    <w:rsid w:val="00281E7E"/>
    <w:rsid w:val="00281E8E"/>
    <w:rsid w:val="00282D28"/>
    <w:rsid w:val="00282EF0"/>
    <w:rsid w:val="00282EFA"/>
    <w:rsid w:val="002831B7"/>
    <w:rsid w:val="00283655"/>
    <w:rsid w:val="002837FC"/>
    <w:rsid w:val="00283D3A"/>
    <w:rsid w:val="00283EA3"/>
    <w:rsid w:val="00284C30"/>
    <w:rsid w:val="00284C9F"/>
    <w:rsid w:val="00284EA7"/>
    <w:rsid w:val="00284F27"/>
    <w:rsid w:val="0028500D"/>
    <w:rsid w:val="00285048"/>
    <w:rsid w:val="00285093"/>
    <w:rsid w:val="00285184"/>
    <w:rsid w:val="00285985"/>
    <w:rsid w:val="0028617F"/>
    <w:rsid w:val="00286282"/>
    <w:rsid w:val="00286344"/>
    <w:rsid w:val="0028638F"/>
    <w:rsid w:val="002867B9"/>
    <w:rsid w:val="00286A99"/>
    <w:rsid w:val="00286DAA"/>
    <w:rsid w:val="00286DC9"/>
    <w:rsid w:val="00287053"/>
    <w:rsid w:val="002874F4"/>
    <w:rsid w:val="0028755A"/>
    <w:rsid w:val="00287BA8"/>
    <w:rsid w:val="00287CC4"/>
    <w:rsid w:val="00287D34"/>
    <w:rsid w:val="00287D84"/>
    <w:rsid w:val="00287DF9"/>
    <w:rsid w:val="00290272"/>
    <w:rsid w:val="00290335"/>
    <w:rsid w:val="0029048E"/>
    <w:rsid w:val="00290663"/>
    <w:rsid w:val="00290A87"/>
    <w:rsid w:val="002910E1"/>
    <w:rsid w:val="0029158C"/>
    <w:rsid w:val="00291AFF"/>
    <w:rsid w:val="00292294"/>
    <w:rsid w:val="00292351"/>
    <w:rsid w:val="002927BE"/>
    <w:rsid w:val="00292AC6"/>
    <w:rsid w:val="00292EBA"/>
    <w:rsid w:val="0029361F"/>
    <w:rsid w:val="00293B72"/>
    <w:rsid w:val="00294E2C"/>
    <w:rsid w:val="0029524B"/>
    <w:rsid w:val="002955C5"/>
    <w:rsid w:val="00295A2F"/>
    <w:rsid w:val="0029668F"/>
    <w:rsid w:val="00297286"/>
    <w:rsid w:val="0029742C"/>
    <w:rsid w:val="0029748F"/>
    <w:rsid w:val="00297DEA"/>
    <w:rsid w:val="00297EA8"/>
    <w:rsid w:val="002A06DA"/>
    <w:rsid w:val="002A0817"/>
    <w:rsid w:val="002A0B3F"/>
    <w:rsid w:val="002A0BAD"/>
    <w:rsid w:val="002A0FD1"/>
    <w:rsid w:val="002A1808"/>
    <w:rsid w:val="002A1CD2"/>
    <w:rsid w:val="002A1DFA"/>
    <w:rsid w:val="002A1E62"/>
    <w:rsid w:val="002A1E8A"/>
    <w:rsid w:val="002A1F29"/>
    <w:rsid w:val="002A26FD"/>
    <w:rsid w:val="002A2A49"/>
    <w:rsid w:val="002A3484"/>
    <w:rsid w:val="002A39F2"/>
    <w:rsid w:val="002A3C00"/>
    <w:rsid w:val="002A456F"/>
    <w:rsid w:val="002A49B4"/>
    <w:rsid w:val="002A4EBC"/>
    <w:rsid w:val="002A5214"/>
    <w:rsid w:val="002A5786"/>
    <w:rsid w:val="002A59A2"/>
    <w:rsid w:val="002A5EDE"/>
    <w:rsid w:val="002A613F"/>
    <w:rsid w:val="002A6B67"/>
    <w:rsid w:val="002A6E2B"/>
    <w:rsid w:val="002A6FFD"/>
    <w:rsid w:val="002A7017"/>
    <w:rsid w:val="002A7335"/>
    <w:rsid w:val="002A7395"/>
    <w:rsid w:val="002A7829"/>
    <w:rsid w:val="002A7D89"/>
    <w:rsid w:val="002B0136"/>
    <w:rsid w:val="002B0841"/>
    <w:rsid w:val="002B0894"/>
    <w:rsid w:val="002B1829"/>
    <w:rsid w:val="002B19CA"/>
    <w:rsid w:val="002B1A42"/>
    <w:rsid w:val="002B21F7"/>
    <w:rsid w:val="002B2572"/>
    <w:rsid w:val="002B2A10"/>
    <w:rsid w:val="002B2D9D"/>
    <w:rsid w:val="002B303F"/>
    <w:rsid w:val="002B3080"/>
    <w:rsid w:val="002B3D7B"/>
    <w:rsid w:val="002B3F35"/>
    <w:rsid w:val="002B3F7F"/>
    <w:rsid w:val="002B41E2"/>
    <w:rsid w:val="002B4447"/>
    <w:rsid w:val="002B4824"/>
    <w:rsid w:val="002B4937"/>
    <w:rsid w:val="002B4D79"/>
    <w:rsid w:val="002B4FE9"/>
    <w:rsid w:val="002B5046"/>
    <w:rsid w:val="002B5554"/>
    <w:rsid w:val="002B604F"/>
    <w:rsid w:val="002B626D"/>
    <w:rsid w:val="002B62E5"/>
    <w:rsid w:val="002B6588"/>
    <w:rsid w:val="002B66F6"/>
    <w:rsid w:val="002B6ACF"/>
    <w:rsid w:val="002B7114"/>
    <w:rsid w:val="002B72D3"/>
    <w:rsid w:val="002B7335"/>
    <w:rsid w:val="002B739B"/>
    <w:rsid w:val="002B7642"/>
    <w:rsid w:val="002B7704"/>
    <w:rsid w:val="002B77F5"/>
    <w:rsid w:val="002B7992"/>
    <w:rsid w:val="002B79DC"/>
    <w:rsid w:val="002B7FC1"/>
    <w:rsid w:val="002C00AE"/>
    <w:rsid w:val="002C075A"/>
    <w:rsid w:val="002C0D1F"/>
    <w:rsid w:val="002C0DE2"/>
    <w:rsid w:val="002C1279"/>
    <w:rsid w:val="002C18F9"/>
    <w:rsid w:val="002C199C"/>
    <w:rsid w:val="002C1BFD"/>
    <w:rsid w:val="002C1C4F"/>
    <w:rsid w:val="002C1C93"/>
    <w:rsid w:val="002C1D0C"/>
    <w:rsid w:val="002C1EC2"/>
    <w:rsid w:val="002C2271"/>
    <w:rsid w:val="002C2435"/>
    <w:rsid w:val="002C26DA"/>
    <w:rsid w:val="002C295D"/>
    <w:rsid w:val="002C2DC4"/>
    <w:rsid w:val="002C2F72"/>
    <w:rsid w:val="002C2F99"/>
    <w:rsid w:val="002C2FB5"/>
    <w:rsid w:val="002C331D"/>
    <w:rsid w:val="002C391F"/>
    <w:rsid w:val="002C3D28"/>
    <w:rsid w:val="002C3F82"/>
    <w:rsid w:val="002C4062"/>
    <w:rsid w:val="002C412B"/>
    <w:rsid w:val="002C4B18"/>
    <w:rsid w:val="002C4E8B"/>
    <w:rsid w:val="002C5076"/>
    <w:rsid w:val="002C52C1"/>
    <w:rsid w:val="002C5594"/>
    <w:rsid w:val="002C56B6"/>
    <w:rsid w:val="002C5C42"/>
    <w:rsid w:val="002C5DD7"/>
    <w:rsid w:val="002C5EE9"/>
    <w:rsid w:val="002C63E1"/>
    <w:rsid w:val="002C6C97"/>
    <w:rsid w:val="002C7518"/>
    <w:rsid w:val="002C7578"/>
    <w:rsid w:val="002C77A4"/>
    <w:rsid w:val="002C7CA1"/>
    <w:rsid w:val="002D0030"/>
    <w:rsid w:val="002D0481"/>
    <w:rsid w:val="002D0639"/>
    <w:rsid w:val="002D0B10"/>
    <w:rsid w:val="002D0BDC"/>
    <w:rsid w:val="002D0F13"/>
    <w:rsid w:val="002D112B"/>
    <w:rsid w:val="002D11E3"/>
    <w:rsid w:val="002D135D"/>
    <w:rsid w:val="002D1778"/>
    <w:rsid w:val="002D1AE9"/>
    <w:rsid w:val="002D210C"/>
    <w:rsid w:val="002D2123"/>
    <w:rsid w:val="002D2BC8"/>
    <w:rsid w:val="002D2D7E"/>
    <w:rsid w:val="002D3103"/>
    <w:rsid w:val="002D3266"/>
    <w:rsid w:val="002D3988"/>
    <w:rsid w:val="002D4104"/>
    <w:rsid w:val="002D4177"/>
    <w:rsid w:val="002D46DF"/>
    <w:rsid w:val="002D487F"/>
    <w:rsid w:val="002D523B"/>
    <w:rsid w:val="002D548B"/>
    <w:rsid w:val="002D5C96"/>
    <w:rsid w:val="002D66B1"/>
    <w:rsid w:val="002D6E01"/>
    <w:rsid w:val="002D721C"/>
    <w:rsid w:val="002D73FC"/>
    <w:rsid w:val="002D745F"/>
    <w:rsid w:val="002D7616"/>
    <w:rsid w:val="002D7D99"/>
    <w:rsid w:val="002D7ECF"/>
    <w:rsid w:val="002E0163"/>
    <w:rsid w:val="002E01D6"/>
    <w:rsid w:val="002E060E"/>
    <w:rsid w:val="002E08C9"/>
    <w:rsid w:val="002E0AA6"/>
    <w:rsid w:val="002E1041"/>
    <w:rsid w:val="002E194C"/>
    <w:rsid w:val="002E1C94"/>
    <w:rsid w:val="002E1DFA"/>
    <w:rsid w:val="002E22C5"/>
    <w:rsid w:val="002E239F"/>
    <w:rsid w:val="002E26C2"/>
    <w:rsid w:val="002E362C"/>
    <w:rsid w:val="002E3A50"/>
    <w:rsid w:val="002E40E7"/>
    <w:rsid w:val="002E46DE"/>
    <w:rsid w:val="002E4B07"/>
    <w:rsid w:val="002E51B3"/>
    <w:rsid w:val="002E5406"/>
    <w:rsid w:val="002E57CC"/>
    <w:rsid w:val="002E58B0"/>
    <w:rsid w:val="002E5907"/>
    <w:rsid w:val="002E59EE"/>
    <w:rsid w:val="002E62B4"/>
    <w:rsid w:val="002E6669"/>
    <w:rsid w:val="002E7181"/>
    <w:rsid w:val="002E77CB"/>
    <w:rsid w:val="002E78D7"/>
    <w:rsid w:val="002E7EB3"/>
    <w:rsid w:val="002F0029"/>
    <w:rsid w:val="002F07B3"/>
    <w:rsid w:val="002F1012"/>
    <w:rsid w:val="002F1B2B"/>
    <w:rsid w:val="002F1BF7"/>
    <w:rsid w:val="002F1CB1"/>
    <w:rsid w:val="002F1CC0"/>
    <w:rsid w:val="002F1F4C"/>
    <w:rsid w:val="002F2A0D"/>
    <w:rsid w:val="002F341A"/>
    <w:rsid w:val="002F34EC"/>
    <w:rsid w:val="002F3633"/>
    <w:rsid w:val="002F42CC"/>
    <w:rsid w:val="002F439D"/>
    <w:rsid w:val="002F43A1"/>
    <w:rsid w:val="002F4815"/>
    <w:rsid w:val="002F4C56"/>
    <w:rsid w:val="002F576B"/>
    <w:rsid w:val="002F59BE"/>
    <w:rsid w:val="002F5B67"/>
    <w:rsid w:val="002F5B7D"/>
    <w:rsid w:val="002F5BB0"/>
    <w:rsid w:val="002F64AD"/>
    <w:rsid w:val="002F653C"/>
    <w:rsid w:val="002F67A2"/>
    <w:rsid w:val="002F6BD7"/>
    <w:rsid w:val="002F750A"/>
    <w:rsid w:val="002F7BF2"/>
    <w:rsid w:val="002F7D4C"/>
    <w:rsid w:val="00300149"/>
    <w:rsid w:val="003002FB"/>
    <w:rsid w:val="003009AA"/>
    <w:rsid w:val="00300BF9"/>
    <w:rsid w:val="00300C02"/>
    <w:rsid w:val="00300CED"/>
    <w:rsid w:val="00300D77"/>
    <w:rsid w:val="0030120F"/>
    <w:rsid w:val="00301363"/>
    <w:rsid w:val="00301456"/>
    <w:rsid w:val="003019C5"/>
    <w:rsid w:val="00301C99"/>
    <w:rsid w:val="0030218C"/>
    <w:rsid w:val="0030229A"/>
    <w:rsid w:val="00302570"/>
    <w:rsid w:val="00302856"/>
    <w:rsid w:val="00302B51"/>
    <w:rsid w:val="00302D75"/>
    <w:rsid w:val="00302EAA"/>
    <w:rsid w:val="003030E1"/>
    <w:rsid w:val="00303C80"/>
    <w:rsid w:val="0030432D"/>
    <w:rsid w:val="00304677"/>
    <w:rsid w:val="00304C1D"/>
    <w:rsid w:val="00305BE3"/>
    <w:rsid w:val="00305D8B"/>
    <w:rsid w:val="0030674C"/>
    <w:rsid w:val="00306780"/>
    <w:rsid w:val="0030688E"/>
    <w:rsid w:val="003069E8"/>
    <w:rsid w:val="00306A38"/>
    <w:rsid w:val="00306A50"/>
    <w:rsid w:val="00306C11"/>
    <w:rsid w:val="00306F59"/>
    <w:rsid w:val="003072CF"/>
    <w:rsid w:val="00307737"/>
    <w:rsid w:val="00307BB8"/>
    <w:rsid w:val="00307E85"/>
    <w:rsid w:val="00307EF6"/>
    <w:rsid w:val="00310269"/>
    <w:rsid w:val="0031026C"/>
    <w:rsid w:val="00310319"/>
    <w:rsid w:val="00310348"/>
    <w:rsid w:val="003107F7"/>
    <w:rsid w:val="003109AB"/>
    <w:rsid w:val="00310BBC"/>
    <w:rsid w:val="00310E67"/>
    <w:rsid w:val="00311010"/>
    <w:rsid w:val="003110B4"/>
    <w:rsid w:val="003111DB"/>
    <w:rsid w:val="00311373"/>
    <w:rsid w:val="003113DC"/>
    <w:rsid w:val="00311CCB"/>
    <w:rsid w:val="003122E4"/>
    <w:rsid w:val="00312484"/>
    <w:rsid w:val="00312722"/>
    <w:rsid w:val="00312888"/>
    <w:rsid w:val="00312BA5"/>
    <w:rsid w:val="003130BB"/>
    <w:rsid w:val="003132AE"/>
    <w:rsid w:val="00313937"/>
    <w:rsid w:val="00313B3C"/>
    <w:rsid w:val="00314134"/>
    <w:rsid w:val="00314466"/>
    <w:rsid w:val="00314552"/>
    <w:rsid w:val="0031463A"/>
    <w:rsid w:val="003149E9"/>
    <w:rsid w:val="00314A1D"/>
    <w:rsid w:val="0031501F"/>
    <w:rsid w:val="003155A7"/>
    <w:rsid w:val="00316493"/>
    <w:rsid w:val="00316758"/>
    <w:rsid w:val="0031677D"/>
    <w:rsid w:val="00316B48"/>
    <w:rsid w:val="00316B83"/>
    <w:rsid w:val="00316E94"/>
    <w:rsid w:val="0031711E"/>
    <w:rsid w:val="00317883"/>
    <w:rsid w:val="00317BF5"/>
    <w:rsid w:val="00317DAD"/>
    <w:rsid w:val="00317FE1"/>
    <w:rsid w:val="0032009F"/>
    <w:rsid w:val="0032015A"/>
    <w:rsid w:val="003203B0"/>
    <w:rsid w:val="003203BC"/>
    <w:rsid w:val="003203C4"/>
    <w:rsid w:val="003203C7"/>
    <w:rsid w:val="003203E3"/>
    <w:rsid w:val="00320415"/>
    <w:rsid w:val="0032065C"/>
    <w:rsid w:val="00320785"/>
    <w:rsid w:val="00320FC1"/>
    <w:rsid w:val="00321BA6"/>
    <w:rsid w:val="00321E01"/>
    <w:rsid w:val="00321EF5"/>
    <w:rsid w:val="00321FF7"/>
    <w:rsid w:val="003223FC"/>
    <w:rsid w:val="003227EB"/>
    <w:rsid w:val="003228BF"/>
    <w:rsid w:val="00322E0B"/>
    <w:rsid w:val="00322F04"/>
    <w:rsid w:val="00323041"/>
    <w:rsid w:val="00323107"/>
    <w:rsid w:val="00323A02"/>
    <w:rsid w:val="00323C5A"/>
    <w:rsid w:val="00323C70"/>
    <w:rsid w:val="00323F5B"/>
    <w:rsid w:val="00324485"/>
    <w:rsid w:val="00324746"/>
    <w:rsid w:val="003247E3"/>
    <w:rsid w:val="00324A8F"/>
    <w:rsid w:val="00324BF5"/>
    <w:rsid w:val="00324D0E"/>
    <w:rsid w:val="00324DD8"/>
    <w:rsid w:val="00325296"/>
    <w:rsid w:val="00325494"/>
    <w:rsid w:val="003255D7"/>
    <w:rsid w:val="003257B1"/>
    <w:rsid w:val="003257D3"/>
    <w:rsid w:val="003259E0"/>
    <w:rsid w:val="0032620D"/>
    <w:rsid w:val="003262E4"/>
    <w:rsid w:val="003264C5"/>
    <w:rsid w:val="00326C23"/>
    <w:rsid w:val="003275E6"/>
    <w:rsid w:val="00327F0A"/>
    <w:rsid w:val="00330144"/>
    <w:rsid w:val="00330277"/>
    <w:rsid w:val="00330293"/>
    <w:rsid w:val="00330406"/>
    <w:rsid w:val="00330708"/>
    <w:rsid w:val="003307D3"/>
    <w:rsid w:val="00331271"/>
    <w:rsid w:val="003312F2"/>
    <w:rsid w:val="00331B94"/>
    <w:rsid w:val="00331BA7"/>
    <w:rsid w:val="00331DCE"/>
    <w:rsid w:val="00331F52"/>
    <w:rsid w:val="00331FEF"/>
    <w:rsid w:val="00332055"/>
    <w:rsid w:val="00332280"/>
    <w:rsid w:val="003323A1"/>
    <w:rsid w:val="003323D4"/>
    <w:rsid w:val="003323DB"/>
    <w:rsid w:val="003324F6"/>
    <w:rsid w:val="003326DA"/>
    <w:rsid w:val="003328AE"/>
    <w:rsid w:val="00332B05"/>
    <w:rsid w:val="00332DC0"/>
    <w:rsid w:val="003330C7"/>
    <w:rsid w:val="0033325B"/>
    <w:rsid w:val="003332DA"/>
    <w:rsid w:val="00333CC3"/>
    <w:rsid w:val="00334284"/>
    <w:rsid w:val="00334353"/>
    <w:rsid w:val="0033475A"/>
    <w:rsid w:val="003347B3"/>
    <w:rsid w:val="0033487D"/>
    <w:rsid w:val="00334D4F"/>
    <w:rsid w:val="00335760"/>
    <w:rsid w:val="00335C9A"/>
    <w:rsid w:val="0033614C"/>
    <w:rsid w:val="0033671A"/>
    <w:rsid w:val="0033672F"/>
    <w:rsid w:val="00336A65"/>
    <w:rsid w:val="00336D1C"/>
    <w:rsid w:val="003373E8"/>
    <w:rsid w:val="0033776F"/>
    <w:rsid w:val="00337CF5"/>
    <w:rsid w:val="0034037F"/>
    <w:rsid w:val="00340548"/>
    <w:rsid w:val="003409BF"/>
    <w:rsid w:val="003409C4"/>
    <w:rsid w:val="00340AA8"/>
    <w:rsid w:val="00340DDA"/>
    <w:rsid w:val="0034113B"/>
    <w:rsid w:val="0034128A"/>
    <w:rsid w:val="0034158E"/>
    <w:rsid w:val="0034190D"/>
    <w:rsid w:val="00341A68"/>
    <w:rsid w:val="00341A9E"/>
    <w:rsid w:val="00341FDF"/>
    <w:rsid w:val="00341FEB"/>
    <w:rsid w:val="003422CD"/>
    <w:rsid w:val="003422F7"/>
    <w:rsid w:val="003426DA"/>
    <w:rsid w:val="00342807"/>
    <w:rsid w:val="00342A5B"/>
    <w:rsid w:val="00342AB4"/>
    <w:rsid w:val="00342B06"/>
    <w:rsid w:val="00342D1F"/>
    <w:rsid w:val="00343458"/>
    <w:rsid w:val="003434DD"/>
    <w:rsid w:val="003444B4"/>
    <w:rsid w:val="00344858"/>
    <w:rsid w:val="00344E00"/>
    <w:rsid w:val="00344F78"/>
    <w:rsid w:val="00345232"/>
    <w:rsid w:val="00345525"/>
    <w:rsid w:val="00345ABC"/>
    <w:rsid w:val="00345BD4"/>
    <w:rsid w:val="00345C3B"/>
    <w:rsid w:val="00345DF8"/>
    <w:rsid w:val="00346149"/>
    <w:rsid w:val="00346F39"/>
    <w:rsid w:val="00347039"/>
    <w:rsid w:val="003477AC"/>
    <w:rsid w:val="00347C2D"/>
    <w:rsid w:val="00347E6D"/>
    <w:rsid w:val="00347ECE"/>
    <w:rsid w:val="003503BD"/>
    <w:rsid w:val="0035059D"/>
    <w:rsid w:val="003510B0"/>
    <w:rsid w:val="00351184"/>
    <w:rsid w:val="00351302"/>
    <w:rsid w:val="00351514"/>
    <w:rsid w:val="00351F6B"/>
    <w:rsid w:val="00352128"/>
    <w:rsid w:val="00352526"/>
    <w:rsid w:val="00352727"/>
    <w:rsid w:val="00352882"/>
    <w:rsid w:val="00352956"/>
    <w:rsid w:val="00352C6E"/>
    <w:rsid w:val="00352F8D"/>
    <w:rsid w:val="003542C3"/>
    <w:rsid w:val="00354583"/>
    <w:rsid w:val="00354674"/>
    <w:rsid w:val="00354807"/>
    <w:rsid w:val="00355214"/>
    <w:rsid w:val="0035527F"/>
    <w:rsid w:val="0035539C"/>
    <w:rsid w:val="00355960"/>
    <w:rsid w:val="00355AB7"/>
    <w:rsid w:val="00355E73"/>
    <w:rsid w:val="00355F97"/>
    <w:rsid w:val="003567C6"/>
    <w:rsid w:val="00356841"/>
    <w:rsid w:val="00356B01"/>
    <w:rsid w:val="00356E0E"/>
    <w:rsid w:val="00356F8A"/>
    <w:rsid w:val="0035703F"/>
    <w:rsid w:val="003576FF"/>
    <w:rsid w:val="00357B70"/>
    <w:rsid w:val="00357D10"/>
    <w:rsid w:val="00357D45"/>
    <w:rsid w:val="00357DAD"/>
    <w:rsid w:val="00357EFF"/>
    <w:rsid w:val="003604D1"/>
    <w:rsid w:val="00360837"/>
    <w:rsid w:val="00360AC5"/>
    <w:rsid w:val="00360C29"/>
    <w:rsid w:val="00360E76"/>
    <w:rsid w:val="00360F1B"/>
    <w:rsid w:val="003614DE"/>
    <w:rsid w:val="00361D2E"/>
    <w:rsid w:val="003624AD"/>
    <w:rsid w:val="003624D0"/>
    <w:rsid w:val="00362742"/>
    <w:rsid w:val="00362AD6"/>
    <w:rsid w:val="00362CAC"/>
    <w:rsid w:val="00362F3B"/>
    <w:rsid w:val="00363A4A"/>
    <w:rsid w:val="00363AD0"/>
    <w:rsid w:val="00364011"/>
    <w:rsid w:val="003640B6"/>
    <w:rsid w:val="00364715"/>
    <w:rsid w:val="0036533E"/>
    <w:rsid w:val="00365687"/>
    <w:rsid w:val="00365756"/>
    <w:rsid w:val="003657AB"/>
    <w:rsid w:val="00366101"/>
    <w:rsid w:val="00366C6A"/>
    <w:rsid w:val="00366F0D"/>
    <w:rsid w:val="003700EE"/>
    <w:rsid w:val="00370260"/>
    <w:rsid w:val="00370371"/>
    <w:rsid w:val="00370473"/>
    <w:rsid w:val="00370551"/>
    <w:rsid w:val="00370A03"/>
    <w:rsid w:val="003711C5"/>
    <w:rsid w:val="00371707"/>
    <w:rsid w:val="003718F4"/>
    <w:rsid w:val="00371B0F"/>
    <w:rsid w:val="00371CB6"/>
    <w:rsid w:val="00371E90"/>
    <w:rsid w:val="0037213B"/>
    <w:rsid w:val="0037295B"/>
    <w:rsid w:val="00372A69"/>
    <w:rsid w:val="00372AEB"/>
    <w:rsid w:val="00372CA2"/>
    <w:rsid w:val="00373169"/>
    <w:rsid w:val="00373546"/>
    <w:rsid w:val="0037354F"/>
    <w:rsid w:val="003736D2"/>
    <w:rsid w:val="0037394A"/>
    <w:rsid w:val="00373E79"/>
    <w:rsid w:val="00374302"/>
    <w:rsid w:val="00374348"/>
    <w:rsid w:val="0037446D"/>
    <w:rsid w:val="00375091"/>
    <w:rsid w:val="003750FC"/>
    <w:rsid w:val="00376491"/>
    <w:rsid w:val="003765F1"/>
    <w:rsid w:val="003766A9"/>
    <w:rsid w:val="00377364"/>
    <w:rsid w:val="00377366"/>
    <w:rsid w:val="00377EAF"/>
    <w:rsid w:val="00380189"/>
    <w:rsid w:val="003803CE"/>
    <w:rsid w:val="00380A15"/>
    <w:rsid w:val="00380F21"/>
    <w:rsid w:val="00380F7F"/>
    <w:rsid w:val="00381107"/>
    <w:rsid w:val="003811F2"/>
    <w:rsid w:val="00381308"/>
    <w:rsid w:val="00381388"/>
    <w:rsid w:val="0038159E"/>
    <w:rsid w:val="0038188C"/>
    <w:rsid w:val="003818E8"/>
    <w:rsid w:val="003819B0"/>
    <w:rsid w:val="0038206C"/>
    <w:rsid w:val="00382172"/>
    <w:rsid w:val="00382462"/>
    <w:rsid w:val="00382E71"/>
    <w:rsid w:val="00383295"/>
    <w:rsid w:val="00383542"/>
    <w:rsid w:val="0038384E"/>
    <w:rsid w:val="0038397F"/>
    <w:rsid w:val="00383B32"/>
    <w:rsid w:val="0038447D"/>
    <w:rsid w:val="003848EF"/>
    <w:rsid w:val="00384905"/>
    <w:rsid w:val="00384A34"/>
    <w:rsid w:val="00384A7C"/>
    <w:rsid w:val="00384A9E"/>
    <w:rsid w:val="003852B8"/>
    <w:rsid w:val="00385669"/>
    <w:rsid w:val="00385BF8"/>
    <w:rsid w:val="00385C32"/>
    <w:rsid w:val="00385C6D"/>
    <w:rsid w:val="00386560"/>
    <w:rsid w:val="00386874"/>
    <w:rsid w:val="00386BA8"/>
    <w:rsid w:val="00386CE8"/>
    <w:rsid w:val="00386DB1"/>
    <w:rsid w:val="00386E8B"/>
    <w:rsid w:val="003874EC"/>
    <w:rsid w:val="0039020B"/>
    <w:rsid w:val="00390BF9"/>
    <w:rsid w:val="00390D6D"/>
    <w:rsid w:val="00390F40"/>
    <w:rsid w:val="00391065"/>
    <w:rsid w:val="00391489"/>
    <w:rsid w:val="00391962"/>
    <w:rsid w:val="00391A19"/>
    <w:rsid w:val="00391E59"/>
    <w:rsid w:val="00391F6B"/>
    <w:rsid w:val="00392A32"/>
    <w:rsid w:val="00392BF6"/>
    <w:rsid w:val="00393B65"/>
    <w:rsid w:val="00393F8F"/>
    <w:rsid w:val="003940A1"/>
    <w:rsid w:val="00394170"/>
    <w:rsid w:val="00394343"/>
    <w:rsid w:val="003946A1"/>
    <w:rsid w:val="00394EFA"/>
    <w:rsid w:val="0039518A"/>
    <w:rsid w:val="003955FB"/>
    <w:rsid w:val="00395950"/>
    <w:rsid w:val="00395CAF"/>
    <w:rsid w:val="00395DFD"/>
    <w:rsid w:val="00395F4C"/>
    <w:rsid w:val="00395F95"/>
    <w:rsid w:val="003965F4"/>
    <w:rsid w:val="00396C1A"/>
    <w:rsid w:val="00396E8E"/>
    <w:rsid w:val="00396EBC"/>
    <w:rsid w:val="003972F5"/>
    <w:rsid w:val="00397489"/>
    <w:rsid w:val="003974DD"/>
    <w:rsid w:val="00397D78"/>
    <w:rsid w:val="00397EE1"/>
    <w:rsid w:val="003A0252"/>
    <w:rsid w:val="003A0BFC"/>
    <w:rsid w:val="003A0DFB"/>
    <w:rsid w:val="003A0E5D"/>
    <w:rsid w:val="003A12B1"/>
    <w:rsid w:val="003A151C"/>
    <w:rsid w:val="003A1BAF"/>
    <w:rsid w:val="003A1E18"/>
    <w:rsid w:val="003A24AF"/>
    <w:rsid w:val="003A25B8"/>
    <w:rsid w:val="003A2FBC"/>
    <w:rsid w:val="003A31C1"/>
    <w:rsid w:val="003A3E2F"/>
    <w:rsid w:val="003A4214"/>
    <w:rsid w:val="003A4234"/>
    <w:rsid w:val="003A4620"/>
    <w:rsid w:val="003A473A"/>
    <w:rsid w:val="003A4A19"/>
    <w:rsid w:val="003A53C5"/>
    <w:rsid w:val="003A577E"/>
    <w:rsid w:val="003A5D0E"/>
    <w:rsid w:val="003A5EEC"/>
    <w:rsid w:val="003A6079"/>
    <w:rsid w:val="003A64E6"/>
    <w:rsid w:val="003A68AB"/>
    <w:rsid w:val="003A6CB4"/>
    <w:rsid w:val="003A6D9B"/>
    <w:rsid w:val="003A737B"/>
    <w:rsid w:val="003A7572"/>
    <w:rsid w:val="003A759D"/>
    <w:rsid w:val="003B00FB"/>
    <w:rsid w:val="003B0129"/>
    <w:rsid w:val="003B04F0"/>
    <w:rsid w:val="003B0589"/>
    <w:rsid w:val="003B0731"/>
    <w:rsid w:val="003B0896"/>
    <w:rsid w:val="003B0B93"/>
    <w:rsid w:val="003B11A6"/>
    <w:rsid w:val="003B1267"/>
    <w:rsid w:val="003B1336"/>
    <w:rsid w:val="003B1689"/>
    <w:rsid w:val="003B19F9"/>
    <w:rsid w:val="003B1AB2"/>
    <w:rsid w:val="003B1B45"/>
    <w:rsid w:val="003B20FC"/>
    <w:rsid w:val="003B2150"/>
    <w:rsid w:val="003B239F"/>
    <w:rsid w:val="003B2594"/>
    <w:rsid w:val="003B2861"/>
    <w:rsid w:val="003B2E89"/>
    <w:rsid w:val="003B30DD"/>
    <w:rsid w:val="003B3342"/>
    <w:rsid w:val="003B340D"/>
    <w:rsid w:val="003B370F"/>
    <w:rsid w:val="003B3E18"/>
    <w:rsid w:val="003B3FB7"/>
    <w:rsid w:val="003B415D"/>
    <w:rsid w:val="003B4479"/>
    <w:rsid w:val="003B4CE4"/>
    <w:rsid w:val="003B4F07"/>
    <w:rsid w:val="003B50C3"/>
    <w:rsid w:val="003B51C0"/>
    <w:rsid w:val="003B5845"/>
    <w:rsid w:val="003B5B3B"/>
    <w:rsid w:val="003B603B"/>
    <w:rsid w:val="003B6727"/>
    <w:rsid w:val="003B6A33"/>
    <w:rsid w:val="003B6F0A"/>
    <w:rsid w:val="003B72CF"/>
    <w:rsid w:val="003B7340"/>
    <w:rsid w:val="003B76B5"/>
    <w:rsid w:val="003B78AB"/>
    <w:rsid w:val="003B7B90"/>
    <w:rsid w:val="003B7DCC"/>
    <w:rsid w:val="003C038E"/>
    <w:rsid w:val="003C048E"/>
    <w:rsid w:val="003C04E5"/>
    <w:rsid w:val="003C0916"/>
    <w:rsid w:val="003C1500"/>
    <w:rsid w:val="003C185D"/>
    <w:rsid w:val="003C1AA8"/>
    <w:rsid w:val="003C21DC"/>
    <w:rsid w:val="003C2377"/>
    <w:rsid w:val="003C2579"/>
    <w:rsid w:val="003C289B"/>
    <w:rsid w:val="003C2DEE"/>
    <w:rsid w:val="003C2FED"/>
    <w:rsid w:val="003C4286"/>
    <w:rsid w:val="003C4714"/>
    <w:rsid w:val="003C4779"/>
    <w:rsid w:val="003C47ED"/>
    <w:rsid w:val="003C48E2"/>
    <w:rsid w:val="003C4A98"/>
    <w:rsid w:val="003C4C93"/>
    <w:rsid w:val="003C4CFF"/>
    <w:rsid w:val="003C521F"/>
    <w:rsid w:val="003C542C"/>
    <w:rsid w:val="003C5F07"/>
    <w:rsid w:val="003C62C3"/>
    <w:rsid w:val="003C63EF"/>
    <w:rsid w:val="003C6412"/>
    <w:rsid w:val="003C6A1D"/>
    <w:rsid w:val="003C6C81"/>
    <w:rsid w:val="003C6E29"/>
    <w:rsid w:val="003C74E4"/>
    <w:rsid w:val="003C75DA"/>
    <w:rsid w:val="003C7D04"/>
    <w:rsid w:val="003D0100"/>
    <w:rsid w:val="003D01A6"/>
    <w:rsid w:val="003D040F"/>
    <w:rsid w:val="003D0A23"/>
    <w:rsid w:val="003D0BDA"/>
    <w:rsid w:val="003D0E58"/>
    <w:rsid w:val="003D11C0"/>
    <w:rsid w:val="003D1598"/>
    <w:rsid w:val="003D1722"/>
    <w:rsid w:val="003D1B52"/>
    <w:rsid w:val="003D212E"/>
    <w:rsid w:val="003D218A"/>
    <w:rsid w:val="003D2341"/>
    <w:rsid w:val="003D2AE5"/>
    <w:rsid w:val="003D2C37"/>
    <w:rsid w:val="003D2CA6"/>
    <w:rsid w:val="003D2D82"/>
    <w:rsid w:val="003D3270"/>
    <w:rsid w:val="003D33A3"/>
    <w:rsid w:val="003D37CE"/>
    <w:rsid w:val="003D37E4"/>
    <w:rsid w:val="003D38A5"/>
    <w:rsid w:val="003D3AF7"/>
    <w:rsid w:val="003D3BD2"/>
    <w:rsid w:val="003D3E8E"/>
    <w:rsid w:val="003D3FEE"/>
    <w:rsid w:val="003D4707"/>
    <w:rsid w:val="003D47CC"/>
    <w:rsid w:val="003D4B74"/>
    <w:rsid w:val="003D4C66"/>
    <w:rsid w:val="003D4C74"/>
    <w:rsid w:val="003D4E0C"/>
    <w:rsid w:val="003D5012"/>
    <w:rsid w:val="003D5249"/>
    <w:rsid w:val="003D572E"/>
    <w:rsid w:val="003D57B2"/>
    <w:rsid w:val="003D5F66"/>
    <w:rsid w:val="003D5FAD"/>
    <w:rsid w:val="003D6409"/>
    <w:rsid w:val="003D6960"/>
    <w:rsid w:val="003D709A"/>
    <w:rsid w:val="003D71B5"/>
    <w:rsid w:val="003D77EE"/>
    <w:rsid w:val="003E0313"/>
    <w:rsid w:val="003E0510"/>
    <w:rsid w:val="003E051B"/>
    <w:rsid w:val="003E0560"/>
    <w:rsid w:val="003E068E"/>
    <w:rsid w:val="003E0E49"/>
    <w:rsid w:val="003E1085"/>
    <w:rsid w:val="003E190C"/>
    <w:rsid w:val="003E1B91"/>
    <w:rsid w:val="003E1BBB"/>
    <w:rsid w:val="003E1D94"/>
    <w:rsid w:val="003E2295"/>
    <w:rsid w:val="003E25F5"/>
    <w:rsid w:val="003E2BB9"/>
    <w:rsid w:val="003E2C22"/>
    <w:rsid w:val="003E2D96"/>
    <w:rsid w:val="003E2DE5"/>
    <w:rsid w:val="003E2E3C"/>
    <w:rsid w:val="003E2FD0"/>
    <w:rsid w:val="003E3400"/>
    <w:rsid w:val="003E4C1C"/>
    <w:rsid w:val="003E4D6A"/>
    <w:rsid w:val="003E4D9A"/>
    <w:rsid w:val="003E507A"/>
    <w:rsid w:val="003E54B6"/>
    <w:rsid w:val="003E56B0"/>
    <w:rsid w:val="003E58BD"/>
    <w:rsid w:val="003E5AB6"/>
    <w:rsid w:val="003E61D0"/>
    <w:rsid w:val="003E633B"/>
    <w:rsid w:val="003E636A"/>
    <w:rsid w:val="003E66BB"/>
    <w:rsid w:val="003E6A91"/>
    <w:rsid w:val="003E6C6F"/>
    <w:rsid w:val="003E6F79"/>
    <w:rsid w:val="003E7128"/>
    <w:rsid w:val="003E7A4D"/>
    <w:rsid w:val="003E7C28"/>
    <w:rsid w:val="003E7EEB"/>
    <w:rsid w:val="003F002E"/>
    <w:rsid w:val="003F04F4"/>
    <w:rsid w:val="003F0842"/>
    <w:rsid w:val="003F0CD2"/>
    <w:rsid w:val="003F107D"/>
    <w:rsid w:val="003F1636"/>
    <w:rsid w:val="003F19E3"/>
    <w:rsid w:val="003F1D29"/>
    <w:rsid w:val="003F1F49"/>
    <w:rsid w:val="003F23ED"/>
    <w:rsid w:val="003F24DA"/>
    <w:rsid w:val="003F2C5F"/>
    <w:rsid w:val="003F2CF1"/>
    <w:rsid w:val="003F2CF4"/>
    <w:rsid w:val="003F2FA0"/>
    <w:rsid w:val="003F3081"/>
    <w:rsid w:val="003F38F9"/>
    <w:rsid w:val="003F3D7D"/>
    <w:rsid w:val="003F3D81"/>
    <w:rsid w:val="003F42A7"/>
    <w:rsid w:val="003F47E5"/>
    <w:rsid w:val="003F503B"/>
    <w:rsid w:val="003F52E3"/>
    <w:rsid w:val="003F5355"/>
    <w:rsid w:val="003F5870"/>
    <w:rsid w:val="003F6045"/>
    <w:rsid w:val="003F6078"/>
    <w:rsid w:val="003F6CCC"/>
    <w:rsid w:val="003F6DEE"/>
    <w:rsid w:val="003F6F13"/>
    <w:rsid w:val="003F6F52"/>
    <w:rsid w:val="003F6F90"/>
    <w:rsid w:val="003F71C5"/>
    <w:rsid w:val="003F7B02"/>
    <w:rsid w:val="003F7D19"/>
    <w:rsid w:val="00400162"/>
    <w:rsid w:val="0040028B"/>
    <w:rsid w:val="004006DE"/>
    <w:rsid w:val="004008ED"/>
    <w:rsid w:val="0040140A"/>
    <w:rsid w:val="004016B2"/>
    <w:rsid w:val="004016DE"/>
    <w:rsid w:val="00401872"/>
    <w:rsid w:val="00401E4F"/>
    <w:rsid w:val="0040259A"/>
    <w:rsid w:val="004025DC"/>
    <w:rsid w:val="00402E80"/>
    <w:rsid w:val="00402EBD"/>
    <w:rsid w:val="00402EC9"/>
    <w:rsid w:val="00403222"/>
    <w:rsid w:val="004035B5"/>
    <w:rsid w:val="004036B9"/>
    <w:rsid w:val="00403A1C"/>
    <w:rsid w:val="00403C91"/>
    <w:rsid w:val="00403DA6"/>
    <w:rsid w:val="00403FC1"/>
    <w:rsid w:val="004041B8"/>
    <w:rsid w:val="00404A63"/>
    <w:rsid w:val="00404C13"/>
    <w:rsid w:val="00405541"/>
    <w:rsid w:val="004055EE"/>
    <w:rsid w:val="0040593D"/>
    <w:rsid w:val="00405ACA"/>
    <w:rsid w:val="00405D0D"/>
    <w:rsid w:val="00406071"/>
    <w:rsid w:val="004062AB"/>
    <w:rsid w:val="00406779"/>
    <w:rsid w:val="00406794"/>
    <w:rsid w:val="00406E20"/>
    <w:rsid w:val="00406EA9"/>
    <w:rsid w:val="00406FCA"/>
    <w:rsid w:val="004077B8"/>
    <w:rsid w:val="004078CD"/>
    <w:rsid w:val="00407B28"/>
    <w:rsid w:val="0041068E"/>
    <w:rsid w:val="00410AC1"/>
    <w:rsid w:val="0041100C"/>
    <w:rsid w:val="0041111A"/>
    <w:rsid w:val="0041133A"/>
    <w:rsid w:val="00411691"/>
    <w:rsid w:val="00411B8F"/>
    <w:rsid w:val="00412489"/>
    <w:rsid w:val="004125DB"/>
    <w:rsid w:val="0041273A"/>
    <w:rsid w:val="00412B7E"/>
    <w:rsid w:val="00412F8A"/>
    <w:rsid w:val="0041391A"/>
    <w:rsid w:val="00413AEC"/>
    <w:rsid w:val="00413BB6"/>
    <w:rsid w:val="00413C2F"/>
    <w:rsid w:val="0041510B"/>
    <w:rsid w:val="0041520E"/>
    <w:rsid w:val="0041521F"/>
    <w:rsid w:val="00415552"/>
    <w:rsid w:val="0041559E"/>
    <w:rsid w:val="0041585B"/>
    <w:rsid w:val="00416050"/>
    <w:rsid w:val="00416100"/>
    <w:rsid w:val="0041625D"/>
    <w:rsid w:val="00416BE4"/>
    <w:rsid w:val="00416ED4"/>
    <w:rsid w:val="00416FFB"/>
    <w:rsid w:val="004170CB"/>
    <w:rsid w:val="00417259"/>
    <w:rsid w:val="004172E7"/>
    <w:rsid w:val="004175D4"/>
    <w:rsid w:val="004177A3"/>
    <w:rsid w:val="0041784F"/>
    <w:rsid w:val="00420246"/>
    <w:rsid w:val="004205BF"/>
    <w:rsid w:val="00420607"/>
    <w:rsid w:val="004206AA"/>
    <w:rsid w:val="004207E8"/>
    <w:rsid w:val="00420960"/>
    <w:rsid w:val="00420B44"/>
    <w:rsid w:val="00420D96"/>
    <w:rsid w:val="00420E61"/>
    <w:rsid w:val="00421259"/>
    <w:rsid w:val="00421C21"/>
    <w:rsid w:val="0042205E"/>
    <w:rsid w:val="004223D2"/>
    <w:rsid w:val="00422963"/>
    <w:rsid w:val="00422E6D"/>
    <w:rsid w:val="00423C30"/>
    <w:rsid w:val="00423ED4"/>
    <w:rsid w:val="004240A9"/>
    <w:rsid w:val="00424628"/>
    <w:rsid w:val="00424724"/>
    <w:rsid w:val="004248D8"/>
    <w:rsid w:val="0042494E"/>
    <w:rsid w:val="00424CD6"/>
    <w:rsid w:val="00425182"/>
    <w:rsid w:val="00425578"/>
    <w:rsid w:val="00425B29"/>
    <w:rsid w:val="00425F15"/>
    <w:rsid w:val="00426870"/>
    <w:rsid w:val="00426AB3"/>
    <w:rsid w:val="00426D01"/>
    <w:rsid w:val="00426DF1"/>
    <w:rsid w:val="004277AF"/>
    <w:rsid w:val="00427CAC"/>
    <w:rsid w:val="00427D10"/>
    <w:rsid w:val="0042AB38"/>
    <w:rsid w:val="0043027F"/>
    <w:rsid w:val="00430543"/>
    <w:rsid w:val="00430B7A"/>
    <w:rsid w:val="00430D68"/>
    <w:rsid w:val="00430EBB"/>
    <w:rsid w:val="00430F2B"/>
    <w:rsid w:val="00432264"/>
    <w:rsid w:val="00432445"/>
    <w:rsid w:val="004328AA"/>
    <w:rsid w:val="00432D4B"/>
    <w:rsid w:val="00432E57"/>
    <w:rsid w:val="00432EA0"/>
    <w:rsid w:val="00432EB8"/>
    <w:rsid w:val="00433361"/>
    <w:rsid w:val="00433533"/>
    <w:rsid w:val="004336A5"/>
    <w:rsid w:val="0043397E"/>
    <w:rsid w:val="00433DAF"/>
    <w:rsid w:val="00434329"/>
    <w:rsid w:val="0043446F"/>
    <w:rsid w:val="0043468A"/>
    <w:rsid w:val="004348E8"/>
    <w:rsid w:val="00434AA9"/>
    <w:rsid w:val="0043564A"/>
    <w:rsid w:val="0043571F"/>
    <w:rsid w:val="00435ABB"/>
    <w:rsid w:val="00435D23"/>
    <w:rsid w:val="00436546"/>
    <w:rsid w:val="0043683F"/>
    <w:rsid w:val="00436C73"/>
    <w:rsid w:val="00436EC7"/>
    <w:rsid w:val="00436F12"/>
    <w:rsid w:val="00437620"/>
    <w:rsid w:val="00437917"/>
    <w:rsid w:val="00437AD1"/>
    <w:rsid w:val="00437BA9"/>
    <w:rsid w:val="00437D0F"/>
    <w:rsid w:val="00440421"/>
    <w:rsid w:val="004405E6"/>
    <w:rsid w:val="004406D1"/>
    <w:rsid w:val="00440910"/>
    <w:rsid w:val="00440915"/>
    <w:rsid w:val="00440A77"/>
    <w:rsid w:val="004412E7"/>
    <w:rsid w:val="0044172B"/>
    <w:rsid w:val="00441C5C"/>
    <w:rsid w:val="00442020"/>
    <w:rsid w:val="004420D1"/>
    <w:rsid w:val="00442297"/>
    <w:rsid w:val="004422A6"/>
    <w:rsid w:val="0044244F"/>
    <w:rsid w:val="00442675"/>
    <w:rsid w:val="004427DD"/>
    <w:rsid w:val="00442BAA"/>
    <w:rsid w:val="00443244"/>
    <w:rsid w:val="00443A2E"/>
    <w:rsid w:val="00443AA0"/>
    <w:rsid w:val="00443DC5"/>
    <w:rsid w:val="004442E2"/>
    <w:rsid w:val="00444545"/>
    <w:rsid w:val="004445F9"/>
    <w:rsid w:val="00444795"/>
    <w:rsid w:val="004448A1"/>
    <w:rsid w:val="004450F6"/>
    <w:rsid w:val="004451AF"/>
    <w:rsid w:val="0044523F"/>
    <w:rsid w:val="004452D4"/>
    <w:rsid w:val="00445634"/>
    <w:rsid w:val="00445884"/>
    <w:rsid w:val="00445887"/>
    <w:rsid w:val="004459CC"/>
    <w:rsid w:val="004459DE"/>
    <w:rsid w:val="004461D6"/>
    <w:rsid w:val="00446500"/>
    <w:rsid w:val="004467CA"/>
    <w:rsid w:val="00446A77"/>
    <w:rsid w:val="00446BFF"/>
    <w:rsid w:val="0044706D"/>
    <w:rsid w:val="0044718F"/>
    <w:rsid w:val="00447495"/>
    <w:rsid w:val="004478CC"/>
    <w:rsid w:val="0045018C"/>
    <w:rsid w:val="0045058B"/>
    <w:rsid w:val="00450697"/>
    <w:rsid w:val="00451C3E"/>
    <w:rsid w:val="00451D23"/>
    <w:rsid w:val="004521B3"/>
    <w:rsid w:val="00452459"/>
    <w:rsid w:val="0045253C"/>
    <w:rsid w:val="00452B35"/>
    <w:rsid w:val="00452DEF"/>
    <w:rsid w:val="00453683"/>
    <w:rsid w:val="00453702"/>
    <w:rsid w:val="0045389C"/>
    <w:rsid w:val="00454220"/>
    <w:rsid w:val="00454282"/>
    <w:rsid w:val="004545C2"/>
    <w:rsid w:val="00454639"/>
    <w:rsid w:val="004547EA"/>
    <w:rsid w:val="00454D22"/>
    <w:rsid w:val="00454E59"/>
    <w:rsid w:val="00454F4C"/>
    <w:rsid w:val="004550B7"/>
    <w:rsid w:val="00455347"/>
    <w:rsid w:val="00455895"/>
    <w:rsid w:val="00455EAA"/>
    <w:rsid w:val="00455FBF"/>
    <w:rsid w:val="00456261"/>
    <w:rsid w:val="0045634A"/>
    <w:rsid w:val="00456494"/>
    <w:rsid w:val="004564F0"/>
    <w:rsid w:val="004565DA"/>
    <w:rsid w:val="00456A28"/>
    <w:rsid w:val="00457408"/>
    <w:rsid w:val="00457582"/>
    <w:rsid w:val="004577E1"/>
    <w:rsid w:val="00457806"/>
    <w:rsid w:val="0045792F"/>
    <w:rsid w:val="0045799A"/>
    <w:rsid w:val="00457D14"/>
    <w:rsid w:val="00457E92"/>
    <w:rsid w:val="004601A5"/>
    <w:rsid w:val="00460345"/>
    <w:rsid w:val="00460396"/>
    <w:rsid w:val="00460484"/>
    <w:rsid w:val="00460673"/>
    <w:rsid w:val="00460AE0"/>
    <w:rsid w:val="00460AE8"/>
    <w:rsid w:val="00460BAE"/>
    <w:rsid w:val="00460E00"/>
    <w:rsid w:val="00460F36"/>
    <w:rsid w:val="00461AE5"/>
    <w:rsid w:val="00461C94"/>
    <w:rsid w:val="00461F7D"/>
    <w:rsid w:val="00461F7E"/>
    <w:rsid w:val="004622FD"/>
    <w:rsid w:val="00462598"/>
    <w:rsid w:val="00463116"/>
    <w:rsid w:val="00463490"/>
    <w:rsid w:val="00463571"/>
    <w:rsid w:val="00463971"/>
    <w:rsid w:val="0046408E"/>
    <w:rsid w:val="004641DC"/>
    <w:rsid w:val="0046455E"/>
    <w:rsid w:val="0046483E"/>
    <w:rsid w:val="004648BC"/>
    <w:rsid w:val="00464B17"/>
    <w:rsid w:val="00464BA1"/>
    <w:rsid w:val="00464DC7"/>
    <w:rsid w:val="00464F60"/>
    <w:rsid w:val="004651D9"/>
    <w:rsid w:val="0046593B"/>
    <w:rsid w:val="00465BE0"/>
    <w:rsid w:val="00465F72"/>
    <w:rsid w:val="0046622D"/>
    <w:rsid w:val="00466326"/>
    <w:rsid w:val="004664AD"/>
    <w:rsid w:val="00466A9D"/>
    <w:rsid w:val="00466B71"/>
    <w:rsid w:val="00466BDF"/>
    <w:rsid w:val="00467047"/>
    <w:rsid w:val="0046769E"/>
    <w:rsid w:val="00467894"/>
    <w:rsid w:val="00467A19"/>
    <w:rsid w:val="00467AE4"/>
    <w:rsid w:val="00467B31"/>
    <w:rsid w:val="00470048"/>
    <w:rsid w:val="004703E0"/>
    <w:rsid w:val="00470746"/>
    <w:rsid w:val="00470BEA"/>
    <w:rsid w:val="00470E70"/>
    <w:rsid w:val="00471060"/>
    <w:rsid w:val="004716AC"/>
    <w:rsid w:val="004718BB"/>
    <w:rsid w:val="00471A6C"/>
    <w:rsid w:val="00471B32"/>
    <w:rsid w:val="00471E07"/>
    <w:rsid w:val="00472332"/>
    <w:rsid w:val="004727F8"/>
    <w:rsid w:val="004729F3"/>
    <w:rsid w:val="00472A7E"/>
    <w:rsid w:val="004730C2"/>
    <w:rsid w:val="0047336D"/>
    <w:rsid w:val="004738A6"/>
    <w:rsid w:val="004738F7"/>
    <w:rsid w:val="004739EA"/>
    <w:rsid w:val="00473C3D"/>
    <w:rsid w:val="00473DD3"/>
    <w:rsid w:val="004754C4"/>
    <w:rsid w:val="0047594F"/>
    <w:rsid w:val="004759E3"/>
    <w:rsid w:val="00475A3A"/>
    <w:rsid w:val="00475CA3"/>
    <w:rsid w:val="0047633B"/>
    <w:rsid w:val="00476363"/>
    <w:rsid w:val="004763AF"/>
    <w:rsid w:val="00476EF3"/>
    <w:rsid w:val="00476FE5"/>
    <w:rsid w:val="00477200"/>
    <w:rsid w:val="00477718"/>
    <w:rsid w:val="00477766"/>
    <w:rsid w:val="004777A2"/>
    <w:rsid w:val="00480007"/>
    <w:rsid w:val="004801CB"/>
    <w:rsid w:val="00480416"/>
    <w:rsid w:val="00480A88"/>
    <w:rsid w:val="00481013"/>
    <w:rsid w:val="0048119F"/>
    <w:rsid w:val="00481238"/>
    <w:rsid w:val="00481423"/>
    <w:rsid w:val="00481735"/>
    <w:rsid w:val="0048178E"/>
    <w:rsid w:val="0048196D"/>
    <w:rsid w:val="00481DBF"/>
    <w:rsid w:val="00482467"/>
    <w:rsid w:val="00483350"/>
    <w:rsid w:val="0048344A"/>
    <w:rsid w:val="00483673"/>
    <w:rsid w:val="00483ABD"/>
    <w:rsid w:val="00483E1A"/>
    <w:rsid w:val="00483FB7"/>
    <w:rsid w:val="00484280"/>
    <w:rsid w:val="0048454C"/>
    <w:rsid w:val="00484586"/>
    <w:rsid w:val="00484883"/>
    <w:rsid w:val="00484C8B"/>
    <w:rsid w:val="00485114"/>
    <w:rsid w:val="0048552F"/>
    <w:rsid w:val="00485FFF"/>
    <w:rsid w:val="004860C0"/>
    <w:rsid w:val="00486134"/>
    <w:rsid w:val="004865F1"/>
    <w:rsid w:val="00486782"/>
    <w:rsid w:val="00486B95"/>
    <w:rsid w:val="00486EA1"/>
    <w:rsid w:val="00487074"/>
    <w:rsid w:val="0048708D"/>
    <w:rsid w:val="0048716F"/>
    <w:rsid w:val="00487614"/>
    <w:rsid w:val="00490314"/>
    <w:rsid w:val="0049043B"/>
    <w:rsid w:val="0049072A"/>
    <w:rsid w:val="00490B68"/>
    <w:rsid w:val="00490B7C"/>
    <w:rsid w:val="00490FCE"/>
    <w:rsid w:val="00490FF7"/>
    <w:rsid w:val="004910C6"/>
    <w:rsid w:val="0049155C"/>
    <w:rsid w:val="00491A05"/>
    <w:rsid w:val="00491A6E"/>
    <w:rsid w:val="00491FC7"/>
    <w:rsid w:val="00493058"/>
    <w:rsid w:val="004930F6"/>
    <w:rsid w:val="0049323C"/>
    <w:rsid w:val="00493247"/>
    <w:rsid w:val="004933EF"/>
    <w:rsid w:val="00493B5E"/>
    <w:rsid w:val="00493F8B"/>
    <w:rsid w:val="0049416F"/>
    <w:rsid w:val="00494827"/>
    <w:rsid w:val="00494894"/>
    <w:rsid w:val="004948C9"/>
    <w:rsid w:val="00494CF1"/>
    <w:rsid w:val="00494D7D"/>
    <w:rsid w:val="004950FC"/>
    <w:rsid w:val="00495404"/>
    <w:rsid w:val="004954F4"/>
    <w:rsid w:val="00495EB6"/>
    <w:rsid w:val="00496099"/>
    <w:rsid w:val="00496318"/>
    <w:rsid w:val="004966CF"/>
    <w:rsid w:val="00496991"/>
    <w:rsid w:val="00496F11"/>
    <w:rsid w:val="00497931"/>
    <w:rsid w:val="00497E24"/>
    <w:rsid w:val="00497F7F"/>
    <w:rsid w:val="00497FC8"/>
    <w:rsid w:val="004A012F"/>
    <w:rsid w:val="004A031E"/>
    <w:rsid w:val="004A064D"/>
    <w:rsid w:val="004A0879"/>
    <w:rsid w:val="004A1052"/>
    <w:rsid w:val="004A14BC"/>
    <w:rsid w:val="004A16D5"/>
    <w:rsid w:val="004A1E21"/>
    <w:rsid w:val="004A27C3"/>
    <w:rsid w:val="004A2891"/>
    <w:rsid w:val="004A2898"/>
    <w:rsid w:val="004A327B"/>
    <w:rsid w:val="004A3594"/>
    <w:rsid w:val="004A3625"/>
    <w:rsid w:val="004A3764"/>
    <w:rsid w:val="004A39C5"/>
    <w:rsid w:val="004A3D93"/>
    <w:rsid w:val="004A3EFD"/>
    <w:rsid w:val="004A3F27"/>
    <w:rsid w:val="004A4165"/>
    <w:rsid w:val="004A497D"/>
    <w:rsid w:val="004A507F"/>
    <w:rsid w:val="004A5555"/>
    <w:rsid w:val="004A59FA"/>
    <w:rsid w:val="004A6A00"/>
    <w:rsid w:val="004A6C1E"/>
    <w:rsid w:val="004A6E7B"/>
    <w:rsid w:val="004A715E"/>
    <w:rsid w:val="004A751E"/>
    <w:rsid w:val="004A7A66"/>
    <w:rsid w:val="004A7BBC"/>
    <w:rsid w:val="004A7E39"/>
    <w:rsid w:val="004B0502"/>
    <w:rsid w:val="004B087B"/>
    <w:rsid w:val="004B08CE"/>
    <w:rsid w:val="004B0CB0"/>
    <w:rsid w:val="004B132E"/>
    <w:rsid w:val="004B1880"/>
    <w:rsid w:val="004B198D"/>
    <w:rsid w:val="004B1E7C"/>
    <w:rsid w:val="004B278D"/>
    <w:rsid w:val="004B2B3D"/>
    <w:rsid w:val="004B3717"/>
    <w:rsid w:val="004B375A"/>
    <w:rsid w:val="004B3AD2"/>
    <w:rsid w:val="004B3B7B"/>
    <w:rsid w:val="004B3F60"/>
    <w:rsid w:val="004B4AD6"/>
    <w:rsid w:val="004B4B18"/>
    <w:rsid w:val="004B505A"/>
    <w:rsid w:val="004B5138"/>
    <w:rsid w:val="004B5251"/>
    <w:rsid w:val="004B52AB"/>
    <w:rsid w:val="004B55DB"/>
    <w:rsid w:val="004B56D8"/>
    <w:rsid w:val="004B5845"/>
    <w:rsid w:val="004B6D51"/>
    <w:rsid w:val="004B7282"/>
    <w:rsid w:val="004B7845"/>
    <w:rsid w:val="004B788C"/>
    <w:rsid w:val="004B7E46"/>
    <w:rsid w:val="004C0043"/>
    <w:rsid w:val="004C01E7"/>
    <w:rsid w:val="004C02D3"/>
    <w:rsid w:val="004C02F6"/>
    <w:rsid w:val="004C0310"/>
    <w:rsid w:val="004C0745"/>
    <w:rsid w:val="004C08A6"/>
    <w:rsid w:val="004C0B06"/>
    <w:rsid w:val="004C0B82"/>
    <w:rsid w:val="004C0D3F"/>
    <w:rsid w:val="004C0DDA"/>
    <w:rsid w:val="004C147A"/>
    <w:rsid w:val="004C163D"/>
    <w:rsid w:val="004C1771"/>
    <w:rsid w:val="004C17D6"/>
    <w:rsid w:val="004C1809"/>
    <w:rsid w:val="004C18F8"/>
    <w:rsid w:val="004C1BBB"/>
    <w:rsid w:val="004C2133"/>
    <w:rsid w:val="004C2B16"/>
    <w:rsid w:val="004C2EA1"/>
    <w:rsid w:val="004C2F9E"/>
    <w:rsid w:val="004C321F"/>
    <w:rsid w:val="004C3838"/>
    <w:rsid w:val="004C3CB8"/>
    <w:rsid w:val="004C3CF1"/>
    <w:rsid w:val="004C4C8F"/>
    <w:rsid w:val="004C50B2"/>
    <w:rsid w:val="004C5754"/>
    <w:rsid w:val="004C5A31"/>
    <w:rsid w:val="004C60F6"/>
    <w:rsid w:val="004C636F"/>
    <w:rsid w:val="004C67B7"/>
    <w:rsid w:val="004C6841"/>
    <w:rsid w:val="004C6F70"/>
    <w:rsid w:val="004C7488"/>
    <w:rsid w:val="004C7B7B"/>
    <w:rsid w:val="004C7C05"/>
    <w:rsid w:val="004C7C30"/>
    <w:rsid w:val="004D0574"/>
    <w:rsid w:val="004D071D"/>
    <w:rsid w:val="004D0C7C"/>
    <w:rsid w:val="004D118B"/>
    <w:rsid w:val="004D1747"/>
    <w:rsid w:val="004D1DC9"/>
    <w:rsid w:val="004D21AD"/>
    <w:rsid w:val="004D26DE"/>
    <w:rsid w:val="004D2772"/>
    <w:rsid w:val="004D2FEF"/>
    <w:rsid w:val="004D3125"/>
    <w:rsid w:val="004D39E2"/>
    <w:rsid w:val="004D3AA6"/>
    <w:rsid w:val="004D3D3C"/>
    <w:rsid w:val="004D3D6A"/>
    <w:rsid w:val="004D41B8"/>
    <w:rsid w:val="004D4266"/>
    <w:rsid w:val="004D4851"/>
    <w:rsid w:val="004D4D51"/>
    <w:rsid w:val="004D5170"/>
    <w:rsid w:val="004D58C9"/>
    <w:rsid w:val="004D5ADC"/>
    <w:rsid w:val="004D6632"/>
    <w:rsid w:val="004D6640"/>
    <w:rsid w:val="004D67EC"/>
    <w:rsid w:val="004D688F"/>
    <w:rsid w:val="004D68E3"/>
    <w:rsid w:val="004D6A72"/>
    <w:rsid w:val="004D6DFD"/>
    <w:rsid w:val="004D7093"/>
    <w:rsid w:val="004D72C1"/>
    <w:rsid w:val="004D7392"/>
    <w:rsid w:val="004D7396"/>
    <w:rsid w:val="004D73B3"/>
    <w:rsid w:val="004D7B7D"/>
    <w:rsid w:val="004E10C9"/>
    <w:rsid w:val="004E1174"/>
    <w:rsid w:val="004E11D3"/>
    <w:rsid w:val="004E129F"/>
    <w:rsid w:val="004E1852"/>
    <w:rsid w:val="004E22A3"/>
    <w:rsid w:val="004E2305"/>
    <w:rsid w:val="004E242F"/>
    <w:rsid w:val="004E298B"/>
    <w:rsid w:val="004E29C6"/>
    <w:rsid w:val="004E2C77"/>
    <w:rsid w:val="004E3215"/>
    <w:rsid w:val="004E33BE"/>
    <w:rsid w:val="004E3A1A"/>
    <w:rsid w:val="004E3E8F"/>
    <w:rsid w:val="004E4095"/>
    <w:rsid w:val="004E4A08"/>
    <w:rsid w:val="004E4A88"/>
    <w:rsid w:val="004E4DCD"/>
    <w:rsid w:val="004E4F2C"/>
    <w:rsid w:val="004E50E2"/>
    <w:rsid w:val="004E5268"/>
    <w:rsid w:val="004E5AC1"/>
    <w:rsid w:val="004E5C07"/>
    <w:rsid w:val="004E5E6C"/>
    <w:rsid w:val="004E5EEE"/>
    <w:rsid w:val="004E6082"/>
    <w:rsid w:val="004E6683"/>
    <w:rsid w:val="004E66A9"/>
    <w:rsid w:val="004E6832"/>
    <w:rsid w:val="004E6B7C"/>
    <w:rsid w:val="004E6F55"/>
    <w:rsid w:val="004E7C5F"/>
    <w:rsid w:val="004F0B55"/>
    <w:rsid w:val="004F0EF1"/>
    <w:rsid w:val="004F152C"/>
    <w:rsid w:val="004F188D"/>
    <w:rsid w:val="004F1FE0"/>
    <w:rsid w:val="004F2945"/>
    <w:rsid w:val="004F29A6"/>
    <w:rsid w:val="004F2F0A"/>
    <w:rsid w:val="004F2FEE"/>
    <w:rsid w:val="004F3569"/>
    <w:rsid w:val="004F366F"/>
    <w:rsid w:val="004F3A21"/>
    <w:rsid w:val="004F3C97"/>
    <w:rsid w:val="004F3F7A"/>
    <w:rsid w:val="004F41FD"/>
    <w:rsid w:val="004F43F9"/>
    <w:rsid w:val="004F47F1"/>
    <w:rsid w:val="004F5344"/>
    <w:rsid w:val="004F570C"/>
    <w:rsid w:val="004F5951"/>
    <w:rsid w:val="004F59D0"/>
    <w:rsid w:val="004F5A28"/>
    <w:rsid w:val="004F5E43"/>
    <w:rsid w:val="004F69EF"/>
    <w:rsid w:val="004F6AD8"/>
    <w:rsid w:val="004F71F6"/>
    <w:rsid w:val="004F7468"/>
    <w:rsid w:val="004F7BA3"/>
    <w:rsid w:val="004F7D30"/>
    <w:rsid w:val="00500003"/>
    <w:rsid w:val="005004A6"/>
    <w:rsid w:val="0050066C"/>
    <w:rsid w:val="00500698"/>
    <w:rsid w:val="00500C9D"/>
    <w:rsid w:val="005014A3"/>
    <w:rsid w:val="00501688"/>
    <w:rsid w:val="005018E5"/>
    <w:rsid w:val="00501E0B"/>
    <w:rsid w:val="00501F07"/>
    <w:rsid w:val="00502F20"/>
    <w:rsid w:val="00503607"/>
    <w:rsid w:val="00503B2C"/>
    <w:rsid w:val="00503C39"/>
    <w:rsid w:val="00503CEE"/>
    <w:rsid w:val="00503DAF"/>
    <w:rsid w:val="00504103"/>
    <w:rsid w:val="00504273"/>
    <w:rsid w:val="005043BB"/>
    <w:rsid w:val="005044C4"/>
    <w:rsid w:val="00505202"/>
    <w:rsid w:val="00505A59"/>
    <w:rsid w:val="00505CF9"/>
    <w:rsid w:val="00505D42"/>
    <w:rsid w:val="005060DC"/>
    <w:rsid w:val="00506528"/>
    <w:rsid w:val="005066A7"/>
    <w:rsid w:val="005066F5"/>
    <w:rsid w:val="005068C1"/>
    <w:rsid w:val="005068ED"/>
    <w:rsid w:val="005069A7"/>
    <w:rsid w:val="00506C83"/>
    <w:rsid w:val="00506F13"/>
    <w:rsid w:val="0050701D"/>
    <w:rsid w:val="005072B7"/>
    <w:rsid w:val="0050740F"/>
    <w:rsid w:val="00507919"/>
    <w:rsid w:val="00507986"/>
    <w:rsid w:val="00507E4E"/>
    <w:rsid w:val="005105E4"/>
    <w:rsid w:val="00510AC6"/>
    <w:rsid w:val="005110D5"/>
    <w:rsid w:val="00511642"/>
    <w:rsid w:val="00511660"/>
    <w:rsid w:val="005116B1"/>
    <w:rsid w:val="00511937"/>
    <w:rsid w:val="00512112"/>
    <w:rsid w:val="00512B0C"/>
    <w:rsid w:val="00512D66"/>
    <w:rsid w:val="00513112"/>
    <w:rsid w:val="00513114"/>
    <w:rsid w:val="0051325C"/>
    <w:rsid w:val="00514079"/>
    <w:rsid w:val="0051429A"/>
    <w:rsid w:val="005142FC"/>
    <w:rsid w:val="005145A9"/>
    <w:rsid w:val="00514805"/>
    <w:rsid w:val="00514C0F"/>
    <w:rsid w:val="00514CB7"/>
    <w:rsid w:val="00514E96"/>
    <w:rsid w:val="00515104"/>
    <w:rsid w:val="00515468"/>
    <w:rsid w:val="00515612"/>
    <w:rsid w:val="00515BE1"/>
    <w:rsid w:val="00515C8A"/>
    <w:rsid w:val="00515F5F"/>
    <w:rsid w:val="0051624E"/>
    <w:rsid w:val="00516430"/>
    <w:rsid w:val="0051691F"/>
    <w:rsid w:val="00516D5E"/>
    <w:rsid w:val="00517351"/>
    <w:rsid w:val="00517A21"/>
    <w:rsid w:val="00517E6E"/>
    <w:rsid w:val="00517F95"/>
    <w:rsid w:val="005201D9"/>
    <w:rsid w:val="00520444"/>
    <w:rsid w:val="005204F9"/>
    <w:rsid w:val="00520592"/>
    <w:rsid w:val="005216AE"/>
    <w:rsid w:val="00521E72"/>
    <w:rsid w:val="0052294F"/>
    <w:rsid w:val="00522D5B"/>
    <w:rsid w:val="00523145"/>
    <w:rsid w:val="005233F7"/>
    <w:rsid w:val="005235F4"/>
    <w:rsid w:val="005238F6"/>
    <w:rsid w:val="00524433"/>
    <w:rsid w:val="0052463E"/>
    <w:rsid w:val="00524E43"/>
    <w:rsid w:val="005250A0"/>
    <w:rsid w:val="005250E6"/>
    <w:rsid w:val="00525227"/>
    <w:rsid w:val="00525270"/>
    <w:rsid w:val="00525485"/>
    <w:rsid w:val="00525511"/>
    <w:rsid w:val="00525541"/>
    <w:rsid w:val="00526911"/>
    <w:rsid w:val="0052694F"/>
    <w:rsid w:val="005269DB"/>
    <w:rsid w:val="00526A5E"/>
    <w:rsid w:val="00526B28"/>
    <w:rsid w:val="00526BD5"/>
    <w:rsid w:val="00527387"/>
    <w:rsid w:val="00527A7D"/>
    <w:rsid w:val="00530383"/>
    <w:rsid w:val="00530605"/>
    <w:rsid w:val="00530D0B"/>
    <w:rsid w:val="00530D29"/>
    <w:rsid w:val="0053111B"/>
    <w:rsid w:val="00531291"/>
    <w:rsid w:val="00531477"/>
    <w:rsid w:val="005314BC"/>
    <w:rsid w:val="00531974"/>
    <w:rsid w:val="00531A87"/>
    <w:rsid w:val="00531BF2"/>
    <w:rsid w:val="00531DC1"/>
    <w:rsid w:val="00532447"/>
    <w:rsid w:val="005326A1"/>
    <w:rsid w:val="00532962"/>
    <w:rsid w:val="00532CBF"/>
    <w:rsid w:val="00532CC8"/>
    <w:rsid w:val="0053341E"/>
    <w:rsid w:val="00533D7B"/>
    <w:rsid w:val="005350F2"/>
    <w:rsid w:val="00535277"/>
    <w:rsid w:val="00535428"/>
    <w:rsid w:val="00535433"/>
    <w:rsid w:val="0053564A"/>
    <w:rsid w:val="0053566C"/>
    <w:rsid w:val="005360DB"/>
    <w:rsid w:val="005364B3"/>
    <w:rsid w:val="00536A9B"/>
    <w:rsid w:val="00536D06"/>
    <w:rsid w:val="00537EB6"/>
    <w:rsid w:val="0054006D"/>
    <w:rsid w:val="00540242"/>
    <w:rsid w:val="00540385"/>
    <w:rsid w:val="00540487"/>
    <w:rsid w:val="005408A6"/>
    <w:rsid w:val="005409C5"/>
    <w:rsid w:val="00540A7C"/>
    <w:rsid w:val="00540AE1"/>
    <w:rsid w:val="0054130A"/>
    <w:rsid w:val="00541F9D"/>
    <w:rsid w:val="00542347"/>
    <w:rsid w:val="00542683"/>
    <w:rsid w:val="0054272D"/>
    <w:rsid w:val="005429D5"/>
    <w:rsid w:val="00542E46"/>
    <w:rsid w:val="00543055"/>
    <w:rsid w:val="00543B88"/>
    <w:rsid w:val="00543FAE"/>
    <w:rsid w:val="00544292"/>
    <w:rsid w:val="005443CE"/>
    <w:rsid w:val="0054480C"/>
    <w:rsid w:val="005448AD"/>
    <w:rsid w:val="00544944"/>
    <w:rsid w:val="00545183"/>
    <w:rsid w:val="0054527E"/>
    <w:rsid w:val="0054532A"/>
    <w:rsid w:val="005456EC"/>
    <w:rsid w:val="00545850"/>
    <w:rsid w:val="00546072"/>
    <w:rsid w:val="00546A35"/>
    <w:rsid w:val="00547154"/>
    <w:rsid w:val="00547B32"/>
    <w:rsid w:val="00547BBD"/>
    <w:rsid w:val="00547BF0"/>
    <w:rsid w:val="00547E58"/>
    <w:rsid w:val="005500C8"/>
    <w:rsid w:val="005500EF"/>
    <w:rsid w:val="00550167"/>
    <w:rsid w:val="005504BC"/>
    <w:rsid w:val="00550884"/>
    <w:rsid w:val="00550B10"/>
    <w:rsid w:val="00550C0F"/>
    <w:rsid w:val="00550D3D"/>
    <w:rsid w:val="00551129"/>
    <w:rsid w:val="00551514"/>
    <w:rsid w:val="00551BAD"/>
    <w:rsid w:val="00551EF0"/>
    <w:rsid w:val="00551F7D"/>
    <w:rsid w:val="005520B6"/>
    <w:rsid w:val="00552EAF"/>
    <w:rsid w:val="005530BE"/>
    <w:rsid w:val="005530E0"/>
    <w:rsid w:val="00553901"/>
    <w:rsid w:val="00553CDA"/>
    <w:rsid w:val="005542CB"/>
    <w:rsid w:val="00554795"/>
    <w:rsid w:val="0055481B"/>
    <w:rsid w:val="00554902"/>
    <w:rsid w:val="00554B1C"/>
    <w:rsid w:val="00554C8F"/>
    <w:rsid w:val="00555167"/>
    <w:rsid w:val="00555845"/>
    <w:rsid w:val="00555B6F"/>
    <w:rsid w:val="00555BEE"/>
    <w:rsid w:val="00555D6B"/>
    <w:rsid w:val="00555E78"/>
    <w:rsid w:val="00555F1A"/>
    <w:rsid w:val="00556910"/>
    <w:rsid w:val="00556C5E"/>
    <w:rsid w:val="00556DDD"/>
    <w:rsid w:val="00556DEA"/>
    <w:rsid w:val="00556EFF"/>
    <w:rsid w:val="00556F03"/>
    <w:rsid w:val="00557662"/>
    <w:rsid w:val="00557A2B"/>
    <w:rsid w:val="00560019"/>
    <w:rsid w:val="005600A8"/>
    <w:rsid w:val="00560269"/>
    <w:rsid w:val="00560465"/>
    <w:rsid w:val="005606C9"/>
    <w:rsid w:val="0056070C"/>
    <w:rsid w:val="00560972"/>
    <w:rsid w:val="0056114C"/>
    <w:rsid w:val="0056134C"/>
    <w:rsid w:val="005616BF"/>
    <w:rsid w:val="00561893"/>
    <w:rsid w:val="005618F1"/>
    <w:rsid w:val="00561ABA"/>
    <w:rsid w:val="00561F12"/>
    <w:rsid w:val="005620EE"/>
    <w:rsid w:val="00562485"/>
    <w:rsid w:val="00562857"/>
    <w:rsid w:val="005628A3"/>
    <w:rsid w:val="00562B6C"/>
    <w:rsid w:val="00562C57"/>
    <w:rsid w:val="00562F33"/>
    <w:rsid w:val="0056396A"/>
    <w:rsid w:val="00563F7B"/>
    <w:rsid w:val="005640A6"/>
    <w:rsid w:val="005641DD"/>
    <w:rsid w:val="00564981"/>
    <w:rsid w:val="005649AF"/>
    <w:rsid w:val="00564A9A"/>
    <w:rsid w:val="00564C2A"/>
    <w:rsid w:val="0056538D"/>
    <w:rsid w:val="00565667"/>
    <w:rsid w:val="00565C53"/>
    <w:rsid w:val="00565FF8"/>
    <w:rsid w:val="00566616"/>
    <w:rsid w:val="0056664A"/>
    <w:rsid w:val="005666BF"/>
    <w:rsid w:val="00566BE3"/>
    <w:rsid w:val="00566F6A"/>
    <w:rsid w:val="005679A8"/>
    <w:rsid w:val="00567A8D"/>
    <w:rsid w:val="00567EEE"/>
    <w:rsid w:val="0057016D"/>
    <w:rsid w:val="00570890"/>
    <w:rsid w:val="005709AA"/>
    <w:rsid w:val="00570ADE"/>
    <w:rsid w:val="00570BBC"/>
    <w:rsid w:val="00570F8E"/>
    <w:rsid w:val="0057177C"/>
    <w:rsid w:val="005717A7"/>
    <w:rsid w:val="00571844"/>
    <w:rsid w:val="005719FD"/>
    <w:rsid w:val="00571B06"/>
    <w:rsid w:val="00571D6F"/>
    <w:rsid w:val="00571EE4"/>
    <w:rsid w:val="00571FC7"/>
    <w:rsid w:val="00572118"/>
    <w:rsid w:val="00572312"/>
    <w:rsid w:val="00572889"/>
    <w:rsid w:val="00572D5A"/>
    <w:rsid w:val="0057302A"/>
    <w:rsid w:val="005731B8"/>
    <w:rsid w:val="00573359"/>
    <w:rsid w:val="00573746"/>
    <w:rsid w:val="005739EB"/>
    <w:rsid w:val="00573C9E"/>
    <w:rsid w:val="00573F42"/>
    <w:rsid w:val="00574594"/>
    <w:rsid w:val="005745D7"/>
    <w:rsid w:val="00574A89"/>
    <w:rsid w:val="00574C11"/>
    <w:rsid w:val="00574FBE"/>
    <w:rsid w:val="005752B2"/>
    <w:rsid w:val="00575702"/>
    <w:rsid w:val="00575725"/>
    <w:rsid w:val="0057586B"/>
    <w:rsid w:val="00575FEA"/>
    <w:rsid w:val="00575FFA"/>
    <w:rsid w:val="00576B63"/>
    <w:rsid w:val="00576BF8"/>
    <w:rsid w:val="00576F30"/>
    <w:rsid w:val="00577C70"/>
    <w:rsid w:val="00577E36"/>
    <w:rsid w:val="00580110"/>
    <w:rsid w:val="005801A8"/>
    <w:rsid w:val="0058024D"/>
    <w:rsid w:val="0058061A"/>
    <w:rsid w:val="005806BD"/>
    <w:rsid w:val="00580F1F"/>
    <w:rsid w:val="0058156B"/>
    <w:rsid w:val="00581ED0"/>
    <w:rsid w:val="0058204C"/>
    <w:rsid w:val="00582997"/>
    <w:rsid w:val="00582BA9"/>
    <w:rsid w:val="00582CD9"/>
    <w:rsid w:val="00583377"/>
    <w:rsid w:val="00583546"/>
    <w:rsid w:val="0058369D"/>
    <w:rsid w:val="00583AB2"/>
    <w:rsid w:val="00583C88"/>
    <w:rsid w:val="0058412E"/>
    <w:rsid w:val="005842FE"/>
    <w:rsid w:val="00584B91"/>
    <w:rsid w:val="005850E6"/>
    <w:rsid w:val="0058545B"/>
    <w:rsid w:val="00585774"/>
    <w:rsid w:val="00585807"/>
    <w:rsid w:val="00586357"/>
    <w:rsid w:val="005865AB"/>
    <w:rsid w:val="005868EC"/>
    <w:rsid w:val="00586C61"/>
    <w:rsid w:val="00586CE4"/>
    <w:rsid w:val="00586D82"/>
    <w:rsid w:val="005875FD"/>
    <w:rsid w:val="005876F2"/>
    <w:rsid w:val="005879B8"/>
    <w:rsid w:val="005900E4"/>
    <w:rsid w:val="005901B1"/>
    <w:rsid w:val="00590602"/>
    <w:rsid w:val="0059068E"/>
    <w:rsid w:val="005907F2"/>
    <w:rsid w:val="00590853"/>
    <w:rsid w:val="00590EFB"/>
    <w:rsid w:val="00590F73"/>
    <w:rsid w:val="00590FCD"/>
    <w:rsid w:val="00591130"/>
    <w:rsid w:val="00591422"/>
    <w:rsid w:val="00591853"/>
    <w:rsid w:val="005918F5"/>
    <w:rsid w:val="00591AE3"/>
    <w:rsid w:val="00591CE2"/>
    <w:rsid w:val="00592433"/>
    <w:rsid w:val="005926EB"/>
    <w:rsid w:val="00593648"/>
    <w:rsid w:val="00593788"/>
    <w:rsid w:val="005940AD"/>
    <w:rsid w:val="00594141"/>
    <w:rsid w:val="00594724"/>
    <w:rsid w:val="00594AC6"/>
    <w:rsid w:val="00594B4C"/>
    <w:rsid w:val="00594BC1"/>
    <w:rsid w:val="00594F99"/>
    <w:rsid w:val="00595280"/>
    <w:rsid w:val="00595A48"/>
    <w:rsid w:val="0059679F"/>
    <w:rsid w:val="00596AEC"/>
    <w:rsid w:val="00596DC7"/>
    <w:rsid w:val="00596F19"/>
    <w:rsid w:val="00596F8C"/>
    <w:rsid w:val="005970B5"/>
    <w:rsid w:val="005971A5"/>
    <w:rsid w:val="00597453"/>
    <w:rsid w:val="0059771D"/>
    <w:rsid w:val="00597882"/>
    <w:rsid w:val="005978D0"/>
    <w:rsid w:val="005A0026"/>
    <w:rsid w:val="005A01DF"/>
    <w:rsid w:val="005A084B"/>
    <w:rsid w:val="005A0877"/>
    <w:rsid w:val="005A0A10"/>
    <w:rsid w:val="005A0B86"/>
    <w:rsid w:val="005A18DB"/>
    <w:rsid w:val="005A1CDE"/>
    <w:rsid w:val="005A276C"/>
    <w:rsid w:val="005A2BF1"/>
    <w:rsid w:val="005A2DB4"/>
    <w:rsid w:val="005A2DC8"/>
    <w:rsid w:val="005A2FC0"/>
    <w:rsid w:val="005A3505"/>
    <w:rsid w:val="005A35D6"/>
    <w:rsid w:val="005A3880"/>
    <w:rsid w:val="005A3AE4"/>
    <w:rsid w:val="005A3CE8"/>
    <w:rsid w:val="005A408A"/>
    <w:rsid w:val="005A4152"/>
    <w:rsid w:val="005A473C"/>
    <w:rsid w:val="005A4903"/>
    <w:rsid w:val="005A4C48"/>
    <w:rsid w:val="005A5B98"/>
    <w:rsid w:val="005A5EE4"/>
    <w:rsid w:val="005A6408"/>
    <w:rsid w:val="005A64CF"/>
    <w:rsid w:val="005A66D5"/>
    <w:rsid w:val="005A66F6"/>
    <w:rsid w:val="005A6B92"/>
    <w:rsid w:val="005A6E04"/>
    <w:rsid w:val="005A6F65"/>
    <w:rsid w:val="005A70ED"/>
    <w:rsid w:val="005A7A14"/>
    <w:rsid w:val="005B03A7"/>
    <w:rsid w:val="005B03B7"/>
    <w:rsid w:val="005B0587"/>
    <w:rsid w:val="005B07C5"/>
    <w:rsid w:val="005B0D35"/>
    <w:rsid w:val="005B0F4D"/>
    <w:rsid w:val="005B10B8"/>
    <w:rsid w:val="005B1434"/>
    <w:rsid w:val="005B1710"/>
    <w:rsid w:val="005B1A0D"/>
    <w:rsid w:val="005B214E"/>
    <w:rsid w:val="005B26E9"/>
    <w:rsid w:val="005B2EB8"/>
    <w:rsid w:val="005B3084"/>
    <w:rsid w:val="005B341F"/>
    <w:rsid w:val="005B351B"/>
    <w:rsid w:val="005B37D2"/>
    <w:rsid w:val="005B3C88"/>
    <w:rsid w:val="005B3EF9"/>
    <w:rsid w:val="005B40A5"/>
    <w:rsid w:val="005B432F"/>
    <w:rsid w:val="005B44D6"/>
    <w:rsid w:val="005B4BBC"/>
    <w:rsid w:val="005B5095"/>
    <w:rsid w:val="005B5327"/>
    <w:rsid w:val="005B53B0"/>
    <w:rsid w:val="005B5651"/>
    <w:rsid w:val="005B577F"/>
    <w:rsid w:val="005B5E9C"/>
    <w:rsid w:val="005B5F66"/>
    <w:rsid w:val="005B613F"/>
    <w:rsid w:val="005B69B8"/>
    <w:rsid w:val="005B6CEB"/>
    <w:rsid w:val="005B7358"/>
    <w:rsid w:val="005B7BDF"/>
    <w:rsid w:val="005B7DAE"/>
    <w:rsid w:val="005C00BA"/>
    <w:rsid w:val="005C04A6"/>
    <w:rsid w:val="005C04FC"/>
    <w:rsid w:val="005C05BC"/>
    <w:rsid w:val="005C05FC"/>
    <w:rsid w:val="005C0CF2"/>
    <w:rsid w:val="005C0E7F"/>
    <w:rsid w:val="005C104D"/>
    <w:rsid w:val="005C1DF7"/>
    <w:rsid w:val="005C2345"/>
    <w:rsid w:val="005C28D6"/>
    <w:rsid w:val="005C2950"/>
    <w:rsid w:val="005C300A"/>
    <w:rsid w:val="005C305D"/>
    <w:rsid w:val="005C3EB0"/>
    <w:rsid w:val="005C3ECE"/>
    <w:rsid w:val="005C3FEE"/>
    <w:rsid w:val="005C4396"/>
    <w:rsid w:val="005C4A7A"/>
    <w:rsid w:val="005C4E48"/>
    <w:rsid w:val="005C5063"/>
    <w:rsid w:val="005C5E5B"/>
    <w:rsid w:val="005C6030"/>
    <w:rsid w:val="005C61DA"/>
    <w:rsid w:val="005C6ACE"/>
    <w:rsid w:val="005C6DA3"/>
    <w:rsid w:val="005C7F74"/>
    <w:rsid w:val="005D05A2"/>
    <w:rsid w:val="005D0617"/>
    <w:rsid w:val="005D0737"/>
    <w:rsid w:val="005D0BD1"/>
    <w:rsid w:val="005D1B33"/>
    <w:rsid w:val="005D1F90"/>
    <w:rsid w:val="005D2151"/>
    <w:rsid w:val="005D276E"/>
    <w:rsid w:val="005D27B6"/>
    <w:rsid w:val="005D27B8"/>
    <w:rsid w:val="005D282A"/>
    <w:rsid w:val="005D2E03"/>
    <w:rsid w:val="005D3A95"/>
    <w:rsid w:val="005D3C6A"/>
    <w:rsid w:val="005D3E03"/>
    <w:rsid w:val="005D3E14"/>
    <w:rsid w:val="005D3EC6"/>
    <w:rsid w:val="005D42D2"/>
    <w:rsid w:val="005D44A0"/>
    <w:rsid w:val="005D4544"/>
    <w:rsid w:val="005D4D1C"/>
    <w:rsid w:val="005D4F09"/>
    <w:rsid w:val="005D50B4"/>
    <w:rsid w:val="005D5178"/>
    <w:rsid w:val="005D64F0"/>
    <w:rsid w:val="005D670F"/>
    <w:rsid w:val="005D6EA8"/>
    <w:rsid w:val="005D6F05"/>
    <w:rsid w:val="005D7106"/>
    <w:rsid w:val="005D725A"/>
    <w:rsid w:val="005D7347"/>
    <w:rsid w:val="005D7432"/>
    <w:rsid w:val="005D7B35"/>
    <w:rsid w:val="005D7F23"/>
    <w:rsid w:val="005E0218"/>
    <w:rsid w:val="005E082B"/>
    <w:rsid w:val="005E0952"/>
    <w:rsid w:val="005E0D2D"/>
    <w:rsid w:val="005E10E3"/>
    <w:rsid w:val="005E173C"/>
    <w:rsid w:val="005E18CF"/>
    <w:rsid w:val="005E1BB2"/>
    <w:rsid w:val="005E26B4"/>
    <w:rsid w:val="005E2794"/>
    <w:rsid w:val="005E31FE"/>
    <w:rsid w:val="005E3A8E"/>
    <w:rsid w:val="005E3CF2"/>
    <w:rsid w:val="005E3FC7"/>
    <w:rsid w:val="005E407B"/>
    <w:rsid w:val="005E4C09"/>
    <w:rsid w:val="005E5022"/>
    <w:rsid w:val="005E5090"/>
    <w:rsid w:val="005E5149"/>
    <w:rsid w:val="005E5883"/>
    <w:rsid w:val="005E5C92"/>
    <w:rsid w:val="005E5D93"/>
    <w:rsid w:val="005E5E67"/>
    <w:rsid w:val="005E5EEE"/>
    <w:rsid w:val="005E60A5"/>
    <w:rsid w:val="005E6B8B"/>
    <w:rsid w:val="005E6DAB"/>
    <w:rsid w:val="005E6DD3"/>
    <w:rsid w:val="005E7129"/>
    <w:rsid w:val="005E7222"/>
    <w:rsid w:val="005E73F6"/>
    <w:rsid w:val="005E7426"/>
    <w:rsid w:val="005E75A0"/>
    <w:rsid w:val="005E7EB7"/>
    <w:rsid w:val="005E7ED9"/>
    <w:rsid w:val="005F04C4"/>
    <w:rsid w:val="005F0E8C"/>
    <w:rsid w:val="005F1A28"/>
    <w:rsid w:val="005F2297"/>
    <w:rsid w:val="005F22B7"/>
    <w:rsid w:val="005F2393"/>
    <w:rsid w:val="005F25C2"/>
    <w:rsid w:val="005F2783"/>
    <w:rsid w:val="005F2863"/>
    <w:rsid w:val="005F2A69"/>
    <w:rsid w:val="005F32E7"/>
    <w:rsid w:val="005F32F8"/>
    <w:rsid w:val="005F361E"/>
    <w:rsid w:val="005F3C21"/>
    <w:rsid w:val="005F44C5"/>
    <w:rsid w:val="005F4B03"/>
    <w:rsid w:val="005F4C62"/>
    <w:rsid w:val="005F54D7"/>
    <w:rsid w:val="005F61C2"/>
    <w:rsid w:val="005F6524"/>
    <w:rsid w:val="005F698B"/>
    <w:rsid w:val="005F6AEB"/>
    <w:rsid w:val="005F6D8F"/>
    <w:rsid w:val="005F7180"/>
    <w:rsid w:val="005F72DC"/>
    <w:rsid w:val="005F7A02"/>
    <w:rsid w:val="006007E8"/>
    <w:rsid w:val="00600956"/>
    <w:rsid w:val="00600B87"/>
    <w:rsid w:val="00601061"/>
    <w:rsid w:val="006011E1"/>
    <w:rsid w:val="006011F1"/>
    <w:rsid w:val="00601344"/>
    <w:rsid w:val="00601EBC"/>
    <w:rsid w:val="00602049"/>
    <w:rsid w:val="0060224A"/>
    <w:rsid w:val="00602401"/>
    <w:rsid w:val="006027E7"/>
    <w:rsid w:val="00603888"/>
    <w:rsid w:val="006038A5"/>
    <w:rsid w:val="00603A97"/>
    <w:rsid w:val="00603D64"/>
    <w:rsid w:val="00604158"/>
    <w:rsid w:val="006042BB"/>
    <w:rsid w:val="006047E4"/>
    <w:rsid w:val="00604A46"/>
    <w:rsid w:val="00604E92"/>
    <w:rsid w:val="00605953"/>
    <w:rsid w:val="00605CA9"/>
    <w:rsid w:val="00605D92"/>
    <w:rsid w:val="00605DDD"/>
    <w:rsid w:val="00606456"/>
    <w:rsid w:val="0060666C"/>
    <w:rsid w:val="00606C5F"/>
    <w:rsid w:val="00606CEB"/>
    <w:rsid w:val="00606E9D"/>
    <w:rsid w:val="006070E1"/>
    <w:rsid w:val="00607150"/>
    <w:rsid w:val="006076AA"/>
    <w:rsid w:val="006077CC"/>
    <w:rsid w:val="00610355"/>
    <w:rsid w:val="00610431"/>
    <w:rsid w:val="00610489"/>
    <w:rsid w:val="00610C9A"/>
    <w:rsid w:val="00610DF2"/>
    <w:rsid w:val="00610E6B"/>
    <w:rsid w:val="0061103F"/>
    <w:rsid w:val="00611167"/>
    <w:rsid w:val="006113CE"/>
    <w:rsid w:val="00611676"/>
    <w:rsid w:val="00611805"/>
    <w:rsid w:val="0061194C"/>
    <w:rsid w:val="0061227E"/>
    <w:rsid w:val="006135AD"/>
    <w:rsid w:val="00613728"/>
    <w:rsid w:val="00613E0E"/>
    <w:rsid w:val="0061402B"/>
    <w:rsid w:val="00614074"/>
    <w:rsid w:val="00614180"/>
    <w:rsid w:val="006141E4"/>
    <w:rsid w:val="006144D2"/>
    <w:rsid w:val="006148F1"/>
    <w:rsid w:val="00614CE6"/>
    <w:rsid w:val="00615260"/>
    <w:rsid w:val="006155E8"/>
    <w:rsid w:val="0061563F"/>
    <w:rsid w:val="00615CA5"/>
    <w:rsid w:val="00615D43"/>
    <w:rsid w:val="00615FE5"/>
    <w:rsid w:val="00615FE8"/>
    <w:rsid w:val="0061620C"/>
    <w:rsid w:val="0061639A"/>
    <w:rsid w:val="006163E4"/>
    <w:rsid w:val="00616A81"/>
    <w:rsid w:val="00616BCC"/>
    <w:rsid w:val="00616E00"/>
    <w:rsid w:val="00617097"/>
    <w:rsid w:val="006175BD"/>
    <w:rsid w:val="0061761A"/>
    <w:rsid w:val="00617B94"/>
    <w:rsid w:val="00617D88"/>
    <w:rsid w:val="00620202"/>
    <w:rsid w:val="006202D3"/>
    <w:rsid w:val="006207E3"/>
    <w:rsid w:val="00620B30"/>
    <w:rsid w:val="006211EF"/>
    <w:rsid w:val="00621BC8"/>
    <w:rsid w:val="00621FDB"/>
    <w:rsid w:val="00622339"/>
    <w:rsid w:val="00622448"/>
    <w:rsid w:val="00622CB0"/>
    <w:rsid w:val="00622FF7"/>
    <w:rsid w:val="006231E0"/>
    <w:rsid w:val="0062364B"/>
    <w:rsid w:val="006239CC"/>
    <w:rsid w:val="00623DFF"/>
    <w:rsid w:val="00624299"/>
    <w:rsid w:val="006243EB"/>
    <w:rsid w:val="006248FB"/>
    <w:rsid w:val="00624A18"/>
    <w:rsid w:val="00624A85"/>
    <w:rsid w:val="00624FFB"/>
    <w:rsid w:val="0062507C"/>
    <w:rsid w:val="00625252"/>
    <w:rsid w:val="006252D1"/>
    <w:rsid w:val="00625536"/>
    <w:rsid w:val="00625A0C"/>
    <w:rsid w:val="00625AC1"/>
    <w:rsid w:val="00625B26"/>
    <w:rsid w:val="00625C73"/>
    <w:rsid w:val="00625F17"/>
    <w:rsid w:val="00625F39"/>
    <w:rsid w:val="00625FDE"/>
    <w:rsid w:val="006260CD"/>
    <w:rsid w:val="006262AA"/>
    <w:rsid w:val="00626698"/>
    <w:rsid w:val="006267F8"/>
    <w:rsid w:val="00626991"/>
    <w:rsid w:val="00627197"/>
    <w:rsid w:val="006279C7"/>
    <w:rsid w:val="00627A59"/>
    <w:rsid w:val="00627C51"/>
    <w:rsid w:val="006300CD"/>
    <w:rsid w:val="00630403"/>
    <w:rsid w:val="006306B0"/>
    <w:rsid w:val="00630726"/>
    <w:rsid w:val="00630966"/>
    <w:rsid w:val="00630EC4"/>
    <w:rsid w:val="00630EC9"/>
    <w:rsid w:val="00631059"/>
    <w:rsid w:val="00631399"/>
    <w:rsid w:val="00631678"/>
    <w:rsid w:val="00631B4C"/>
    <w:rsid w:val="00631CAE"/>
    <w:rsid w:val="00631EB0"/>
    <w:rsid w:val="0063220A"/>
    <w:rsid w:val="00632392"/>
    <w:rsid w:val="00632522"/>
    <w:rsid w:val="006328B1"/>
    <w:rsid w:val="00632CB9"/>
    <w:rsid w:val="00632FEC"/>
    <w:rsid w:val="006332BE"/>
    <w:rsid w:val="00633AB7"/>
    <w:rsid w:val="00633B49"/>
    <w:rsid w:val="0063442B"/>
    <w:rsid w:val="006344F7"/>
    <w:rsid w:val="006346F2"/>
    <w:rsid w:val="00634A18"/>
    <w:rsid w:val="00634AE2"/>
    <w:rsid w:val="00635715"/>
    <w:rsid w:val="00635BAE"/>
    <w:rsid w:val="00635F0B"/>
    <w:rsid w:val="00636752"/>
    <w:rsid w:val="00636F6C"/>
    <w:rsid w:val="0063713D"/>
    <w:rsid w:val="00637311"/>
    <w:rsid w:val="00637400"/>
    <w:rsid w:val="00637404"/>
    <w:rsid w:val="006375FD"/>
    <w:rsid w:val="00637B8B"/>
    <w:rsid w:val="00637EC8"/>
    <w:rsid w:val="00637F87"/>
    <w:rsid w:val="006401BF"/>
    <w:rsid w:val="006405F7"/>
    <w:rsid w:val="00640600"/>
    <w:rsid w:val="00640714"/>
    <w:rsid w:val="00640873"/>
    <w:rsid w:val="00640F3D"/>
    <w:rsid w:val="006419EB"/>
    <w:rsid w:val="00641D5A"/>
    <w:rsid w:val="006423AB"/>
    <w:rsid w:val="006424F6"/>
    <w:rsid w:val="0064270B"/>
    <w:rsid w:val="00642777"/>
    <w:rsid w:val="00642914"/>
    <w:rsid w:val="00642A4A"/>
    <w:rsid w:val="00642B13"/>
    <w:rsid w:val="00642EB0"/>
    <w:rsid w:val="00642F26"/>
    <w:rsid w:val="006435F0"/>
    <w:rsid w:val="006436DA"/>
    <w:rsid w:val="006436EC"/>
    <w:rsid w:val="006438D8"/>
    <w:rsid w:val="00643AB0"/>
    <w:rsid w:val="00643B89"/>
    <w:rsid w:val="00643E38"/>
    <w:rsid w:val="00644944"/>
    <w:rsid w:val="00644C4A"/>
    <w:rsid w:val="00644F17"/>
    <w:rsid w:val="006452E9"/>
    <w:rsid w:val="006454CC"/>
    <w:rsid w:val="00645936"/>
    <w:rsid w:val="00646433"/>
    <w:rsid w:val="00646A45"/>
    <w:rsid w:val="00646B92"/>
    <w:rsid w:val="00647048"/>
    <w:rsid w:val="006472CD"/>
    <w:rsid w:val="00647402"/>
    <w:rsid w:val="006476C5"/>
    <w:rsid w:val="00647B5E"/>
    <w:rsid w:val="00647CFE"/>
    <w:rsid w:val="00647E1F"/>
    <w:rsid w:val="0065012B"/>
    <w:rsid w:val="00650282"/>
    <w:rsid w:val="006502BF"/>
    <w:rsid w:val="006509FB"/>
    <w:rsid w:val="00650A11"/>
    <w:rsid w:val="00650A1C"/>
    <w:rsid w:val="00650AC0"/>
    <w:rsid w:val="006511BB"/>
    <w:rsid w:val="006511D0"/>
    <w:rsid w:val="00651412"/>
    <w:rsid w:val="00651CDC"/>
    <w:rsid w:val="00651CDE"/>
    <w:rsid w:val="00651EDB"/>
    <w:rsid w:val="00651F5E"/>
    <w:rsid w:val="006522C1"/>
    <w:rsid w:val="006531EF"/>
    <w:rsid w:val="0065327E"/>
    <w:rsid w:val="00653844"/>
    <w:rsid w:val="00653A5A"/>
    <w:rsid w:val="00653BBF"/>
    <w:rsid w:val="00653C20"/>
    <w:rsid w:val="006547F2"/>
    <w:rsid w:val="006547F4"/>
    <w:rsid w:val="00654922"/>
    <w:rsid w:val="0065529B"/>
    <w:rsid w:val="0065534F"/>
    <w:rsid w:val="006555C4"/>
    <w:rsid w:val="00655714"/>
    <w:rsid w:val="00655DA6"/>
    <w:rsid w:val="00655F96"/>
    <w:rsid w:val="00656126"/>
    <w:rsid w:val="006561BC"/>
    <w:rsid w:val="00656305"/>
    <w:rsid w:val="0065642D"/>
    <w:rsid w:val="0065658D"/>
    <w:rsid w:val="00656913"/>
    <w:rsid w:val="00656A79"/>
    <w:rsid w:val="00656ED2"/>
    <w:rsid w:val="00657370"/>
    <w:rsid w:val="00657542"/>
    <w:rsid w:val="006577FB"/>
    <w:rsid w:val="00660009"/>
    <w:rsid w:val="0066034A"/>
    <w:rsid w:val="00660377"/>
    <w:rsid w:val="00660DDF"/>
    <w:rsid w:val="006615C0"/>
    <w:rsid w:val="00662143"/>
    <w:rsid w:val="006625FA"/>
    <w:rsid w:val="00662BBE"/>
    <w:rsid w:val="006631B8"/>
    <w:rsid w:val="00663E1E"/>
    <w:rsid w:val="00663E91"/>
    <w:rsid w:val="00664A8D"/>
    <w:rsid w:val="00665126"/>
    <w:rsid w:val="006652D7"/>
    <w:rsid w:val="006656EC"/>
    <w:rsid w:val="00665BE8"/>
    <w:rsid w:val="006661A9"/>
    <w:rsid w:val="006662EE"/>
    <w:rsid w:val="00666326"/>
    <w:rsid w:val="0066644A"/>
    <w:rsid w:val="006664DC"/>
    <w:rsid w:val="00667252"/>
    <w:rsid w:val="006672C0"/>
    <w:rsid w:val="006673DF"/>
    <w:rsid w:val="0066774B"/>
    <w:rsid w:val="00667977"/>
    <w:rsid w:val="00667CBD"/>
    <w:rsid w:val="00670C28"/>
    <w:rsid w:val="00670D58"/>
    <w:rsid w:val="00670F35"/>
    <w:rsid w:val="00671283"/>
    <w:rsid w:val="00672300"/>
    <w:rsid w:val="00672366"/>
    <w:rsid w:val="006725A4"/>
    <w:rsid w:val="00672E2E"/>
    <w:rsid w:val="00673297"/>
    <w:rsid w:val="0067352B"/>
    <w:rsid w:val="00673634"/>
    <w:rsid w:val="006737A8"/>
    <w:rsid w:val="00673B00"/>
    <w:rsid w:val="00673C02"/>
    <w:rsid w:val="00674043"/>
    <w:rsid w:val="006748A5"/>
    <w:rsid w:val="00674B0E"/>
    <w:rsid w:val="00674C61"/>
    <w:rsid w:val="00674DB7"/>
    <w:rsid w:val="006752AF"/>
    <w:rsid w:val="0067545E"/>
    <w:rsid w:val="00675D6A"/>
    <w:rsid w:val="00675EDA"/>
    <w:rsid w:val="006764D9"/>
    <w:rsid w:val="0067656D"/>
    <w:rsid w:val="006770DD"/>
    <w:rsid w:val="0067715A"/>
    <w:rsid w:val="006771A3"/>
    <w:rsid w:val="0067720E"/>
    <w:rsid w:val="0067725A"/>
    <w:rsid w:val="0067779F"/>
    <w:rsid w:val="00677AC6"/>
    <w:rsid w:val="00677C04"/>
    <w:rsid w:val="00677C65"/>
    <w:rsid w:val="00677E70"/>
    <w:rsid w:val="006804DC"/>
    <w:rsid w:val="0068051F"/>
    <w:rsid w:val="00680D2B"/>
    <w:rsid w:val="00680FCE"/>
    <w:rsid w:val="006810AA"/>
    <w:rsid w:val="006812CF"/>
    <w:rsid w:val="00681603"/>
    <w:rsid w:val="006820E6"/>
    <w:rsid w:val="006824EE"/>
    <w:rsid w:val="00682AB7"/>
    <w:rsid w:val="00682B5B"/>
    <w:rsid w:val="00682BBC"/>
    <w:rsid w:val="00682EA1"/>
    <w:rsid w:val="00683913"/>
    <w:rsid w:val="00683F5E"/>
    <w:rsid w:val="006840EA"/>
    <w:rsid w:val="00684263"/>
    <w:rsid w:val="006842EE"/>
    <w:rsid w:val="00684490"/>
    <w:rsid w:val="0068472C"/>
    <w:rsid w:val="0068497B"/>
    <w:rsid w:val="00684AB4"/>
    <w:rsid w:val="00684F64"/>
    <w:rsid w:val="00685166"/>
    <w:rsid w:val="006855C6"/>
    <w:rsid w:val="0068579E"/>
    <w:rsid w:val="00685866"/>
    <w:rsid w:val="006859D3"/>
    <w:rsid w:val="00685CB3"/>
    <w:rsid w:val="00685D5D"/>
    <w:rsid w:val="00685F7F"/>
    <w:rsid w:val="0068613E"/>
    <w:rsid w:val="006867B7"/>
    <w:rsid w:val="00686A1C"/>
    <w:rsid w:val="00686F5E"/>
    <w:rsid w:val="006870BD"/>
    <w:rsid w:val="0068726D"/>
    <w:rsid w:val="00687BC2"/>
    <w:rsid w:val="006905F3"/>
    <w:rsid w:val="006908C4"/>
    <w:rsid w:val="00691408"/>
    <w:rsid w:val="006914EF"/>
    <w:rsid w:val="00691E41"/>
    <w:rsid w:val="006920EA"/>
    <w:rsid w:val="00692472"/>
    <w:rsid w:val="006928A8"/>
    <w:rsid w:val="00692DE8"/>
    <w:rsid w:val="00693498"/>
    <w:rsid w:val="006935AD"/>
    <w:rsid w:val="00693692"/>
    <w:rsid w:val="006937A3"/>
    <w:rsid w:val="006937E5"/>
    <w:rsid w:val="00693AC2"/>
    <w:rsid w:val="00693B74"/>
    <w:rsid w:val="0069403E"/>
    <w:rsid w:val="006941A5"/>
    <w:rsid w:val="006941C5"/>
    <w:rsid w:val="006945BE"/>
    <w:rsid w:val="006945C8"/>
    <w:rsid w:val="00694AC0"/>
    <w:rsid w:val="00694E50"/>
    <w:rsid w:val="00695163"/>
    <w:rsid w:val="006951D9"/>
    <w:rsid w:val="00695537"/>
    <w:rsid w:val="00695660"/>
    <w:rsid w:val="00695B52"/>
    <w:rsid w:val="00695E3B"/>
    <w:rsid w:val="0069627C"/>
    <w:rsid w:val="00696478"/>
    <w:rsid w:val="006970C5"/>
    <w:rsid w:val="00697191"/>
    <w:rsid w:val="006A001E"/>
    <w:rsid w:val="006A01D5"/>
    <w:rsid w:val="006A04A4"/>
    <w:rsid w:val="006A0557"/>
    <w:rsid w:val="006A058C"/>
    <w:rsid w:val="006A0782"/>
    <w:rsid w:val="006A155A"/>
    <w:rsid w:val="006A1772"/>
    <w:rsid w:val="006A17EF"/>
    <w:rsid w:val="006A1B09"/>
    <w:rsid w:val="006A24C8"/>
    <w:rsid w:val="006A27E1"/>
    <w:rsid w:val="006A2948"/>
    <w:rsid w:val="006A2A2C"/>
    <w:rsid w:val="006A2A3D"/>
    <w:rsid w:val="006A2C3F"/>
    <w:rsid w:val="006A2C7C"/>
    <w:rsid w:val="006A2D92"/>
    <w:rsid w:val="006A2EB6"/>
    <w:rsid w:val="006A3BE7"/>
    <w:rsid w:val="006A3E50"/>
    <w:rsid w:val="006A4630"/>
    <w:rsid w:val="006A4E5B"/>
    <w:rsid w:val="006A5032"/>
    <w:rsid w:val="006A5130"/>
    <w:rsid w:val="006A51B3"/>
    <w:rsid w:val="006A54F4"/>
    <w:rsid w:val="006A56C1"/>
    <w:rsid w:val="006A5A2E"/>
    <w:rsid w:val="006A668A"/>
    <w:rsid w:val="006A6856"/>
    <w:rsid w:val="006A6B32"/>
    <w:rsid w:val="006A6CC9"/>
    <w:rsid w:val="006A7073"/>
    <w:rsid w:val="006A7762"/>
    <w:rsid w:val="006A7CF9"/>
    <w:rsid w:val="006B0114"/>
    <w:rsid w:val="006B0168"/>
    <w:rsid w:val="006B04D1"/>
    <w:rsid w:val="006B06B7"/>
    <w:rsid w:val="006B07B5"/>
    <w:rsid w:val="006B0922"/>
    <w:rsid w:val="006B0D06"/>
    <w:rsid w:val="006B0E2E"/>
    <w:rsid w:val="006B0E6C"/>
    <w:rsid w:val="006B0E85"/>
    <w:rsid w:val="006B0FBB"/>
    <w:rsid w:val="006B0FF1"/>
    <w:rsid w:val="006B1412"/>
    <w:rsid w:val="006B1526"/>
    <w:rsid w:val="006B18C3"/>
    <w:rsid w:val="006B1B32"/>
    <w:rsid w:val="006B1D68"/>
    <w:rsid w:val="006B1E71"/>
    <w:rsid w:val="006B1F25"/>
    <w:rsid w:val="006B2747"/>
    <w:rsid w:val="006B2AD3"/>
    <w:rsid w:val="006B2D46"/>
    <w:rsid w:val="006B2E48"/>
    <w:rsid w:val="006B3123"/>
    <w:rsid w:val="006B36F4"/>
    <w:rsid w:val="006B37B8"/>
    <w:rsid w:val="006B391C"/>
    <w:rsid w:val="006B39E2"/>
    <w:rsid w:val="006B3C41"/>
    <w:rsid w:val="006B3D50"/>
    <w:rsid w:val="006B4257"/>
    <w:rsid w:val="006B433B"/>
    <w:rsid w:val="006B44C6"/>
    <w:rsid w:val="006B4E05"/>
    <w:rsid w:val="006B4EB4"/>
    <w:rsid w:val="006B500D"/>
    <w:rsid w:val="006B5439"/>
    <w:rsid w:val="006B59EC"/>
    <w:rsid w:val="006B6198"/>
    <w:rsid w:val="006B631C"/>
    <w:rsid w:val="006B64AA"/>
    <w:rsid w:val="006B67F2"/>
    <w:rsid w:val="006B6AAF"/>
    <w:rsid w:val="006B6D03"/>
    <w:rsid w:val="006B6EC9"/>
    <w:rsid w:val="006B70AF"/>
    <w:rsid w:val="006B77AC"/>
    <w:rsid w:val="006B7B6B"/>
    <w:rsid w:val="006B7B95"/>
    <w:rsid w:val="006B7DA1"/>
    <w:rsid w:val="006C0521"/>
    <w:rsid w:val="006C0522"/>
    <w:rsid w:val="006C0684"/>
    <w:rsid w:val="006C0804"/>
    <w:rsid w:val="006C0ED3"/>
    <w:rsid w:val="006C13E2"/>
    <w:rsid w:val="006C14C7"/>
    <w:rsid w:val="006C1698"/>
    <w:rsid w:val="006C1724"/>
    <w:rsid w:val="006C17EA"/>
    <w:rsid w:val="006C18D0"/>
    <w:rsid w:val="006C19C1"/>
    <w:rsid w:val="006C1E82"/>
    <w:rsid w:val="006C20D7"/>
    <w:rsid w:val="006C3179"/>
    <w:rsid w:val="006C335B"/>
    <w:rsid w:val="006C3AE4"/>
    <w:rsid w:val="006C3BF8"/>
    <w:rsid w:val="006C414D"/>
    <w:rsid w:val="006C428F"/>
    <w:rsid w:val="006C48DB"/>
    <w:rsid w:val="006C4EE0"/>
    <w:rsid w:val="006C4EE9"/>
    <w:rsid w:val="006C5072"/>
    <w:rsid w:val="006C5182"/>
    <w:rsid w:val="006C5649"/>
    <w:rsid w:val="006C5CE3"/>
    <w:rsid w:val="006C627A"/>
    <w:rsid w:val="006C642C"/>
    <w:rsid w:val="006C6483"/>
    <w:rsid w:val="006C64B7"/>
    <w:rsid w:val="006C693D"/>
    <w:rsid w:val="006C6B29"/>
    <w:rsid w:val="006C7426"/>
    <w:rsid w:val="006C7BA4"/>
    <w:rsid w:val="006D0235"/>
    <w:rsid w:val="006D05E2"/>
    <w:rsid w:val="006D0B13"/>
    <w:rsid w:val="006D0B88"/>
    <w:rsid w:val="006D0C6D"/>
    <w:rsid w:val="006D0F43"/>
    <w:rsid w:val="006D1474"/>
    <w:rsid w:val="006D1BA3"/>
    <w:rsid w:val="006D1E87"/>
    <w:rsid w:val="006D1F7D"/>
    <w:rsid w:val="006D2703"/>
    <w:rsid w:val="006D2992"/>
    <w:rsid w:val="006D29CD"/>
    <w:rsid w:val="006D2A5E"/>
    <w:rsid w:val="006D2BE3"/>
    <w:rsid w:val="006D2BEB"/>
    <w:rsid w:val="006D2BF3"/>
    <w:rsid w:val="006D36B8"/>
    <w:rsid w:val="006D37CF"/>
    <w:rsid w:val="006D3AED"/>
    <w:rsid w:val="006D3DCE"/>
    <w:rsid w:val="006D3DD3"/>
    <w:rsid w:val="006D3F57"/>
    <w:rsid w:val="006D40A7"/>
    <w:rsid w:val="006D451D"/>
    <w:rsid w:val="006D4675"/>
    <w:rsid w:val="006D4752"/>
    <w:rsid w:val="006D4805"/>
    <w:rsid w:val="006D4BE6"/>
    <w:rsid w:val="006D57B2"/>
    <w:rsid w:val="006D6B11"/>
    <w:rsid w:val="006D767D"/>
    <w:rsid w:val="006E00BC"/>
    <w:rsid w:val="006E02B7"/>
    <w:rsid w:val="006E0797"/>
    <w:rsid w:val="006E1180"/>
    <w:rsid w:val="006E11EC"/>
    <w:rsid w:val="006E157D"/>
    <w:rsid w:val="006E172B"/>
    <w:rsid w:val="006E17B6"/>
    <w:rsid w:val="006E1EB3"/>
    <w:rsid w:val="006E26D2"/>
    <w:rsid w:val="006E2881"/>
    <w:rsid w:val="006E2C65"/>
    <w:rsid w:val="006E2F5B"/>
    <w:rsid w:val="006E3490"/>
    <w:rsid w:val="006E3601"/>
    <w:rsid w:val="006E3CE0"/>
    <w:rsid w:val="006E3DBF"/>
    <w:rsid w:val="006E473D"/>
    <w:rsid w:val="006E4821"/>
    <w:rsid w:val="006E4834"/>
    <w:rsid w:val="006E4839"/>
    <w:rsid w:val="006E4BCE"/>
    <w:rsid w:val="006E4D33"/>
    <w:rsid w:val="006E542A"/>
    <w:rsid w:val="006E6915"/>
    <w:rsid w:val="006E6F22"/>
    <w:rsid w:val="006E7242"/>
    <w:rsid w:val="006E76CC"/>
    <w:rsid w:val="006E78D2"/>
    <w:rsid w:val="006F04B9"/>
    <w:rsid w:val="006F0577"/>
    <w:rsid w:val="006F066F"/>
    <w:rsid w:val="006F0905"/>
    <w:rsid w:val="006F0945"/>
    <w:rsid w:val="006F0AA3"/>
    <w:rsid w:val="006F0BA8"/>
    <w:rsid w:val="006F0BE9"/>
    <w:rsid w:val="006F1010"/>
    <w:rsid w:val="006F12FD"/>
    <w:rsid w:val="006F15F1"/>
    <w:rsid w:val="006F175D"/>
    <w:rsid w:val="006F1D71"/>
    <w:rsid w:val="006F22CE"/>
    <w:rsid w:val="006F236F"/>
    <w:rsid w:val="006F247D"/>
    <w:rsid w:val="006F290D"/>
    <w:rsid w:val="006F2D11"/>
    <w:rsid w:val="006F2E0E"/>
    <w:rsid w:val="006F2E2E"/>
    <w:rsid w:val="006F2F30"/>
    <w:rsid w:val="006F358D"/>
    <w:rsid w:val="006F3759"/>
    <w:rsid w:val="006F38BD"/>
    <w:rsid w:val="006F3BB8"/>
    <w:rsid w:val="006F3E35"/>
    <w:rsid w:val="006F404D"/>
    <w:rsid w:val="006F4213"/>
    <w:rsid w:val="006F4898"/>
    <w:rsid w:val="006F5465"/>
    <w:rsid w:val="006F5629"/>
    <w:rsid w:val="006F5775"/>
    <w:rsid w:val="006F6003"/>
    <w:rsid w:val="006F6A14"/>
    <w:rsid w:val="006F6E59"/>
    <w:rsid w:val="006F7073"/>
    <w:rsid w:val="006F723A"/>
    <w:rsid w:val="006F728A"/>
    <w:rsid w:val="006F74AA"/>
    <w:rsid w:val="006F7594"/>
    <w:rsid w:val="006F7AEC"/>
    <w:rsid w:val="007004CC"/>
    <w:rsid w:val="0070062B"/>
    <w:rsid w:val="00700753"/>
    <w:rsid w:val="007009EC"/>
    <w:rsid w:val="00700AF7"/>
    <w:rsid w:val="00700B68"/>
    <w:rsid w:val="00700B71"/>
    <w:rsid w:val="00701074"/>
    <w:rsid w:val="0070149F"/>
    <w:rsid w:val="0070197C"/>
    <w:rsid w:val="00701B7C"/>
    <w:rsid w:val="00701D19"/>
    <w:rsid w:val="00701D4A"/>
    <w:rsid w:val="00701FED"/>
    <w:rsid w:val="00702A21"/>
    <w:rsid w:val="00702EB3"/>
    <w:rsid w:val="00702EBD"/>
    <w:rsid w:val="0070305C"/>
    <w:rsid w:val="007032F6"/>
    <w:rsid w:val="00703642"/>
    <w:rsid w:val="00703710"/>
    <w:rsid w:val="00703D26"/>
    <w:rsid w:val="00703D2D"/>
    <w:rsid w:val="00703E90"/>
    <w:rsid w:val="00703EB3"/>
    <w:rsid w:val="00703F79"/>
    <w:rsid w:val="007040D8"/>
    <w:rsid w:val="0070431B"/>
    <w:rsid w:val="00704A98"/>
    <w:rsid w:val="007054F0"/>
    <w:rsid w:val="007056DE"/>
    <w:rsid w:val="00705839"/>
    <w:rsid w:val="00705D0D"/>
    <w:rsid w:val="00705F0E"/>
    <w:rsid w:val="00705F9A"/>
    <w:rsid w:val="00706152"/>
    <w:rsid w:val="0070637D"/>
    <w:rsid w:val="007064BE"/>
    <w:rsid w:val="00706BB6"/>
    <w:rsid w:val="00706C19"/>
    <w:rsid w:val="00706DBA"/>
    <w:rsid w:val="00706E69"/>
    <w:rsid w:val="00706FE9"/>
    <w:rsid w:val="0070730E"/>
    <w:rsid w:val="00707393"/>
    <w:rsid w:val="007077C0"/>
    <w:rsid w:val="00707831"/>
    <w:rsid w:val="0070786A"/>
    <w:rsid w:val="0070786D"/>
    <w:rsid w:val="00707A08"/>
    <w:rsid w:val="00707D3B"/>
    <w:rsid w:val="00710BF9"/>
    <w:rsid w:val="00710F84"/>
    <w:rsid w:val="00711127"/>
    <w:rsid w:val="0071191B"/>
    <w:rsid w:val="00711AC2"/>
    <w:rsid w:val="00711DD9"/>
    <w:rsid w:val="00712746"/>
    <w:rsid w:val="00712914"/>
    <w:rsid w:val="007129B4"/>
    <w:rsid w:val="00712BE6"/>
    <w:rsid w:val="00713375"/>
    <w:rsid w:val="0071360C"/>
    <w:rsid w:val="0071367B"/>
    <w:rsid w:val="007139B6"/>
    <w:rsid w:val="00713D9E"/>
    <w:rsid w:val="00713E4D"/>
    <w:rsid w:val="007144DE"/>
    <w:rsid w:val="00714529"/>
    <w:rsid w:val="0071468E"/>
    <w:rsid w:val="007148AA"/>
    <w:rsid w:val="00714CE4"/>
    <w:rsid w:val="007152C1"/>
    <w:rsid w:val="00715610"/>
    <w:rsid w:val="007156F2"/>
    <w:rsid w:val="00715A44"/>
    <w:rsid w:val="007167B2"/>
    <w:rsid w:val="0071686F"/>
    <w:rsid w:val="00716A12"/>
    <w:rsid w:val="00716A14"/>
    <w:rsid w:val="00716D5C"/>
    <w:rsid w:val="00716E66"/>
    <w:rsid w:val="00717760"/>
    <w:rsid w:val="00717800"/>
    <w:rsid w:val="00717885"/>
    <w:rsid w:val="007179B8"/>
    <w:rsid w:val="00720190"/>
    <w:rsid w:val="007207C1"/>
    <w:rsid w:val="007208D9"/>
    <w:rsid w:val="00720AF5"/>
    <w:rsid w:val="00720B68"/>
    <w:rsid w:val="00720C9D"/>
    <w:rsid w:val="00720FFE"/>
    <w:rsid w:val="0072109C"/>
    <w:rsid w:val="00721191"/>
    <w:rsid w:val="007211F5"/>
    <w:rsid w:val="007212FB"/>
    <w:rsid w:val="0072158D"/>
    <w:rsid w:val="00721608"/>
    <w:rsid w:val="007219F9"/>
    <w:rsid w:val="00721CBD"/>
    <w:rsid w:val="00721D2E"/>
    <w:rsid w:val="00722327"/>
    <w:rsid w:val="007226EC"/>
    <w:rsid w:val="0072292F"/>
    <w:rsid w:val="00722C29"/>
    <w:rsid w:val="00722CC8"/>
    <w:rsid w:val="00722F8B"/>
    <w:rsid w:val="00724037"/>
    <w:rsid w:val="00724440"/>
    <w:rsid w:val="0072465F"/>
    <w:rsid w:val="00724A53"/>
    <w:rsid w:val="00724C0F"/>
    <w:rsid w:val="00724C4C"/>
    <w:rsid w:val="00724D3A"/>
    <w:rsid w:val="00724E7A"/>
    <w:rsid w:val="00724F7F"/>
    <w:rsid w:val="00725B49"/>
    <w:rsid w:val="00726096"/>
    <w:rsid w:val="00726500"/>
    <w:rsid w:val="00726583"/>
    <w:rsid w:val="007267D9"/>
    <w:rsid w:val="00726C5F"/>
    <w:rsid w:val="00726FA3"/>
    <w:rsid w:val="007278A1"/>
    <w:rsid w:val="007278DA"/>
    <w:rsid w:val="00727B96"/>
    <w:rsid w:val="00730A2A"/>
    <w:rsid w:val="00730ABB"/>
    <w:rsid w:val="00731C85"/>
    <w:rsid w:val="00732128"/>
    <w:rsid w:val="00732166"/>
    <w:rsid w:val="00732185"/>
    <w:rsid w:val="0073258B"/>
    <w:rsid w:val="0073281B"/>
    <w:rsid w:val="007328FE"/>
    <w:rsid w:val="00732AF4"/>
    <w:rsid w:val="00732BA8"/>
    <w:rsid w:val="00732C52"/>
    <w:rsid w:val="00732DBC"/>
    <w:rsid w:val="00732E56"/>
    <w:rsid w:val="00732E70"/>
    <w:rsid w:val="00732F19"/>
    <w:rsid w:val="00733274"/>
    <w:rsid w:val="007332C6"/>
    <w:rsid w:val="0073350E"/>
    <w:rsid w:val="00733E7D"/>
    <w:rsid w:val="00733F20"/>
    <w:rsid w:val="00733F8C"/>
    <w:rsid w:val="00733FE1"/>
    <w:rsid w:val="00734162"/>
    <w:rsid w:val="00734872"/>
    <w:rsid w:val="007349D7"/>
    <w:rsid w:val="00734E99"/>
    <w:rsid w:val="00735799"/>
    <w:rsid w:val="007359A7"/>
    <w:rsid w:val="00735D31"/>
    <w:rsid w:val="00735FA6"/>
    <w:rsid w:val="00736301"/>
    <w:rsid w:val="0073666C"/>
    <w:rsid w:val="00736836"/>
    <w:rsid w:val="00736976"/>
    <w:rsid w:val="00736A54"/>
    <w:rsid w:val="00737027"/>
    <w:rsid w:val="00737053"/>
    <w:rsid w:val="00737154"/>
    <w:rsid w:val="00737241"/>
    <w:rsid w:val="007377C4"/>
    <w:rsid w:val="0074013B"/>
    <w:rsid w:val="00740394"/>
    <w:rsid w:val="007404FA"/>
    <w:rsid w:val="00740699"/>
    <w:rsid w:val="0074083D"/>
    <w:rsid w:val="00740F56"/>
    <w:rsid w:val="0074128D"/>
    <w:rsid w:val="007412E5"/>
    <w:rsid w:val="00741A02"/>
    <w:rsid w:val="00741A9E"/>
    <w:rsid w:val="00742FD4"/>
    <w:rsid w:val="00743023"/>
    <w:rsid w:val="007432F3"/>
    <w:rsid w:val="007434EF"/>
    <w:rsid w:val="00743A48"/>
    <w:rsid w:val="00743A81"/>
    <w:rsid w:val="00743E5D"/>
    <w:rsid w:val="00743EBA"/>
    <w:rsid w:val="00744BB6"/>
    <w:rsid w:val="00744BC1"/>
    <w:rsid w:val="00744CFB"/>
    <w:rsid w:val="00744D9E"/>
    <w:rsid w:val="00744ECC"/>
    <w:rsid w:val="00744EDD"/>
    <w:rsid w:val="00745675"/>
    <w:rsid w:val="00746725"/>
    <w:rsid w:val="0074677C"/>
    <w:rsid w:val="00746B2F"/>
    <w:rsid w:val="00746E21"/>
    <w:rsid w:val="00747389"/>
    <w:rsid w:val="007473DD"/>
    <w:rsid w:val="0074740B"/>
    <w:rsid w:val="00747938"/>
    <w:rsid w:val="00747E73"/>
    <w:rsid w:val="00747F45"/>
    <w:rsid w:val="00750A2E"/>
    <w:rsid w:val="00750F9E"/>
    <w:rsid w:val="0075206B"/>
    <w:rsid w:val="00752C45"/>
    <w:rsid w:val="007530C5"/>
    <w:rsid w:val="00753795"/>
    <w:rsid w:val="0075393B"/>
    <w:rsid w:val="00753B4B"/>
    <w:rsid w:val="00753BAE"/>
    <w:rsid w:val="00753BD5"/>
    <w:rsid w:val="00753CAE"/>
    <w:rsid w:val="00754375"/>
    <w:rsid w:val="0075471A"/>
    <w:rsid w:val="00754FEE"/>
    <w:rsid w:val="00755125"/>
    <w:rsid w:val="007552A6"/>
    <w:rsid w:val="00755DAA"/>
    <w:rsid w:val="00755E1F"/>
    <w:rsid w:val="00755F1E"/>
    <w:rsid w:val="00756240"/>
    <w:rsid w:val="007568EF"/>
    <w:rsid w:val="0075771C"/>
    <w:rsid w:val="0076011D"/>
    <w:rsid w:val="00760607"/>
    <w:rsid w:val="007608D7"/>
    <w:rsid w:val="00760E0D"/>
    <w:rsid w:val="00761231"/>
    <w:rsid w:val="00761A40"/>
    <w:rsid w:val="00761D5B"/>
    <w:rsid w:val="00762B90"/>
    <w:rsid w:val="00762E83"/>
    <w:rsid w:val="00763491"/>
    <w:rsid w:val="00763951"/>
    <w:rsid w:val="00763D76"/>
    <w:rsid w:val="00763FFE"/>
    <w:rsid w:val="00764435"/>
    <w:rsid w:val="0076498E"/>
    <w:rsid w:val="007649B2"/>
    <w:rsid w:val="00764CEF"/>
    <w:rsid w:val="00764FAA"/>
    <w:rsid w:val="007654DA"/>
    <w:rsid w:val="0076590A"/>
    <w:rsid w:val="00765BF7"/>
    <w:rsid w:val="007662BD"/>
    <w:rsid w:val="00766A87"/>
    <w:rsid w:val="00766BB3"/>
    <w:rsid w:val="00766E53"/>
    <w:rsid w:val="0076705A"/>
    <w:rsid w:val="00767A04"/>
    <w:rsid w:val="00767B11"/>
    <w:rsid w:val="00767D65"/>
    <w:rsid w:val="00767D81"/>
    <w:rsid w:val="00767DC1"/>
    <w:rsid w:val="00767F98"/>
    <w:rsid w:val="007703AB"/>
    <w:rsid w:val="00770A59"/>
    <w:rsid w:val="00770B0F"/>
    <w:rsid w:val="00770CF1"/>
    <w:rsid w:val="0077109F"/>
    <w:rsid w:val="007716B6"/>
    <w:rsid w:val="00771805"/>
    <w:rsid w:val="00771B47"/>
    <w:rsid w:val="00771B9A"/>
    <w:rsid w:val="007723E1"/>
    <w:rsid w:val="0077250D"/>
    <w:rsid w:val="00772570"/>
    <w:rsid w:val="00772BDB"/>
    <w:rsid w:val="00772C4A"/>
    <w:rsid w:val="00772DEC"/>
    <w:rsid w:val="00773719"/>
    <w:rsid w:val="00773740"/>
    <w:rsid w:val="00773B58"/>
    <w:rsid w:val="00773CD3"/>
    <w:rsid w:val="00773D1C"/>
    <w:rsid w:val="00774110"/>
    <w:rsid w:val="007742FF"/>
    <w:rsid w:val="00774343"/>
    <w:rsid w:val="007743C3"/>
    <w:rsid w:val="00774AEA"/>
    <w:rsid w:val="00775027"/>
    <w:rsid w:val="007754E1"/>
    <w:rsid w:val="007759DC"/>
    <w:rsid w:val="00775C2B"/>
    <w:rsid w:val="00775CC7"/>
    <w:rsid w:val="00776AEE"/>
    <w:rsid w:val="00776C4E"/>
    <w:rsid w:val="007770C2"/>
    <w:rsid w:val="0077714E"/>
    <w:rsid w:val="007773FB"/>
    <w:rsid w:val="00777487"/>
    <w:rsid w:val="007777A1"/>
    <w:rsid w:val="00777C59"/>
    <w:rsid w:val="0078003D"/>
    <w:rsid w:val="00780174"/>
    <w:rsid w:val="00780522"/>
    <w:rsid w:val="007806C6"/>
    <w:rsid w:val="00780E24"/>
    <w:rsid w:val="007813C2"/>
    <w:rsid w:val="00781544"/>
    <w:rsid w:val="007819EE"/>
    <w:rsid w:val="00781C90"/>
    <w:rsid w:val="00781E86"/>
    <w:rsid w:val="0078219B"/>
    <w:rsid w:val="0078273E"/>
    <w:rsid w:val="007828AB"/>
    <w:rsid w:val="00782DCD"/>
    <w:rsid w:val="00782F88"/>
    <w:rsid w:val="007835AB"/>
    <w:rsid w:val="007835BB"/>
    <w:rsid w:val="007843C1"/>
    <w:rsid w:val="007843C6"/>
    <w:rsid w:val="00784608"/>
    <w:rsid w:val="00784647"/>
    <w:rsid w:val="0078471D"/>
    <w:rsid w:val="00784966"/>
    <w:rsid w:val="00784BF2"/>
    <w:rsid w:val="00784EC0"/>
    <w:rsid w:val="0078525B"/>
    <w:rsid w:val="00785C31"/>
    <w:rsid w:val="007861B0"/>
    <w:rsid w:val="00787010"/>
    <w:rsid w:val="007871B6"/>
    <w:rsid w:val="0078730F"/>
    <w:rsid w:val="00787480"/>
    <w:rsid w:val="00787563"/>
    <w:rsid w:val="0078760F"/>
    <w:rsid w:val="0078766C"/>
    <w:rsid w:val="00787D2A"/>
    <w:rsid w:val="00790384"/>
    <w:rsid w:val="00790C95"/>
    <w:rsid w:val="00790DB8"/>
    <w:rsid w:val="00790F64"/>
    <w:rsid w:val="007913FD"/>
    <w:rsid w:val="007917EF"/>
    <w:rsid w:val="00791D41"/>
    <w:rsid w:val="0079221B"/>
    <w:rsid w:val="00792404"/>
    <w:rsid w:val="0079255F"/>
    <w:rsid w:val="007925C2"/>
    <w:rsid w:val="00792BC7"/>
    <w:rsid w:val="00792C7B"/>
    <w:rsid w:val="00792FB0"/>
    <w:rsid w:val="0079363F"/>
    <w:rsid w:val="00793887"/>
    <w:rsid w:val="00793967"/>
    <w:rsid w:val="00793C07"/>
    <w:rsid w:val="00793D72"/>
    <w:rsid w:val="00793FA6"/>
    <w:rsid w:val="00794398"/>
    <w:rsid w:val="007947CA"/>
    <w:rsid w:val="00794B76"/>
    <w:rsid w:val="007952DA"/>
    <w:rsid w:val="007958C1"/>
    <w:rsid w:val="00796A50"/>
    <w:rsid w:val="00796AC7"/>
    <w:rsid w:val="00796B66"/>
    <w:rsid w:val="00796C7F"/>
    <w:rsid w:val="00797149"/>
    <w:rsid w:val="0079758F"/>
    <w:rsid w:val="00797BCD"/>
    <w:rsid w:val="00797DFD"/>
    <w:rsid w:val="007A01E1"/>
    <w:rsid w:val="007A046D"/>
    <w:rsid w:val="007A0583"/>
    <w:rsid w:val="007A0A8A"/>
    <w:rsid w:val="007A161E"/>
    <w:rsid w:val="007A1802"/>
    <w:rsid w:val="007A1896"/>
    <w:rsid w:val="007A1ABC"/>
    <w:rsid w:val="007A2231"/>
    <w:rsid w:val="007A247E"/>
    <w:rsid w:val="007A2D9C"/>
    <w:rsid w:val="007A306B"/>
    <w:rsid w:val="007A3520"/>
    <w:rsid w:val="007A3AD5"/>
    <w:rsid w:val="007A3B16"/>
    <w:rsid w:val="007A3E2F"/>
    <w:rsid w:val="007A40A4"/>
    <w:rsid w:val="007A42A4"/>
    <w:rsid w:val="007A4384"/>
    <w:rsid w:val="007A43CC"/>
    <w:rsid w:val="007A470F"/>
    <w:rsid w:val="007A48BF"/>
    <w:rsid w:val="007A49C2"/>
    <w:rsid w:val="007A4BDD"/>
    <w:rsid w:val="007A4FC6"/>
    <w:rsid w:val="007A5178"/>
    <w:rsid w:val="007A5BFC"/>
    <w:rsid w:val="007A6157"/>
    <w:rsid w:val="007A64E7"/>
    <w:rsid w:val="007A67A6"/>
    <w:rsid w:val="007A746A"/>
    <w:rsid w:val="007A7623"/>
    <w:rsid w:val="007A7A51"/>
    <w:rsid w:val="007A7F9C"/>
    <w:rsid w:val="007B0356"/>
    <w:rsid w:val="007B05B3"/>
    <w:rsid w:val="007B06D3"/>
    <w:rsid w:val="007B136D"/>
    <w:rsid w:val="007B14CE"/>
    <w:rsid w:val="007B19DE"/>
    <w:rsid w:val="007B1B4B"/>
    <w:rsid w:val="007B1EAE"/>
    <w:rsid w:val="007B21B8"/>
    <w:rsid w:val="007B25E0"/>
    <w:rsid w:val="007B2823"/>
    <w:rsid w:val="007B29C8"/>
    <w:rsid w:val="007B2B12"/>
    <w:rsid w:val="007B2E93"/>
    <w:rsid w:val="007B2F1A"/>
    <w:rsid w:val="007B32D8"/>
    <w:rsid w:val="007B33D7"/>
    <w:rsid w:val="007B3C22"/>
    <w:rsid w:val="007B3D63"/>
    <w:rsid w:val="007B401D"/>
    <w:rsid w:val="007B418C"/>
    <w:rsid w:val="007B42D0"/>
    <w:rsid w:val="007B43C2"/>
    <w:rsid w:val="007B48C6"/>
    <w:rsid w:val="007B5B96"/>
    <w:rsid w:val="007B5CB8"/>
    <w:rsid w:val="007B68E0"/>
    <w:rsid w:val="007B6A16"/>
    <w:rsid w:val="007B73B9"/>
    <w:rsid w:val="007B75D9"/>
    <w:rsid w:val="007B7DBB"/>
    <w:rsid w:val="007B7EAD"/>
    <w:rsid w:val="007C006B"/>
    <w:rsid w:val="007C056C"/>
    <w:rsid w:val="007C0805"/>
    <w:rsid w:val="007C0874"/>
    <w:rsid w:val="007C08B7"/>
    <w:rsid w:val="007C08F8"/>
    <w:rsid w:val="007C0A66"/>
    <w:rsid w:val="007C0FE9"/>
    <w:rsid w:val="007C16DF"/>
    <w:rsid w:val="007C180D"/>
    <w:rsid w:val="007C1837"/>
    <w:rsid w:val="007C19E9"/>
    <w:rsid w:val="007C2377"/>
    <w:rsid w:val="007C24AE"/>
    <w:rsid w:val="007C274A"/>
    <w:rsid w:val="007C293A"/>
    <w:rsid w:val="007C2CE1"/>
    <w:rsid w:val="007C2E3E"/>
    <w:rsid w:val="007C3688"/>
    <w:rsid w:val="007C3B13"/>
    <w:rsid w:val="007C3E35"/>
    <w:rsid w:val="007C4055"/>
    <w:rsid w:val="007C418E"/>
    <w:rsid w:val="007C42D2"/>
    <w:rsid w:val="007C457B"/>
    <w:rsid w:val="007C45D9"/>
    <w:rsid w:val="007C4658"/>
    <w:rsid w:val="007C48FD"/>
    <w:rsid w:val="007C4BFA"/>
    <w:rsid w:val="007C5050"/>
    <w:rsid w:val="007C52A9"/>
    <w:rsid w:val="007C57D9"/>
    <w:rsid w:val="007C5BBC"/>
    <w:rsid w:val="007C5C27"/>
    <w:rsid w:val="007C6582"/>
    <w:rsid w:val="007C6E36"/>
    <w:rsid w:val="007C77C9"/>
    <w:rsid w:val="007C7C47"/>
    <w:rsid w:val="007C7CEC"/>
    <w:rsid w:val="007C7FC8"/>
    <w:rsid w:val="007D0591"/>
    <w:rsid w:val="007D0ACC"/>
    <w:rsid w:val="007D0CA8"/>
    <w:rsid w:val="007D0CC0"/>
    <w:rsid w:val="007D0E21"/>
    <w:rsid w:val="007D0EB8"/>
    <w:rsid w:val="007D0ED3"/>
    <w:rsid w:val="007D0FDA"/>
    <w:rsid w:val="007D273B"/>
    <w:rsid w:val="007D2942"/>
    <w:rsid w:val="007D2F6E"/>
    <w:rsid w:val="007D3040"/>
    <w:rsid w:val="007D33FF"/>
    <w:rsid w:val="007D3761"/>
    <w:rsid w:val="007D3B5C"/>
    <w:rsid w:val="007D3B8A"/>
    <w:rsid w:val="007D45C6"/>
    <w:rsid w:val="007D48F7"/>
    <w:rsid w:val="007D4D10"/>
    <w:rsid w:val="007D4EA6"/>
    <w:rsid w:val="007D52B3"/>
    <w:rsid w:val="007D52CB"/>
    <w:rsid w:val="007D537B"/>
    <w:rsid w:val="007D5683"/>
    <w:rsid w:val="007D5BD3"/>
    <w:rsid w:val="007D5F44"/>
    <w:rsid w:val="007D6041"/>
    <w:rsid w:val="007D645D"/>
    <w:rsid w:val="007D6F3F"/>
    <w:rsid w:val="007D6FAC"/>
    <w:rsid w:val="007D726E"/>
    <w:rsid w:val="007D7437"/>
    <w:rsid w:val="007D7715"/>
    <w:rsid w:val="007E0178"/>
    <w:rsid w:val="007E05A9"/>
    <w:rsid w:val="007E068C"/>
    <w:rsid w:val="007E075C"/>
    <w:rsid w:val="007E0AAF"/>
    <w:rsid w:val="007E0E44"/>
    <w:rsid w:val="007E11A9"/>
    <w:rsid w:val="007E1522"/>
    <w:rsid w:val="007E160C"/>
    <w:rsid w:val="007E187E"/>
    <w:rsid w:val="007E190E"/>
    <w:rsid w:val="007E1D58"/>
    <w:rsid w:val="007E20B8"/>
    <w:rsid w:val="007E2661"/>
    <w:rsid w:val="007E275C"/>
    <w:rsid w:val="007E2BE0"/>
    <w:rsid w:val="007E2C3D"/>
    <w:rsid w:val="007E3238"/>
    <w:rsid w:val="007E3424"/>
    <w:rsid w:val="007E37FE"/>
    <w:rsid w:val="007E3D72"/>
    <w:rsid w:val="007E3E2F"/>
    <w:rsid w:val="007E4269"/>
    <w:rsid w:val="007E49D0"/>
    <w:rsid w:val="007E4BA3"/>
    <w:rsid w:val="007E51A2"/>
    <w:rsid w:val="007E53E8"/>
    <w:rsid w:val="007E5556"/>
    <w:rsid w:val="007E59E1"/>
    <w:rsid w:val="007E5CE9"/>
    <w:rsid w:val="007E5D00"/>
    <w:rsid w:val="007E5F1C"/>
    <w:rsid w:val="007E63A9"/>
    <w:rsid w:val="007E63EE"/>
    <w:rsid w:val="007E649B"/>
    <w:rsid w:val="007E695E"/>
    <w:rsid w:val="007E6CF8"/>
    <w:rsid w:val="007E6ECC"/>
    <w:rsid w:val="007E71ED"/>
    <w:rsid w:val="007F0788"/>
    <w:rsid w:val="007F0ABE"/>
    <w:rsid w:val="007F0B56"/>
    <w:rsid w:val="007F0ED9"/>
    <w:rsid w:val="007F10FD"/>
    <w:rsid w:val="007F15F2"/>
    <w:rsid w:val="007F1E80"/>
    <w:rsid w:val="007F200A"/>
    <w:rsid w:val="007F25A7"/>
    <w:rsid w:val="007F25C5"/>
    <w:rsid w:val="007F2645"/>
    <w:rsid w:val="007F3466"/>
    <w:rsid w:val="007F356D"/>
    <w:rsid w:val="007F451F"/>
    <w:rsid w:val="007F455F"/>
    <w:rsid w:val="007F4668"/>
    <w:rsid w:val="007F4FD7"/>
    <w:rsid w:val="007F5020"/>
    <w:rsid w:val="007F571B"/>
    <w:rsid w:val="007F5C9B"/>
    <w:rsid w:val="007F64C7"/>
    <w:rsid w:val="007F69CC"/>
    <w:rsid w:val="007F6F4A"/>
    <w:rsid w:val="007F70D6"/>
    <w:rsid w:val="007F71AA"/>
    <w:rsid w:val="007F7CCF"/>
    <w:rsid w:val="007F7E70"/>
    <w:rsid w:val="00800095"/>
    <w:rsid w:val="008003A0"/>
    <w:rsid w:val="0080060D"/>
    <w:rsid w:val="00800977"/>
    <w:rsid w:val="00800EAE"/>
    <w:rsid w:val="008010AE"/>
    <w:rsid w:val="008010AF"/>
    <w:rsid w:val="00801143"/>
    <w:rsid w:val="008017A9"/>
    <w:rsid w:val="00801A73"/>
    <w:rsid w:val="008025A0"/>
    <w:rsid w:val="00802C8C"/>
    <w:rsid w:val="00803052"/>
    <w:rsid w:val="00803157"/>
    <w:rsid w:val="008031EC"/>
    <w:rsid w:val="008034D8"/>
    <w:rsid w:val="00803764"/>
    <w:rsid w:val="00803B82"/>
    <w:rsid w:val="00804063"/>
    <w:rsid w:val="0080419A"/>
    <w:rsid w:val="008042A0"/>
    <w:rsid w:val="00804477"/>
    <w:rsid w:val="00804693"/>
    <w:rsid w:val="00804CF9"/>
    <w:rsid w:val="00805094"/>
    <w:rsid w:val="0080547E"/>
    <w:rsid w:val="008054F0"/>
    <w:rsid w:val="008055E4"/>
    <w:rsid w:val="00805BD3"/>
    <w:rsid w:val="00805D01"/>
    <w:rsid w:val="00805D0C"/>
    <w:rsid w:val="00805F3B"/>
    <w:rsid w:val="00806F23"/>
    <w:rsid w:val="0080718A"/>
    <w:rsid w:val="008078DD"/>
    <w:rsid w:val="00807BCC"/>
    <w:rsid w:val="00807BD8"/>
    <w:rsid w:val="00807C47"/>
    <w:rsid w:val="00807DB6"/>
    <w:rsid w:val="00807EB3"/>
    <w:rsid w:val="00807F0E"/>
    <w:rsid w:val="00810031"/>
    <w:rsid w:val="008100FB"/>
    <w:rsid w:val="008101F7"/>
    <w:rsid w:val="008104BB"/>
    <w:rsid w:val="008106CD"/>
    <w:rsid w:val="00810CB3"/>
    <w:rsid w:val="008119DA"/>
    <w:rsid w:val="0081261F"/>
    <w:rsid w:val="00812629"/>
    <w:rsid w:val="008126F9"/>
    <w:rsid w:val="00812B28"/>
    <w:rsid w:val="00812C2B"/>
    <w:rsid w:val="0081364E"/>
    <w:rsid w:val="00813B28"/>
    <w:rsid w:val="00813CED"/>
    <w:rsid w:val="00814137"/>
    <w:rsid w:val="00814423"/>
    <w:rsid w:val="00815425"/>
    <w:rsid w:val="00815594"/>
    <w:rsid w:val="008155E3"/>
    <w:rsid w:val="008159DD"/>
    <w:rsid w:val="00815E02"/>
    <w:rsid w:val="00815E59"/>
    <w:rsid w:val="00816287"/>
    <w:rsid w:val="0081652B"/>
    <w:rsid w:val="0081754B"/>
    <w:rsid w:val="00817638"/>
    <w:rsid w:val="00817809"/>
    <w:rsid w:val="00817DF6"/>
    <w:rsid w:val="00820187"/>
    <w:rsid w:val="00820438"/>
    <w:rsid w:val="00820511"/>
    <w:rsid w:val="00820A5E"/>
    <w:rsid w:val="00820B87"/>
    <w:rsid w:val="00820F2C"/>
    <w:rsid w:val="0082112B"/>
    <w:rsid w:val="008215A8"/>
    <w:rsid w:val="00821663"/>
    <w:rsid w:val="00821A17"/>
    <w:rsid w:val="0082214E"/>
    <w:rsid w:val="00822821"/>
    <w:rsid w:val="0082284C"/>
    <w:rsid w:val="008228A5"/>
    <w:rsid w:val="00822A25"/>
    <w:rsid w:val="00822B3C"/>
    <w:rsid w:val="0082340D"/>
    <w:rsid w:val="0082351B"/>
    <w:rsid w:val="008240A3"/>
    <w:rsid w:val="008240B2"/>
    <w:rsid w:val="008247DC"/>
    <w:rsid w:val="00824C29"/>
    <w:rsid w:val="00825053"/>
    <w:rsid w:val="00825380"/>
    <w:rsid w:val="00825593"/>
    <w:rsid w:val="00825649"/>
    <w:rsid w:val="00825C45"/>
    <w:rsid w:val="0082611D"/>
    <w:rsid w:val="008267E4"/>
    <w:rsid w:val="00826914"/>
    <w:rsid w:val="00826F71"/>
    <w:rsid w:val="00826FF7"/>
    <w:rsid w:val="008275C7"/>
    <w:rsid w:val="00827AF3"/>
    <w:rsid w:val="00827C7A"/>
    <w:rsid w:val="008305C0"/>
    <w:rsid w:val="008306F2"/>
    <w:rsid w:val="00830869"/>
    <w:rsid w:val="00830ED9"/>
    <w:rsid w:val="00831046"/>
    <w:rsid w:val="0083175B"/>
    <w:rsid w:val="008319F0"/>
    <w:rsid w:val="00831B35"/>
    <w:rsid w:val="00831BC3"/>
    <w:rsid w:val="00831C34"/>
    <w:rsid w:val="008328C9"/>
    <w:rsid w:val="00832BFE"/>
    <w:rsid w:val="00832FA8"/>
    <w:rsid w:val="0083373A"/>
    <w:rsid w:val="00833901"/>
    <w:rsid w:val="0083395F"/>
    <w:rsid w:val="00833992"/>
    <w:rsid w:val="00833B1E"/>
    <w:rsid w:val="00833F6B"/>
    <w:rsid w:val="00833FB5"/>
    <w:rsid w:val="00834018"/>
    <w:rsid w:val="00834367"/>
    <w:rsid w:val="0083471A"/>
    <w:rsid w:val="00834849"/>
    <w:rsid w:val="00834AB9"/>
    <w:rsid w:val="00835104"/>
    <w:rsid w:val="00835426"/>
    <w:rsid w:val="008355FA"/>
    <w:rsid w:val="00835B31"/>
    <w:rsid w:val="00836182"/>
    <w:rsid w:val="008361C7"/>
    <w:rsid w:val="0083661B"/>
    <w:rsid w:val="008369A3"/>
    <w:rsid w:val="008370B2"/>
    <w:rsid w:val="00837300"/>
    <w:rsid w:val="00837845"/>
    <w:rsid w:val="00837AC1"/>
    <w:rsid w:val="00837DAA"/>
    <w:rsid w:val="00837F65"/>
    <w:rsid w:val="008408E3"/>
    <w:rsid w:val="00840BE9"/>
    <w:rsid w:val="00840C33"/>
    <w:rsid w:val="00840D78"/>
    <w:rsid w:val="00840D9E"/>
    <w:rsid w:val="00840DCC"/>
    <w:rsid w:val="00840E50"/>
    <w:rsid w:val="0084102E"/>
    <w:rsid w:val="008410B6"/>
    <w:rsid w:val="00841239"/>
    <w:rsid w:val="00841510"/>
    <w:rsid w:val="00841882"/>
    <w:rsid w:val="00841B61"/>
    <w:rsid w:val="008423C3"/>
    <w:rsid w:val="008424E3"/>
    <w:rsid w:val="008429EC"/>
    <w:rsid w:val="00842D5C"/>
    <w:rsid w:val="0084322B"/>
    <w:rsid w:val="0084371D"/>
    <w:rsid w:val="00843D80"/>
    <w:rsid w:val="00844554"/>
    <w:rsid w:val="0084477A"/>
    <w:rsid w:val="00844DD8"/>
    <w:rsid w:val="008450FB"/>
    <w:rsid w:val="00845438"/>
    <w:rsid w:val="008458A2"/>
    <w:rsid w:val="00845B33"/>
    <w:rsid w:val="00845D54"/>
    <w:rsid w:val="0084623D"/>
    <w:rsid w:val="008464B5"/>
    <w:rsid w:val="00846BD8"/>
    <w:rsid w:val="008478CE"/>
    <w:rsid w:val="00847929"/>
    <w:rsid w:val="00847C2A"/>
    <w:rsid w:val="00847C2B"/>
    <w:rsid w:val="00847E7D"/>
    <w:rsid w:val="00847F14"/>
    <w:rsid w:val="00850026"/>
    <w:rsid w:val="008503A8"/>
    <w:rsid w:val="008507A6"/>
    <w:rsid w:val="00850B48"/>
    <w:rsid w:val="00850B4B"/>
    <w:rsid w:val="00850BEA"/>
    <w:rsid w:val="00850CD9"/>
    <w:rsid w:val="00850CF7"/>
    <w:rsid w:val="00851545"/>
    <w:rsid w:val="00852314"/>
    <w:rsid w:val="008526E5"/>
    <w:rsid w:val="00852B8E"/>
    <w:rsid w:val="008531D9"/>
    <w:rsid w:val="00854B58"/>
    <w:rsid w:val="00854C5C"/>
    <w:rsid w:val="00854D25"/>
    <w:rsid w:val="00854F52"/>
    <w:rsid w:val="008550A5"/>
    <w:rsid w:val="00855490"/>
    <w:rsid w:val="00855729"/>
    <w:rsid w:val="0085583B"/>
    <w:rsid w:val="00855A1F"/>
    <w:rsid w:val="00855ACC"/>
    <w:rsid w:val="00855B1F"/>
    <w:rsid w:val="00855F0A"/>
    <w:rsid w:val="00856045"/>
    <w:rsid w:val="008563EA"/>
    <w:rsid w:val="00856477"/>
    <w:rsid w:val="008564B4"/>
    <w:rsid w:val="0085669B"/>
    <w:rsid w:val="00856B54"/>
    <w:rsid w:val="00857E85"/>
    <w:rsid w:val="008602D8"/>
    <w:rsid w:val="00860405"/>
    <w:rsid w:val="008604B3"/>
    <w:rsid w:val="00860530"/>
    <w:rsid w:val="0086095D"/>
    <w:rsid w:val="008609CF"/>
    <w:rsid w:val="00860E75"/>
    <w:rsid w:val="0086103A"/>
    <w:rsid w:val="008617DE"/>
    <w:rsid w:val="008617EA"/>
    <w:rsid w:val="008619B8"/>
    <w:rsid w:val="00861BA5"/>
    <w:rsid w:val="00861C19"/>
    <w:rsid w:val="00861CC9"/>
    <w:rsid w:val="0086208D"/>
    <w:rsid w:val="00862967"/>
    <w:rsid w:val="008629E3"/>
    <w:rsid w:val="008636BC"/>
    <w:rsid w:val="008639BE"/>
    <w:rsid w:val="00863B27"/>
    <w:rsid w:val="00864321"/>
    <w:rsid w:val="00864F46"/>
    <w:rsid w:val="0086504E"/>
    <w:rsid w:val="00865457"/>
    <w:rsid w:val="0086548E"/>
    <w:rsid w:val="00865581"/>
    <w:rsid w:val="008658A3"/>
    <w:rsid w:val="00865DC8"/>
    <w:rsid w:val="00865F4B"/>
    <w:rsid w:val="008661B5"/>
    <w:rsid w:val="008667A5"/>
    <w:rsid w:val="008667D2"/>
    <w:rsid w:val="008668E6"/>
    <w:rsid w:val="00866A72"/>
    <w:rsid w:val="00866B53"/>
    <w:rsid w:val="00866B6E"/>
    <w:rsid w:val="00866CB3"/>
    <w:rsid w:val="00866E0F"/>
    <w:rsid w:val="00867C5F"/>
    <w:rsid w:val="00867E91"/>
    <w:rsid w:val="00870D58"/>
    <w:rsid w:val="00870F55"/>
    <w:rsid w:val="008711A6"/>
    <w:rsid w:val="008712A0"/>
    <w:rsid w:val="0087135D"/>
    <w:rsid w:val="00871399"/>
    <w:rsid w:val="00871549"/>
    <w:rsid w:val="0087171A"/>
    <w:rsid w:val="008717D4"/>
    <w:rsid w:val="00871C51"/>
    <w:rsid w:val="00871DFB"/>
    <w:rsid w:val="00872031"/>
    <w:rsid w:val="008722AA"/>
    <w:rsid w:val="008724DA"/>
    <w:rsid w:val="00872621"/>
    <w:rsid w:val="00872634"/>
    <w:rsid w:val="008727AA"/>
    <w:rsid w:val="008729DD"/>
    <w:rsid w:val="00872CCD"/>
    <w:rsid w:val="00872D37"/>
    <w:rsid w:val="00873250"/>
    <w:rsid w:val="00873825"/>
    <w:rsid w:val="00873995"/>
    <w:rsid w:val="008739EF"/>
    <w:rsid w:val="00873ADE"/>
    <w:rsid w:val="0087400E"/>
    <w:rsid w:val="0087428E"/>
    <w:rsid w:val="00874489"/>
    <w:rsid w:val="00874700"/>
    <w:rsid w:val="00874A4A"/>
    <w:rsid w:val="00874CA9"/>
    <w:rsid w:val="00874DA5"/>
    <w:rsid w:val="0087515E"/>
    <w:rsid w:val="008752DE"/>
    <w:rsid w:val="008759F0"/>
    <w:rsid w:val="00875AB5"/>
    <w:rsid w:val="00875CCB"/>
    <w:rsid w:val="00875F1F"/>
    <w:rsid w:val="00876164"/>
    <w:rsid w:val="00876454"/>
    <w:rsid w:val="00876639"/>
    <w:rsid w:val="0087679E"/>
    <w:rsid w:val="00876BFB"/>
    <w:rsid w:val="00876DA7"/>
    <w:rsid w:val="00876F9A"/>
    <w:rsid w:val="00877217"/>
    <w:rsid w:val="00877C17"/>
    <w:rsid w:val="00877E5F"/>
    <w:rsid w:val="00880A80"/>
    <w:rsid w:val="00880B02"/>
    <w:rsid w:val="00880E4B"/>
    <w:rsid w:val="00881814"/>
    <w:rsid w:val="00881D05"/>
    <w:rsid w:val="00881DFB"/>
    <w:rsid w:val="008820DF"/>
    <w:rsid w:val="00882226"/>
    <w:rsid w:val="00882E87"/>
    <w:rsid w:val="00883096"/>
    <w:rsid w:val="008837D0"/>
    <w:rsid w:val="008837FF"/>
    <w:rsid w:val="008839E5"/>
    <w:rsid w:val="00883C78"/>
    <w:rsid w:val="00883D55"/>
    <w:rsid w:val="0088416F"/>
    <w:rsid w:val="0088460A"/>
    <w:rsid w:val="00884A97"/>
    <w:rsid w:val="00885DB1"/>
    <w:rsid w:val="008863EA"/>
    <w:rsid w:val="00886625"/>
    <w:rsid w:val="008868AB"/>
    <w:rsid w:val="00886C2E"/>
    <w:rsid w:val="00886EB4"/>
    <w:rsid w:val="00886F58"/>
    <w:rsid w:val="00887058"/>
    <w:rsid w:val="00887557"/>
    <w:rsid w:val="0088761A"/>
    <w:rsid w:val="008879A0"/>
    <w:rsid w:val="00887B49"/>
    <w:rsid w:val="00887F8D"/>
    <w:rsid w:val="00890352"/>
    <w:rsid w:val="00890581"/>
    <w:rsid w:val="00890703"/>
    <w:rsid w:val="00890A9E"/>
    <w:rsid w:val="00890D4F"/>
    <w:rsid w:val="00891612"/>
    <w:rsid w:val="00891BFC"/>
    <w:rsid w:val="00891CCA"/>
    <w:rsid w:val="00892327"/>
    <w:rsid w:val="00892576"/>
    <w:rsid w:val="008926F4"/>
    <w:rsid w:val="00892AE0"/>
    <w:rsid w:val="00892E4B"/>
    <w:rsid w:val="008932FA"/>
    <w:rsid w:val="00893790"/>
    <w:rsid w:val="00893BCB"/>
    <w:rsid w:val="00893DAA"/>
    <w:rsid w:val="00893DE6"/>
    <w:rsid w:val="00893F35"/>
    <w:rsid w:val="00893F6F"/>
    <w:rsid w:val="008943FD"/>
    <w:rsid w:val="00894601"/>
    <w:rsid w:val="0089475A"/>
    <w:rsid w:val="00894CD3"/>
    <w:rsid w:val="00895141"/>
    <w:rsid w:val="008955FF"/>
    <w:rsid w:val="008956CF"/>
    <w:rsid w:val="00895717"/>
    <w:rsid w:val="00895BBB"/>
    <w:rsid w:val="00895C3F"/>
    <w:rsid w:val="00895D3D"/>
    <w:rsid w:val="00895D49"/>
    <w:rsid w:val="008960AB"/>
    <w:rsid w:val="00896115"/>
    <w:rsid w:val="008961F7"/>
    <w:rsid w:val="0089649A"/>
    <w:rsid w:val="00896979"/>
    <w:rsid w:val="0089699B"/>
    <w:rsid w:val="00897067"/>
    <w:rsid w:val="00897096"/>
    <w:rsid w:val="00897605"/>
    <w:rsid w:val="008A0030"/>
    <w:rsid w:val="008A0293"/>
    <w:rsid w:val="008A02BA"/>
    <w:rsid w:val="008A0342"/>
    <w:rsid w:val="008A09E6"/>
    <w:rsid w:val="008A13B5"/>
    <w:rsid w:val="008A13FB"/>
    <w:rsid w:val="008A2724"/>
    <w:rsid w:val="008A32CC"/>
    <w:rsid w:val="008A335A"/>
    <w:rsid w:val="008A34DB"/>
    <w:rsid w:val="008A3715"/>
    <w:rsid w:val="008A3DAE"/>
    <w:rsid w:val="008A3E0C"/>
    <w:rsid w:val="008A409B"/>
    <w:rsid w:val="008A447B"/>
    <w:rsid w:val="008A4654"/>
    <w:rsid w:val="008A46CB"/>
    <w:rsid w:val="008A4912"/>
    <w:rsid w:val="008A4A4B"/>
    <w:rsid w:val="008A5120"/>
    <w:rsid w:val="008A6491"/>
    <w:rsid w:val="008A6708"/>
    <w:rsid w:val="008A6AC8"/>
    <w:rsid w:val="008A6D6E"/>
    <w:rsid w:val="008A6DC5"/>
    <w:rsid w:val="008A6E3C"/>
    <w:rsid w:val="008A7018"/>
    <w:rsid w:val="008A70C3"/>
    <w:rsid w:val="008A7534"/>
    <w:rsid w:val="008A77DD"/>
    <w:rsid w:val="008A7CF1"/>
    <w:rsid w:val="008A7DFD"/>
    <w:rsid w:val="008B0379"/>
    <w:rsid w:val="008B0674"/>
    <w:rsid w:val="008B0692"/>
    <w:rsid w:val="008B0923"/>
    <w:rsid w:val="008B0B43"/>
    <w:rsid w:val="008B0B60"/>
    <w:rsid w:val="008B0BD0"/>
    <w:rsid w:val="008B0C1E"/>
    <w:rsid w:val="008B0CFF"/>
    <w:rsid w:val="008B0E44"/>
    <w:rsid w:val="008B1F6F"/>
    <w:rsid w:val="008B20C2"/>
    <w:rsid w:val="008B2549"/>
    <w:rsid w:val="008B2628"/>
    <w:rsid w:val="008B2ADD"/>
    <w:rsid w:val="008B2F95"/>
    <w:rsid w:val="008B3162"/>
    <w:rsid w:val="008B333C"/>
    <w:rsid w:val="008B3851"/>
    <w:rsid w:val="008B3996"/>
    <w:rsid w:val="008B3CD2"/>
    <w:rsid w:val="008B3DB1"/>
    <w:rsid w:val="008B40A3"/>
    <w:rsid w:val="008B41ED"/>
    <w:rsid w:val="008B4306"/>
    <w:rsid w:val="008B4439"/>
    <w:rsid w:val="008B467D"/>
    <w:rsid w:val="008B4774"/>
    <w:rsid w:val="008B499B"/>
    <w:rsid w:val="008B4B8B"/>
    <w:rsid w:val="008B4C04"/>
    <w:rsid w:val="008B4D07"/>
    <w:rsid w:val="008B4D55"/>
    <w:rsid w:val="008B553D"/>
    <w:rsid w:val="008B5AAD"/>
    <w:rsid w:val="008B5C6E"/>
    <w:rsid w:val="008B5D1F"/>
    <w:rsid w:val="008B63D3"/>
    <w:rsid w:val="008B6484"/>
    <w:rsid w:val="008B6596"/>
    <w:rsid w:val="008B686A"/>
    <w:rsid w:val="008B6AD0"/>
    <w:rsid w:val="008B6BC0"/>
    <w:rsid w:val="008B72A2"/>
    <w:rsid w:val="008B74CC"/>
    <w:rsid w:val="008B7572"/>
    <w:rsid w:val="008B75E1"/>
    <w:rsid w:val="008B767C"/>
    <w:rsid w:val="008B7AFF"/>
    <w:rsid w:val="008C011F"/>
    <w:rsid w:val="008C020E"/>
    <w:rsid w:val="008C06FA"/>
    <w:rsid w:val="008C0805"/>
    <w:rsid w:val="008C0888"/>
    <w:rsid w:val="008C096C"/>
    <w:rsid w:val="008C0B37"/>
    <w:rsid w:val="008C0B6E"/>
    <w:rsid w:val="008C1756"/>
    <w:rsid w:val="008C19EF"/>
    <w:rsid w:val="008C1CAA"/>
    <w:rsid w:val="008C1E3E"/>
    <w:rsid w:val="008C2369"/>
    <w:rsid w:val="008C26F4"/>
    <w:rsid w:val="008C2722"/>
    <w:rsid w:val="008C2C39"/>
    <w:rsid w:val="008C31E0"/>
    <w:rsid w:val="008C3241"/>
    <w:rsid w:val="008C3539"/>
    <w:rsid w:val="008C3810"/>
    <w:rsid w:val="008C3BB0"/>
    <w:rsid w:val="008C3D2D"/>
    <w:rsid w:val="008C4038"/>
    <w:rsid w:val="008C4047"/>
    <w:rsid w:val="008C408E"/>
    <w:rsid w:val="008C4399"/>
    <w:rsid w:val="008C46E0"/>
    <w:rsid w:val="008C4888"/>
    <w:rsid w:val="008C4C14"/>
    <w:rsid w:val="008C4D5A"/>
    <w:rsid w:val="008C519C"/>
    <w:rsid w:val="008C5208"/>
    <w:rsid w:val="008C58DE"/>
    <w:rsid w:val="008C5B28"/>
    <w:rsid w:val="008C5B83"/>
    <w:rsid w:val="008C5D66"/>
    <w:rsid w:val="008C60AD"/>
    <w:rsid w:val="008C6179"/>
    <w:rsid w:val="008C624A"/>
    <w:rsid w:val="008C662C"/>
    <w:rsid w:val="008C69CD"/>
    <w:rsid w:val="008C6B05"/>
    <w:rsid w:val="008C7106"/>
    <w:rsid w:val="008C71D4"/>
    <w:rsid w:val="008C7477"/>
    <w:rsid w:val="008C75A3"/>
    <w:rsid w:val="008D03E4"/>
    <w:rsid w:val="008D06B1"/>
    <w:rsid w:val="008D0BA6"/>
    <w:rsid w:val="008D0ECF"/>
    <w:rsid w:val="008D1DB1"/>
    <w:rsid w:val="008D1DF0"/>
    <w:rsid w:val="008D2244"/>
    <w:rsid w:val="008D2337"/>
    <w:rsid w:val="008D2661"/>
    <w:rsid w:val="008D26E3"/>
    <w:rsid w:val="008D3726"/>
    <w:rsid w:val="008D37EF"/>
    <w:rsid w:val="008D3892"/>
    <w:rsid w:val="008D39AA"/>
    <w:rsid w:val="008D3D61"/>
    <w:rsid w:val="008D3E0B"/>
    <w:rsid w:val="008D4002"/>
    <w:rsid w:val="008D4490"/>
    <w:rsid w:val="008D4507"/>
    <w:rsid w:val="008D4783"/>
    <w:rsid w:val="008D47F8"/>
    <w:rsid w:val="008D4F0E"/>
    <w:rsid w:val="008D4FF8"/>
    <w:rsid w:val="008D5118"/>
    <w:rsid w:val="008D54CF"/>
    <w:rsid w:val="008D551F"/>
    <w:rsid w:val="008D55F9"/>
    <w:rsid w:val="008D572C"/>
    <w:rsid w:val="008D5AE5"/>
    <w:rsid w:val="008D5AFD"/>
    <w:rsid w:val="008D5EAE"/>
    <w:rsid w:val="008D5F49"/>
    <w:rsid w:val="008D62A7"/>
    <w:rsid w:val="008D66F3"/>
    <w:rsid w:val="008D6A2F"/>
    <w:rsid w:val="008D6A9C"/>
    <w:rsid w:val="008D6C4D"/>
    <w:rsid w:val="008D70F6"/>
    <w:rsid w:val="008D73CA"/>
    <w:rsid w:val="008D7FE5"/>
    <w:rsid w:val="008E01DD"/>
    <w:rsid w:val="008E03BF"/>
    <w:rsid w:val="008E064B"/>
    <w:rsid w:val="008E0680"/>
    <w:rsid w:val="008E073F"/>
    <w:rsid w:val="008E076C"/>
    <w:rsid w:val="008E0D56"/>
    <w:rsid w:val="008E146B"/>
    <w:rsid w:val="008E155A"/>
    <w:rsid w:val="008E16F8"/>
    <w:rsid w:val="008E1DF7"/>
    <w:rsid w:val="008E215A"/>
    <w:rsid w:val="008E29F1"/>
    <w:rsid w:val="008E2B2F"/>
    <w:rsid w:val="008E2B65"/>
    <w:rsid w:val="008E2DE9"/>
    <w:rsid w:val="008E3118"/>
    <w:rsid w:val="008E348C"/>
    <w:rsid w:val="008E3541"/>
    <w:rsid w:val="008E38D0"/>
    <w:rsid w:val="008E3C34"/>
    <w:rsid w:val="008E3DCF"/>
    <w:rsid w:val="008E3EBC"/>
    <w:rsid w:val="008E3FAF"/>
    <w:rsid w:val="008E43A6"/>
    <w:rsid w:val="008E448E"/>
    <w:rsid w:val="008E46B0"/>
    <w:rsid w:val="008E4786"/>
    <w:rsid w:val="008E4DFF"/>
    <w:rsid w:val="008E4F00"/>
    <w:rsid w:val="008E549E"/>
    <w:rsid w:val="008E54D0"/>
    <w:rsid w:val="008E578B"/>
    <w:rsid w:val="008E59EE"/>
    <w:rsid w:val="008E5C84"/>
    <w:rsid w:val="008E5E23"/>
    <w:rsid w:val="008E5F07"/>
    <w:rsid w:val="008E5F8A"/>
    <w:rsid w:val="008E5FAF"/>
    <w:rsid w:val="008E60B4"/>
    <w:rsid w:val="008E624C"/>
    <w:rsid w:val="008E63A2"/>
    <w:rsid w:val="008E67C0"/>
    <w:rsid w:val="008E6CA4"/>
    <w:rsid w:val="008E6FB5"/>
    <w:rsid w:val="008E70C9"/>
    <w:rsid w:val="008E71C3"/>
    <w:rsid w:val="008E74C5"/>
    <w:rsid w:val="008E75A7"/>
    <w:rsid w:val="008E7A15"/>
    <w:rsid w:val="008E7B46"/>
    <w:rsid w:val="008E7F81"/>
    <w:rsid w:val="008E7F9F"/>
    <w:rsid w:val="008F0852"/>
    <w:rsid w:val="008F09FE"/>
    <w:rsid w:val="008F0B34"/>
    <w:rsid w:val="008F0E69"/>
    <w:rsid w:val="008F1046"/>
    <w:rsid w:val="008F105B"/>
    <w:rsid w:val="008F1214"/>
    <w:rsid w:val="008F1488"/>
    <w:rsid w:val="008F18B3"/>
    <w:rsid w:val="008F1B4D"/>
    <w:rsid w:val="008F1BF5"/>
    <w:rsid w:val="008F1C6B"/>
    <w:rsid w:val="008F1E40"/>
    <w:rsid w:val="008F248D"/>
    <w:rsid w:val="008F281A"/>
    <w:rsid w:val="008F2DAA"/>
    <w:rsid w:val="008F2DC7"/>
    <w:rsid w:val="008F3130"/>
    <w:rsid w:val="008F359B"/>
    <w:rsid w:val="008F426A"/>
    <w:rsid w:val="008F4CF9"/>
    <w:rsid w:val="008F4E1E"/>
    <w:rsid w:val="008F5253"/>
    <w:rsid w:val="008F548C"/>
    <w:rsid w:val="008F588D"/>
    <w:rsid w:val="008F5890"/>
    <w:rsid w:val="008F5B59"/>
    <w:rsid w:val="008F62CF"/>
    <w:rsid w:val="008F6952"/>
    <w:rsid w:val="008F6AF3"/>
    <w:rsid w:val="008F6E9D"/>
    <w:rsid w:val="008F7381"/>
    <w:rsid w:val="008F75D0"/>
    <w:rsid w:val="008F76F0"/>
    <w:rsid w:val="008F7786"/>
    <w:rsid w:val="008F78A4"/>
    <w:rsid w:val="008F7A4D"/>
    <w:rsid w:val="008F7ECF"/>
    <w:rsid w:val="00900336"/>
    <w:rsid w:val="009005A1"/>
    <w:rsid w:val="00900C12"/>
    <w:rsid w:val="00900C92"/>
    <w:rsid w:val="009011FA"/>
    <w:rsid w:val="009013BE"/>
    <w:rsid w:val="00901EDF"/>
    <w:rsid w:val="009024F3"/>
    <w:rsid w:val="009025B7"/>
    <w:rsid w:val="00902C5B"/>
    <w:rsid w:val="00903939"/>
    <w:rsid w:val="00903B74"/>
    <w:rsid w:val="00903CAE"/>
    <w:rsid w:val="00903EBF"/>
    <w:rsid w:val="00904084"/>
    <w:rsid w:val="00904867"/>
    <w:rsid w:val="00904B01"/>
    <w:rsid w:val="00904B02"/>
    <w:rsid w:val="00904BBF"/>
    <w:rsid w:val="00904E3F"/>
    <w:rsid w:val="00904F2B"/>
    <w:rsid w:val="009050B9"/>
    <w:rsid w:val="00905752"/>
    <w:rsid w:val="00905AED"/>
    <w:rsid w:val="00905D07"/>
    <w:rsid w:val="00905DBD"/>
    <w:rsid w:val="0090603B"/>
    <w:rsid w:val="00906288"/>
    <w:rsid w:val="0090644A"/>
    <w:rsid w:val="009069F9"/>
    <w:rsid w:val="00906AD9"/>
    <w:rsid w:val="00906B03"/>
    <w:rsid w:val="00906C79"/>
    <w:rsid w:val="00906CBA"/>
    <w:rsid w:val="00906E14"/>
    <w:rsid w:val="009070BF"/>
    <w:rsid w:val="009076FD"/>
    <w:rsid w:val="00907D0F"/>
    <w:rsid w:val="00910161"/>
    <w:rsid w:val="00910587"/>
    <w:rsid w:val="00910704"/>
    <w:rsid w:val="00910953"/>
    <w:rsid w:val="00910AFA"/>
    <w:rsid w:val="00910C2A"/>
    <w:rsid w:val="0091113E"/>
    <w:rsid w:val="009111B8"/>
    <w:rsid w:val="0091146C"/>
    <w:rsid w:val="0091176B"/>
    <w:rsid w:val="00911DA7"/>
    <w:rsid w:val="009124E3"/>
    <w:rsid w:val="009126D1"/>
    <w:rsid w:val="00912820"/>
    <w:rsid w:val="009128CC"/>
    <w:rsid w:val="009128E8"/>
    <w:rsid w:val="00912B89"/>
    <w:rsid w:val="00912DED"/>
    <w:rsid w:val="00913EC9"/>
    <w:rsid w:val="009143EA"/>
    <w:rsid w:val="009145B1"/>
    <w:rsid w:val="009147B1"/>
    <w:rsid w:val="00914BDE"/>
    <w:rsid w:val="0091579A"/>
    <w:rsid w:val="00916059"/>
    <w:rsid w:val="00916471"/>
    <w:rsid w:val="0091649D"/>
    <w:rsid w:val="00916C81"/>
    <w:rsid w:val="00916DA8"/>
    <w:rsid w:val="00916F4A"/>
    <w:rsid w:val="009171D3"/>
    <w:rsid w:val="0091732C"/>
    <w:rsid w:val="00917A37"/>
    <w:rsid w:val="00917EA2"/>
    <w:rsid w:val="00917FDC"/>
    <w:rsid w:val="00920549"/>
    <w:rsid w:val="009205C7"/>
    <w:rsid w:val="00920962"/>
    <w:rsid w:val="00920A27"/>
    <w:rsid w:val="00920A89"/>
    <w:rsid w:val="00921076"/>
    <w:rsid w:val="0092112C"/>
    <w:rsid w:val="009211D3"/>
    <w:rsid w:val="0092197D"/>
    <w:rsid w:val="009220C7"/>
    <w:rsid w:val="00922171"/>
    <w:rsid w:val="009236D8"/>
    <w:rsid w:val="00923F76"/>
    <w:rsid w:val="00924269"/>
    <w:rsid w:val="0092462C"/>
    <w:rsid w:val="00924B14"/>
    <w:rsid w:val="009252B4"/>
    <w:rsid w:val="0092569D"/>
    <w:rsid w:val="0092570A"/>
    <w:rsid w:val="00925A4C"/>
    <w:rsid w:val="00926CF3"/>
    <w:rsid w:val="00927211"/>
    <w:rsid w:val="0092726F"/>
    <w:rsid w:val="00927CDC"/>
    <w:rsid w:val="00927E28"/>
    <w:rsid w:val="00930433"/>
    <w:rsid w:val="009305D8"/>
    <w:rsid w:val="009308AB"/>
    <w:rsid w:val="009308F0"/>
    <w:rsid w:val="00930A22"/>
    <w:rsid w:val="00930EC4"/>
    <w:rsid w:val="00930F80"/>
    <w:rsid w:val="00932032"/>
    <w:rsid w:val="009321EA"/>
    <w:rsid w:val="0093251D"/>
    <w:rsid w:val="00932855"/>
    <w:rsid w:val="00932FF0"/>
    <w:rsid w:val="00933192"/>
    <w:rsid w:val="00933449"/>
    <w:rsid w:val="00933531"/>
    <w:rsid w:val="0093479C"/>
    <w:rsid w:val="009353A9"/>
    <w:rsid w:val="009354C6"/>
    <w:rsid w:val="00935F44"/>
    <w:rsid w:val="00935F4C"/>
    <w:rsid w:val="0093671E"/>
    <w:rsid w:val="00936B30"/>
    <w:rsid w:val="00936C55"/>
    <w:rsid w:val="00936C94"/>
    <w:rsid w:val="00936E36"/>
    <w:rsid w:val="00936E6F"/>
    <w:rsid w:val="009372E1"/>
    <w:rsid w:val="00937327"/>
    <w:rsid w:val="00937CD8"/>
    <w:rsid w:val="00937DFB"/>
    <w:rsid w:val="0094069F"/>
    <w:rsid w:val="00940E42"/>
    <w:rsid w:val="00941C24"/>
    <w:rsid w:val="00941D69"/>
    <w:rsid w:val="00941E5E"/>
    <w:rsid w:val="00942317"/>
    <w:rsid w:val="009424DC"/>
    <w:rsid w:val="00942F01"/>
    <w:rsid w:val="0094351A"/>
    <w:rsid w:val="009441F8"/>
    <w:rsid w:val="009442A1"/>
    <w:rsid w:val="00944394"/>
    <w:rsid w:val="009443E0"/>
    <w:rsid w:val="00944597"/>
    <w:rsid w:val="00944757"/>
    <w:rsid w:val="00944936"/>
    <w:rsid w:val="00944AA7"/>
    <w:rsid w:val="00944D50"/>
    <w:rsid w:val="00945609"/>
    <w:rsid w:val="00945651"/>
    <w:rsid w:val="00945B77"/>
    <w:rsid w:val="00945BAF"/>
    <w:rsid w:val="00946486"/>
    <w:rsid w:val="00946A21"/>
    <w:rsid w:val="00946A74"/>
    <w:rsid w:val="00946AD7"/>
    <w:rsid w:val="00946DF6"/>
    <w:rsid w:val="00946F90"/>
    <w:rsid w:val="0094704D"/>
    <w:rsid w:val="00947160"/>
    <w:rsid w:val="00947C30"/>
    <w:rsid w:val="00947C53"/>
    <w:rsid w:val="00947F91"/>
    <w:rsid w:val="00950051"/>
    <w:rsid w:val="0095045E"/>
    <w:rsid w:val="00950571"/>
    <w:rsid w:val="00950CB9"/>
    <w:rsid w:val="00951B8C"/>
    <w:rsid w:val="009522F2"/>
    <w:rsid w:val="009524D2"/>
    <w:rsid w:val="00952589"/>
    <w:rsid w:val="00952D7C"/>
    <w:rsid w:val="009534CF"/>
    <w:rsid w:val="00953AE4"/>
    <w:rsid w:val="009540D9"/>
    <w:rsid w:val="00954397"/>
    <w:rsid w:val="009546F6"/>
    <w:rsid w:val="009547C1"/>
    <w:rsid w:val="00954882"/>
    <w:rsid w:val="009548C3"/>
    <w:rsid w:val="00954A4F"/>
    <w:rsid w:val="00954C73"/>
    <w:rsid w:val="00954FA1"/>
    <w:rsid w:val="009554DB"/>
    <w:rsid w:val="00955740"/>
    <w:rsid w:val="00955D9A"/>
    <w:rsid w:val="0095605B"/>
    <w:rsid w:val="009560A6"/>
    <w:rsid w:val="0095626F"/>
    <w:rsid w:val="00956479"/>
    <w:rsid w:val="0095656C"/>
    <w:rsid w:val="009569C9"/>
    <w:rsid w:val="00956BA1"/>
    <w:rsid w:val="00956BC8"/>
    <w:rsid w:val="00956C20"/>
    <w:rsid w:val="00956C47"/>
    <w:rsid w:val="00956D80"/>
    <w:rsid w:val="00956E4D"/>
    <w:rsid w:val="009578A6"/>
    <w:rsid w:val="00957A23"/>
    <w:rsid w:val="00957C10"/>
    <w:rsid w:val="00957FBE"/>
    <w:rsid w:val="00960051"/>
    <w:rsid w:val="009606FB"/>
    <w:rsid w:val="00960710"/>
    <w:rsid w:val="00960B3A"/>
    <w:rsid w:val="00960EE1"/>
    <w:rsid w:val="009610E2"/>
    <w:rsid w:val="00961288"/>
    <w:rsid w:val="00961305"/>
    <w:rsid w:val="00961356"/>
    <w:rsid w:val="0096164D"/>
    <w:rsid w:val="00961D0C"/>
    <w:rsid w:val="00961D8C"/>
    <w:rsid w:val="009623D4"/>
    <w:rsid w:val="009629F4"/>
    <w:rsid w:val="00962C88"/>
    <w:rsid w:val="00962C9F"/>
    <w:rsid w:val="00962DC7"/>
    <w:rsid w:val="00963146"/>
    <w:rsid w:val="009633D8"/>
    <w:rsid w:val="009633EC"/>
    <w:rsid w:val="00963471"/>
    <w:rsid w:val="00963795"/>
    <w:rsid w:val="00963C53"/>
    <w:rsid w:val="00963DA9"/>
    <w:rsid w:val="0096455D"/>
    <w:rsid w:val="0096472F"/>
    <w:rsid w:val="00964C8A"/>
    <w:rsid w:val="00964F55"/>
    <w:rsid w:val="0096545F"/>
    <w:rsid w:val="00965CA6"/>
    <w:rsid w:val="00965CBF"/>
    <w:rsid w:val="00966271"/>
    <w:rsid w:val="009667D4"/>
    <w:rsid w:val="00966C03"/>
    <w:rsid w:val="009671E5"/>
    <w:rsid w:val="0096747B"/>
    <w:rsid w:val="0096759C"/>
    <w:rsid w:val="009678E2"/>
    <w:rsid w:val="00967906"/>
    <w:rsid w:val="00967A9D"/>
    <w:rsid w:val="00967B4E"/>
    <w:rsid w:val="009706CB"/>
    <w:rsid w:val="009709DA"/>
    <w:rsid w:val="00970D1C"/>
    <w:rsid w:val="00971404"/>
    <w:rsid w:val="009716EF"/>
    <w:rsid w:val="00971EFD"/>
    <w:rsid w:val="009728FD"/>
    <w:rsid w:val="00973687"/>
    <w:rsid w:val="0097372C"/>
    <w:rsid w:val="009739C3"/>
    <w:rsid w:val="00973D14"/>
    <w:rsid w:val="0097417E"/>
    <w:rsid w:val="0097468E"/>
    <w:rsid w:val="00974C7D"/>
    <w:rsid w:val="00974EBD"/>
    <w:rsid w:val="009750E7"/>
    <w:rsid w:val="00975B4C"/>
    <w:rsid w:val="00975E98"/>
    <w:rsid w:val="009769C6"/>
    <w:rsid w:val="00976D0D"/>
    <w:rsid w:val="00976DFD"/>
    <w:rsid w:val="0097703C"/>
    <w:rsid w:val="009773A2"/>
    <w:rsid w:val="0097796A"/>
    <w:rsid w:val="00977F47"/>
    <w:rsid w:val="0098051F"/>
    <w:rsid w:val="0098095F"/>
    <w:rsid w:val="00980AC7"/>
    <w:rsid w:val="00980FD2"/>
    <w:rsid w:val="00981159"/>
    <w:rsid w:val="00981748"/>
    <w:rsid w:val="009819EB"/>
    <w:rsid w:val="00981BB8"/>
    <w:rsid w:val="00982184"/>
    <w:rsid w:val="009828D4"/>
    <w:rsid w:val="00982A0A"/>
    <w:rsid w:val="00982B64"/>
    <w:rsid w:val="0098300E"/>
    <w:rsid w:val="009834EB"/>
    <w:rsid w:val="009837EF"/>
    <w:rsid w:val="00984577"/>
    <w:rsid w:val="0098458A"/>
    <w:rsid w:val="00984935"/>
    <w:rsid w:val="00984BDC"/>
    <w:rsid w:val="00984DE2"/>
    <w:rsid w:val="00984F68"/>
    <w:rsid w:val="009852B6"/>
    <w:rsid w:val="009854F6"/>
    <w:rsid w:val="009857E0"/>
    <w:rsid w:val="00985A50"/>
    <w:rsid w:val="00986D7F"/>
    <w:rsid w:val="009870B4"/>
    <w:rsid w:val="00987814"/>
    <w:rsid w:val="00987A1D"/>
    <w:rsid w:val="0099024B"/>
    <w:rsid w:val="0099045E"/>
    <w:rsid w:val="0099058E"/>
    <w:rsid w:val="00990DEF"/>
    <w:rsid w:val="00990E2D"/>
    <w:rsid w:val="00991100"/>
    <w:rsid w:val="0099121E"/>
    <w:rsid w:val="00991656"/>
    <w:rsid w:val="00991698"/>
    <w:rsid w:val="00991716"/>
    <w:rsid w:val="009918FB"/>
    <w:rsid w:val="00991CE2"/>
    <w:rsid w:val="00991D8C"/>
    <w:rsid w:val="00992147"/>
    <w:rsid w:val="00992175"/>
    <w:rsid w:val="0099252F"/>
    <w:rsid w:val="009927E1"/>
    <w:rsid w:val="00992C3D"/>
    <w:rsid w:val="00992D1B"/>
    <w:rsid w:val="0099302A"/>
    <w:rsid w:val="00993552"/>
    <w:rsid w:val="0099359A"/>
    <w:rsid w:val="009936F1"/>
    <w:rsid w:val="009937E6"/>
    <w:rsid w:val="00993B7E"/>
    <w:rsid w:val="00993B82"/>
    <w:rsid w:val="00993F76"/>
    <w:rsid w:val="009943A8"/>
    <w:rsid w:val="00994947"/>
    <w:rsid w:val="00994AFD"/>
    <w:rsid w:val="00994EC0"/>
    <w:rsid w:val="00995087"/>
    <w:rsid w:val="00995191"/>
    <w:rsid w:val="00995422"/>
    <w:rsid w:val="0099553C"/>
    <w:rsid w:val="00995CC8"/>
    <w:rsid w:val="00996149"/>
    <w:rsid w:val="00996192"/>
    <w:rsid w:val="009965E3"/>
    <w:rsid w:val="0099674E"/>
    <w:rsid w:val="00996939"/>
    <w:rsid w:val="00996F1D"/>
    <w:rsid w:val="00997162"/>
    <w:rsid w:val="0099732C"/>
    <w:rsid w:val="00997785"/>
    <w:rsid w:val="00997848"/>
    <w:rsid w:val="009978F8"/>
    <w:rsid w:val="00997D2F"/>
    <w:rsid w:val="00997F69"/>
    <w:rsid w:val="009A000B"/>
    <w:rsid w:val="009A0130"/>
    <w:rsid w:val="009A0497"/>
    <w:rsid w:val="009A05DD"/>
    <w:rsid w:val="009A074A"/>
    <w:rsid w:val="009A0BBD"/>
    <w:rsid w:val="009A0F72"/>
    <w:rsid w:val="009A1142"/>
    <w:rsid w:val="009A11AF"/>
    <w:rsid w:val="009A13C5"/>
    <w:rsid w:val="009A172E"/>
    <w:rsid w:val="009A1A9A"/>
    <w:rsid w:val="009A27D3"/>
    <w:rsid w:val="009A2AC5"/>
    <w:rsid w:val="009A2C42"/>
    <w:rsid w:val="009A2D21"/>
    <w:rsid w:val="009A329B"/>
    <w:rsid w:val="009A3484"/>
    <w:rsid w:val="009A39E9"/>
    <w:rsid w:val="009A3F60"/>
    <w:rsid w:val="009A3F9E"/>
    <w:rsid w:val="009A424C"/>
    <w:rsid w:val="009A467A"/>
    <w:rsid w:val="009A472C"/>
    <w:rsid w:val="009A4804"/>
    <w:rsid w:val="009A484E"/>
    <w:rsid w:val="009A53C9"/>
    <w:rsid w:val="009A60A5"/>
    <w:rsid w:val="009A638C"/>
    <w:rsid w:val="009A6B5D"/>
    <w:rsid w:val="009A6BD1"/>
    <w:rsid w:val="009A6ECE"/>
    <w:rsid w:val="009A6F34"/>
    <w:rsid w:val="009A6FA0"/>
    <w:rsid w:val="009A75BC"/>
    <w:rsid w:val="009A77F8"/>
    <w:rsid w:val="009A7FE2"/>
    <w:rsid w:val="009B002B"/>
    <w:rsid w:val="009B00D3"/>
    <w:rsid w:val="009B0229"/>
    <w:rsid w:val="009B09C3"/>
    <w:rsid w:val="009B0BCC"/>
    <w:rsid w:val="009B0CB2"/>
    <w:rsid w:val="009B0EC5"/>
    <w:rsid w:val="009B10DE"/>
    <w:rsid w:val="009B157C"/>
    <w:rsid w:val="009B1820"/>
    <w:rsid w:val="009B1AAD"/>
    <w:rsid w:val="009B1D42"/>
    <w:rsid w:val="009B1D49"/>
    <w:rsid w:val="009B1D6F"/>
    <w:rsid w:val="009B1E98"/>
    <w:rsid w:val="009B2208"/>
    <w:rsid w:val="009B2293"/>
    <w:rsid w:val="009B25BD"/>
    <w:rsid w:val="009B2669"/>
    <w:rsid w:val="009B2990"/>
    <w:rsid w:val="009B29B4"/>
    <w:rsid w:val="009B29DD"/>
    <w:rsid w:val="009B2AC4"/>
    <w:rsid w:val="009B2B92"/>
    <w:rsid w:val="009B2BDF"/>
    <w:rsid w:val="009B2F18"/>
    <w:rsid w:val="009B307E"/>
    <w:rsid w:val="009B307F"/>
    <w:rsid w:val="009B3228"/>
    <w:rsid w:val="009B34A9"/>
    <w:rsid w:val="009B36BF"/>
    <w:rsid w:val="009B3DB6"/>
    <w:rsid w:val="009B423C"/>
    <w:rsid w:val="009B425D"/>
    <w:rsid w:val="009B4386"/>
    <w:rsid w:val="009B44D5"/>
    <w:rsid w:val="009B4971"/>
    <w:rsid w:val="009B4CC1"/>
    <w:rsid w:val="009B5343"/>
    <w:rsid w:val="009B5872"/>
    <w:rsid w:val="009B58DE"/>
    <w:rsid w:val="009B5A80"/>
    <w:rsid w:val="009B5BB8"/>
    <w:rsid w:val="009B663D"/>
    <w:rsid w:val="009B671B"/>
    <w:rsid w:val="009B68A3"/>
    <w:rsid w:val="009B6ACF"/>
    <w:rsid w:val="009B6B48"/>
    <w:rsid w:val="009B6C94"/>
    <w:rsid w:val="009B6F17"/>
    <w:rsid w:val="009B7064"/>
    <w:rsid w:val="009B70D9"/>
    <w:rsid w:val="009B7123"/>
    <w:rsid w:val="009B7621"/>
    <w:rsid w:val="009B7B65"/>
    <w:rsid w:val="009B7F57"/>
    <w:rsid w:val="009C0A31"/>
    <w:rsid w:val="009C0CEB"/>
    <w:rsid w:val="009C0DE0"/>
    <w:rsid w:val="009C168B"/>
    <w:rsid w:val="009C17BF"/>
    <w:rsid w:val="009C2547"/>
    <w:rsid w:val="009C25CD"/>
    <w:rsid w:val="009C27DA"/>
    <w:rsid w:val="009C2999"/>
    <w:rsid w:val="009C3476"/>
    <w:rsid w:val="009C34BC"/>
    <w:rsid w:val="009C3813"/>
    <w:rsid w:val="009C3E19"/>
    <w:rsid w:val="009C3ED8"/>
    <w:rsid w:val="009C3EE4"/>
    <w:rsid w:val="009C417E"/>
    <w:rsid w:val="009C41C5"/>
    <w:rsid w:val="009C41DD"/>
    <w:rsid w:val="009C427C"/>
    <w:rsid w:val="009C42CF"/>
    <w:rsid w:val="009C46EA"/>
    <w:rsid w:val="009C48D4"/>
    <w:rsid w:val="009C509F"/>
    <w:rsid w:val="009C5597"/>
    <w:rsid w:val="009C564E"/>
    <w:rsid w:val="009C5975"/>
    <w:rsid w:val="009C5AF6"/>
    <w:rsid w:val="009C63F7"/>
    <w:rsid w:val="009C66C8"/>
    <w:rsid w:val="009C68FC"/>
    <w:rsid w:val="009C6910"/>
    <w:rsid w:val="009C699F"/>
    <w:rsid w:val="009C6CCE"/>
    <w:rsid w:val="009C7136"/>
    <w:rsid w:val="009C73F7"/>
    <w:rsid w:val="009C74B5"/>
    <w:rsid w:val="009C74F3"/>
    <w:rsid w:val="009C766E"/>
    <w:rsid w:val="009C7795"/>
    <w:rsid w:val="009C7904"/>
    <w:rsid w:val="009C7A12"/>
    <w:rsid w:val="009C7BD2"/>
    <w:rsid w:val="009C7DA6"/>
    <w:rsid w:val="009D0398"/>
    <w:rsid w:val="009D091D"/>
    <w:rsid w:val="009D0E47"/>
    <w:rsid w:val="009D0E59"/>
    <w:rsid w:val="009D0E9E"/>
    <w:rsid w:val="009D12AC"/>
    <w:rsid w:val="009D1699"/>
    <w:rsid w:val="009D1F1C"/>
    <w:rsid w:val="009D24EF"/>
    <w:rsid w:val="009D28B3"/>
    <w:rsid w:val="009D2902"/>
    <w:rsid w:val="009D2B52"/>
    <w:rsid w:val="009D2BEC"/>
    <w:rsid w:val="009D3A4D"/>
    <w:rsid w:val="009D3AEC"/>
    <w:rsid w:val="009D3BCD"/>
    <w:rsid w:val="009D3E0F"/>
    <w:rsid w:val="009D4680"/>
    <w:rsid w:val="009D488E"/>
    <w:rsid w:val="009D4D3E"/>
    <w:rsid w:val="009D4F22"/>
    <w:rsid w:val="009D5960"/>
    <w:rsid w:val="009D5C6F"/>
    <w:rsid w:val="009D5DAA"/>
    <w:rsid w:val="009D5FB1"/>
    <w:rsid w:val="009D72D4"/>
    <w:rsid w:val="009D744E"/>
    <w:rsid w:val="009D774D"/>
    <w:rsid w:val="009D7811"/>
    <w:rsid w:val="009D7957"/>
    <w:rsid w:val="009D7A99"/>
    <w:rsid w:val="009D7CE6"/>
    <w:rsid w:val="009D7D89"/>
    <w:rsid w:val="009D7F6D"/>
    <w:rsid w:val="009D7FF0"/>
    <w:rsid w:val="009E0015"/>
    <w:rsid w:val="009E008F"/>
    <w:rsid w:val="009E01FD"/>
    <w:rsid w:val="009E04D9"/>
    <w:rsid w:val="009E0664"/>
    <w:rsid w:val="009E0870"/>
    <w:rsid w:val="009E0B6E"/>
    <w:rsid w:val="009E0D56"/>
    <w:rsid w:val="009E0FC1"/>
    <w:rsid w:val="009E12B1"/>
    <w:rsid w:val="009E1C9D"/>
    <w:rsid w:val="009E23AF"/>
    <w:rsid w:val="009E23BF"/>
    <w:rsid w:val="009E262C"/>
    <w:rsid w:val="009E2E5B"/>
    <w:rsid w:val="009E330E"/>
    <w:rsid w:val="009E33BD"/>
    <w:rsid w:val="009E3A3F"/>
    <w:rsid w:val="009E3B03"/>
    <w:rsid w:val="009E3FFE"/>
    <w:rsid w:val="009E414F"/>
    <w:rsid w:val="009E432D"/>
    <w:rsid w:val="009E43BE"/>
    <w:rsid w:val="009E4712"/>
    <w:rsid w:val="009E4849"/>
    <w:rsid w:val="009E4B0C"/>
    <w:rsid w:val="009E4BD8"/>
    <w:rsid w:val="009E4BF7"/>
    <w:rsid w:val="009E4C56"/>
    <w:rsid w:val="009E58AF"/>
    <w:rsid w:val="009E59F0"/>
    <w:rsid w:val="009E5DB9"/>
    <w:rsid w:val="009E5F1B"/>
    <w:rsid w:val="009E623D"/>
    <w:rsid w:val="009E6335"/>
    <w:rsid w:val="009E6430"/>
    <w:rsid w:val="009E6636"/>
    <w:rsid w:val="009E6D36"/>
    <w:rsid w:val="009E720C"/>
    <w:rsid w:val="009E76BA"/>
    <w:rsid w:val="009E771F"/>
    <w:rsid w:val="009E782E"/>
    <w:rsid w:val="009E7C83"/>
    <w:rsid w:val="009F02B9"/>
    <w:rsid w:val="009F03A3"/>
    <w:rsid w:val="009F0AF5"/>
    <w:rsid w:val="009F0BF1"/>
    <w:rsid w:val="009F0F47"/>
    <w:rsid w:val="009F119A"/>
    <w:rsid w:val="009F1216"/>
    <w:rsid w:val="009F1405"/>
    <w:rsid w:val="009F1474"/>
    <w:rsid w:val="009F208C"/>
    <w:rsid w:val="009F2106"/>
    <w:rsid w:val="009F2367"/>
    <w:rsid w:val="009F2706"/>
    <w:rsid w:val="009F28AF"/>
    <w:rsid w:val="009F2DB3"/>
    <w:rsid w:val="009F2E90"/>
    <w:rsid w:val="009F31BC"/>
    <w:rsid w:val="009F3B4C"/>
    <w:rsid w:val="009F3C5C"/>
    <w:rsid w:val="009F3CFA"/>
    <w:rsid w:val="009F48BD"/>
    <w:rsid w:val="009F4915"/>
    <w:rsid w:val="009F4CEB"/>
    <w:rsid w:val="009F4DEA"/>
    <w:rsid w:val="009F4E53"/>
    <w:rsid w:val="009F4E58"/>
    <w:rsid w:val="009F56A0"/>
    <w:rsid w:val="009F56F6"/>
    <w:rsid w:val="009F57E3"/>
    <w:rsid w:val="009F5BEE"/>
    <w:rsid w:val="009F5E74"/>
    <w:rsid w:val="009F624D"/>
    <w:rsid w:val="009F6374"/>
    <w:rsid w:val="009F6692"/>
    <w:rsid w:val="009F67C6"/>
    <w:rsid w:val="009F6DAB"/>
    <w:rsid w:val="009F6E34"/>
    <w:rsid w:val="009F7198"/>
    <w:rsid w:val="009F7994"/>
    <w:rsid w:val="009F7A94"/>
    <w:rsid w:val="00A0054E"/>
    <w:rsid w:val="00A00807"/>
    <w:rsid w:val="00A008A9"/>
    <w:rsid w:val="00A009F1"/>
    <w:rsid w:val="00A00F82"/>
    <w:rsid w:val="00A01026"/>
    <w:rsid w:val="00A01476"/>
    <w:rsid w:val="00A01A8D"/>
    <w:rsid w:val="00A01AFF"/>
    <w:rsid w:val="00A01C6D"/>
    <w:rsid w:val="00A0207B"/>
    <w:rsid w:val="00A02268"/>
    <w:rsid w:val="00A0277A"/>
    <w:rsid w:val="00A02AB8"/>
    <w:rsid w:val="00A02D10"/>
    <w:rsid w:val="00A035E7"/>
    <w:rsid w:val="00A03CE2"/>
    <w:rsid w:val="00A03DF4"/>
    <w:rsid w:val="00A0410F"/>
    <w:rsid w:val="00A0423D"/>
    <w:rsid w:val="00A0444F"/>
    <w:rsid w:val="00A04849"/>
    <w:rsid w:val="00A04D72"/>
    <w:rsid w:val="00A04E5D"/>
    <w:rsid w:val="00A05277"/>
    <w:rsid w:val="00A05393"/>
    <w:rsid w:val="00A05924"/>
    <w:rsid w:val="00A059B4"/>
    <w:rsid w:val="00A05D75"/>
    <w:rsid w:val="00A067E8"/>
    <w:rsid w:val="00A06D2B"/>
    <w:rsid w:val="00A070D6"/>
    <w:rsid w:val="00A0716A"/>
    <w:rsid w:val="00A075F4"/>
    <w:rsid w:val="00A07611"/>
    <w:rsid w:val="00A104D9"/>
    <w:rsid w:val="00A106E2"/>
    <w:rsid w:val="00A10C58"/>
    <w:rsid w:val="00A1126E"/>
    <w:rsid w:val="00A1143E"/>
    <w:rsid w:val="00A114A0"/>
    <w:rsid w:val="00A11991"/>
    <w:rsid w:val="00A11AEA"/>
    <w:rsid w:val="00A12015"/>
    <w:rsid w:val="00A12158"/>
    <w:rsid w:val="00A1221D"/>
    <w:rsid w:val="00A12337"/>
    <w:rsid w:val="00A127AE"/>
    <w:rsid w:val="00A13000"/>
    <w:rsid w:val="00A1362A"/>
    <w:rsid w:val="00A13795"/>
    <w:rsid w:val="00A138B2"/>
    <w:rsid w:val="00A13C00"/>
    <w:rsid w:val="00A13CBE"/>
    <w:rsid w:val="00A13F3D"/>
    <w:rsid w:val="00A1400B"/>
    <w:rsid w:val="00A140D2"/>
    <w:rsid w:val="00A14374"/>
    <w:rsid w:val="00A143E0"/>
    <w:rsid w:val="00A14728"/>
    <w:rsid w:val="00A148E2"/>
    <w:rsid w:val="00A14CA4"/>
    <w:rsid w:val="00A14E08"/>
    <w:rsid w:val="00A14E49"/>
    <w:rsid w:val="00A15320"/>
    <w:rsid w:val="00A15667"/>
    <w:rsid w:val="00A15B69"/>
    <w:rsid w:val="00A15BD7"/>
    <w:rsid w:val="00A15D03"/>
    <w:rsid w:val="00A15DB4"/>
    <w:rsid w:val="00A16558"/>
    <w:rsid w:val="00A171BB"/>
    <w:rsid w:val="00A17A75"/>
    <w:rsid w:val="00A203A4"/>
    <w:rsid w:val="00A20C13"/>
    <w:rsid w:val="00A20DDE"/>
    <w:rsid w:val="00A21019"/>
    <w:rsid w:val="00A210D8"/>
    <w:rsid w:val="00A212FC"/>
    <w:rsid w:val="00A214E6"/>
    <w:rsid w:val="00A217CC"/>
    <w:rsid w:val="00A21840"/>
    <w:rsid w:val="00A21B92"/>
    <w:rsid w:val="00A21C3A"/>
    <w:rsid w:val="00A22274"/>
    <w:rsid w:val="00A223AF"/>
    <w:rsid w:val="00A2267C"/>
    <w:rsid w:val="00A22C09"/>
    <w:rsid w:val="00A22FC0"/>
    <w:rsid w:val="00A23419"/>
    <w:rsid w:val="00A23568"/>
    <w:rsid w:val="00A2385A"/>
    <w:rsid w:val="00A23900"/>
    <w:rsid w:val="00A23CC0"/>
    <w:rsid w:val="00A23EBC"/>
    <w:rsid w:val="00A24F54"/>
    <w:rsid w:val="00A24FD5"/>
    <w:rsid w:val="00A2512D"/>
    <w:rsid w:val="00A25523"/>
    <w:rsid w:val="00A25559"/>
    <w:rsid w:val="00A25893"/>
    <w:rsid w:val="00A25EFA"/>
    <w:rsid w:val="00A26200"/>
    <w:rsid w:val="00A26511"/>
    <w:rsid w:val="00A26675"/>
    <w:rsid w:val="00A2677A"/>
    <w:rsid w:val="00A26D46"/>
    <w:rsid w:val="00A26F0A"/>
    <w:rsid w:val="00A27383"/>
    <w:rsid w:val="00A273FF"/>
    <w:rsid w:val="00A2769C"/>
    <w:rsid w:val="00A2773D"/>
    <w:rsid w:val="00A278BF"/>
    <w:rsid w:val="00A27A51"/>
    <w:rsid w:val="00A27B53"/>
    <w:rsid w:val="00A27E85"/>
    <w:rsid w:val="00A3048B"/>
    <w:rsid w:val="00A306CD"/>
    <w:rsid w:val="00A3094E"/>
    <w:rsid w:val="00A30CA1"/>
    <w:rsid w:val="00A31291"/>
    <w:rsid w:val="00A31319"/>
    <w:rsid w:val="00A31514"/>
    <w:rsid w:val="00A31738"/>
    <w:rsid w:val="00A31BC3"/>
    <w:rsid w:val="00A31DF3"/>
    <w:rsid w:val="00A32100"/>
    <w:rsid w:val="00A32776"/>
    <w:rsid w:val="00A32793"/>
    <w:rsid w:val="00A327DC"/>
    <w:rsid w:val="00A32915"/>
    <w:rsid w:val="00A32BEA"/>
    <w:rsid w:val="00A32D8F"/>
    <w:rsid w:val="00A33296"/>
    <w:rsid w:val="00A332DC"/>
    <w:rsid w:val="00A33C94"/>
    <w:rsid w:val="00A33FB9"/>
    <w:rsid w:val="00A3433F"/>
    <w:rsid w:val="00A346C2"/>
    <w:rsid w:val="00A34991"/>
    <w:rsid w:val="00A34DAE"/>
    <w:rsid w:val="00A35377"/>
    <w:rsid w:val="00A35B47"/>
    <w:rsid w:val="00A36169"/>
    <w:rsid w:val="00A3630C"/>
    <w:rsid w:val="00A367D9"/>
    <w:rsid w:val="00A37516"/>
    <w:rsid w:val="00A376D1"/>
    <w:rsid w:val="00A37A0F"/>
    <w:rsid w:val="00A37DBF"/>
    <w:rsid w:val="00A37E58"/>
    <w:rsid w:val="00A401FB"/>
    <w:rsid w:val="00A402DF"/>
    <w:rsid w:val="00A408F5"/>
    <w:rsid w:val="00A40934"/>
    <w:rsid w:val="00A40A77"/>
    <w:rsid w:val="00A40D6A"/>
    <w:rsid w:val="00A4122D"/>
    <w:rsid w:val="00A412A4"/>
    <w:rsid w:val="00A412BB"/>
    <w:rsid w:val="00A4135B"/>
    <w:rsid w:val="00A415F5"/>
    <w:rsid w:val="00A41A2C"/>
    <w:rsid w:val="00A41BB8"/>
    <w:rsid w:val="00A41C90"/>
    <w:rsid w:val="00A41F29"/>
    <w:rsid w:val="00A420AA"/>
    <w:rsid w:val="00A42391"/>
    <w:rsid w:val="00A42AA4"/>
    <w:rsid w:val="00A42B62"/>
    <w:rsid w:val="00A42D69"/>
    <w:rsid w:val="00A42EF6"/>
    <w:rsid w:val="00A4349D"/>
    <w:rsid w:val="00A44320"/>
    <w:rsid w:val="00A44457"/>
    <w:rsid w:val="00A447A3"/>
    <w:rsid w:val="00A44E29"/>
    <w:rsid w:val="00A45091"/>
    <w:rsid w:val="00A45600"/>
    <w:rsid w:val="00A45752"/>
    <w:rsid w:val="00A4607E"/>
    <w:rsid w:val="00A464BC"/>
    <w:rsid w:val="00A46827"/>
    <w:rsid w:val="00A46B9E"/>
    <w:rsid w:val="00A46BA8"/>
    <w:rsid w:val="00A46E2D"/>
    <w:rsid w:val="00A46F0F"/>
    <w:rsid w:val="00A47075"/>
    <w:rsid w:val="00A4708D"/>
    <w:rsid w:val="00A472A3"/>
    <w:rsid w:val="00A47922"/>
    <w:rsid w:val="00A47A87"/>
    <w:rsid w:val="00A47DC6"/>
    <w:rsid w:val="00A500C5"/>
    <w:rsid w:val="00A508F5"/>
    <w:rsid w:val="00A50A73"/>
    <w:rsid w:val="00A512BC"/>
    <w:rsid w:val="00A5171D"/>
    <w:rsid w:val="00A51F45"/>
    <w:rsid w:val="00A52C6A"/>
    <w:rsid w:val="00A52F91"/>
    <w:rsid w:val="00A531A1"/>
    <w:rsid w:val="00A53717"/>
    <w:rsid w:val="00A53776"/>
    <w:rsid w:val="00A5394D"/>
    <w:rsid w:val="00A54139"/>
    <w:rsid w:val="00A54607"/>
    <w:rsid w:val="00A54BDE"/>
    <w:rsid w:val="00A550DA"/>
    <w:rsid w:val="00A5546A"/>
    <w:rsid w:val="00A55661"/>
    <w:rsid w:val="00A558EA"/>
    <w:rsid w:val="00A558F2"/>
    <w:rsid w:val="00A55BFD"/>
    <w:rsid w:val="00A55DFA"/>
    <w:rsid w:val="00A56158"/>
    <w:rsid w:val="00A5615B"/>
    <w:rsid w:val="00A56425"/>
    <w:rsid w:val="00A56692"/>
    <w:rsid w:val="00A566F7"/>
    <w:rsid w:val="00A56AD1"/>
    <w:rsid w:val="00A56DA7"/>
    <w:rsid w:val="00A56F4D"/>
    <w:rsid w:val="00A573D0"/>
    <w:rsid w:val="00A601A1"/>
    <w:rsid w:val="00A601D1"/>
    <w:rsid w:val="00A60788"/>
    <w:rsid w:val="00A60F96"/>
    <w:rsid w:val="00A615DB"/>
    <w:rsid w:val="00A61F9A"/>
    <w:rsid w:val="00A6211C"/>
    <w:rsid w:val="00A62198"/>
    <w:rsid w:val="00A621C9"/>
    <w:rsid w:val="00A624D4"/>
    <w:rsid w:val="00A625E1"/>
    <w:rsid w:val="00A628C0"/>
    <w:rsid w:val="00A62D58"/>
    <w:rsid w:val="00A62DD8"/>
    <w:rsid w:val="00A62DEC"/>
    <w:rsid w:val="00A632E7"/>
    <w:rsid w:val="00A6342B"/>
    <w:rsid w:val="00A63795"/>
    <w:rsid w:val="00A63817"/>
    <w:rsid w:val="00A646E1"/>
    <w:rsid w:val="00A646FB"/>
    <w:rsid w:val="00A64DFC"/>
    <w:rsid w:val="00A64E67"/>
    <w:rsid w:val="00A655A9"/>
    <w:rsid w:val="00A65708"/>
    <w:rsid w:val="00A6593A"/>
    <w:rsid w:val="00A66CEA"/>
    <w:rsid w:val="00A67293"/>
    <w:rsid w:val="00A67401"/>
    <w:rsid w:val="00A67431"/>
    <w:rsid w:val="00A67D62"/>
    <w:rsid w:val="00A70846"/>
    <w:rsid w:val="00A70BF2"/>
    <w:rsid w:val="00A71A28"/>
    <w:rsid w:val="00A71B78"/>
    <w:rsid w:val="00A71E43"/>
    <w:rsid w:val="00A71FBC"/>
    <w:rsid w:val="00A720F8"/>
    <w:rsid w:val="00A72506"/>
    <w:rsid w:val="00A7257A"/>
    <w:rsid w:val="00A72794"/>
    <w:rsid w:val="00A72938"/>
    <w:rsid w:val="00A72F83"/>
    <w:rsid w:val="00A7325E"/>
    <w:rsid w:val="00A739EE"/>
    <w:rsid w:val="00A73B27"/>
    <w:rsid w:val="00A73C73"/>
    <w:rsid w:val="00A74F7C"/>
    <w:rsid w:val="00A74FE2"/>
    <w:rsid w:val="00A75BBD"/>
    <w:rsid w:val="00A75BC1"/>
    <w:rsid w:val="00A75DAF"/>
    <w:rsid w:val="00A761B4"/>
    <w:rsid w:val="00A762B6"/>
    <w:rsid w:val="00A76559"/>
    <w:rsid w:val="00A769E1"/>
    <w:rsid w:val="00A76ACC"/>
    <w:rsid w:val="00A76F17"/>
    <w:rsid w:val="00A7760F"/>
    <w:rsid w:val="00A77724"/>
    <w:rsid w:val="00A778A8"/>
    <w:rsid w:val="00A77941"/>
    <w:rsid w:val="00A77E4D"/>
    <w:rsid w:val="00A80309"/>
    <w:rsid w:val="00A80316"/>
    <w:rsid w:val="00A803BA"/>
    <w:rsid w:val="00A806E4"/>
    <w:rsid w:val="00A80968"/>
    <w:rsid w:val="00A80B7E"/>
    <w:rsid w:val="00A80C44"/>
    <w:rsid w:val="00A80DCD"/>
    <w:rsid w:val="00A810D8"/>
    <w:rsid w:val="00A81150"/>
    <w:rsid w:val="00A812B8"/>
    <w:rsid w:val="00A81324"/>
    <w:rsid w:val="00A817F3"/>
    <w:rsid w:val="00A81FC1"/>
    <w:rsid w:val="00A8209A"/>
    <w:rsid w:val="00A83031"/>
    <w:rsid w:val="00A83210"/>
    <w:rsid w:val="00A8360B"/>
    <w:rsid w:val="00A83D06"/>
    <w:rsid w:val="00A83E3D"/>
    <w:rsid w:val="00A83F6D"/>
    <w:rsid w:val="00A84426"/>
    <w:rsid w:val="00A84CB0"/>
    <w:rsid w:val="00A85702"/>
    <w:rsid w:val="00A857D9"/>
    <w:rsid w:val="00A85890"/>
    <w:rsid w:val="00A85A6A"/>
    <w:rsid w:val="00A85B7C"/>
    <w:rsid w:val="00A86639"/>
    <w:rsid w:val="00A867E8"/>
    <w:rsid w:val="00A86935"/>
    <w:rsid w:val="00A86B3F"/>
    <w:rsid w:val="00A86E7E"/>
    <w:rsid w:val="00A874BA"/>
    <w:rsid w:val="00A87974"/>
    <w:rsid w:val="00A87E60"/>
    <w:rsid w:val="00A87E92"/>
    <w:rsid w:val="00A90276"/>
    <w:rsid w:val="00A90857"/>
    <w:rsid w:val="00A90A37"/>
    <w:rsid w:val="00A90A64"/>
    <w:rsid w:val="00A91448"/>
    <w:rsid w:val="00A916B0"/>
    <w:rsid w:val="00A91EB6"/>
    <w:rsid w:val="00A91EF9"/>
    <w:rsid w:val="00A921F5"/>
    <w:rsid w:val="00A92245"/>
    <w:rsid w:val="00A92AE0"/>
    <w:rsid w:val="00A93062"/>
    <w:rsid w:val="00A935EA"/>
    <w:rsid w:val="00A93A78"/>
    <w:rsid w:val="00A94548"/>
    <w:rsid w:val="00A94553"/>
    <w:rsid w:val="00A94653"/>
    <w:rsid w:val="00A94B64"/>
    <w:rsid w:val="00A94DF6"/>
    <w:rsid w:val="00A94F9D"/>
    <w:rsid w:val="00A94FF3"/>
    <w:rsid w:val="00A95070"/>
    <w:rsid w:val="00A959F2"/>
    <w:rsid w:val="00A95B9C"/>
    <w:rsid w:val="00A96593"/>
    <w:rsid w:val="00A9667A"/>
    <w:rsid w:val="00A96816"/>
    <w:rsid w:val="00A9681E"/>
    <w:rsid w:val="00A96995"/>
    <w:rsid w:val="00A96A8D"/>
    <w:rsid w:val="00A971D7"/>
    <w:rsid w:val="00A97556"/>
    <w:rsid w:val="00A975F3"/>
    <w:rsid w:val="00AA032B"/>
    <w:rsid w:val="00AA061E"/>
    <w:rsid w:val="00AA0AA6"/>
    <w:rsid w:val="00AA0C61"/>
    <w:rsid w:val="00AA0DFD"/>
    <w:rsid w:val="00AA105F"/>
    <w:rsid w:val="00AA150B"/>
    <w:rsid w:val="00AA1819"/>
    <w:rsid w:val="00AA25A1"/>
    <w:rsid w:val="00AA25D2"/>
    <w:rsid w:val="00AA2B6A"/>
    <w:rsid w:val="00AA2CA9"/>
    <w:rsid w:val="00AA32C0"/>
    <w:rsid w:val="00AA3306"/>
    <w:rsid w:val="00AA34D6"/>
    <w:rsid w:val="00AA3709"/>
    <w:rsid w:val="00AA3AA5"/>
    <w:rsid w:val="00AA4339"/>
    <w:rsid w:val="00AA4473"/>
    <w:rsid w:val="00AA493C"/>
    <w:rsid w:val="00AA4B70"/>
    <w:rsid w:val="00AA4CC1"/>
    <w:rsid w:val="00AA4E94"/>
    <w:rsid w:val="00AA4E96"/>
    <w:rsid w:val="00AA4FFA"/>
    <w:rsid w:val="00AA52DD"/>
    <w:rsid w:val="00AA60B1"/>
    <w:rsid w:val="00AA65AD"/>
    <w:rsid w:val="00AA6708"/>
    <w:rsid w:val="00AA6C7B"/>
    <w:rsid w:val="00AA6CED"/>
    <w:rsid w:val="00AA72E5"/>
    <w:rsid w:val="00AA7598"/>
    <w:rsid w:val="00AA767B"/>
    <w:rsid w:val="00AA76C5"/>
    <w:rsid w:val="00AA7756"/>
    <w:rsid w:val="00AA78D4"/>
    <w:rsid w:val="00AA7D26"/>
    <w:rsid w:val="00AA7E22"/>
    <w:rsid w:val="00AA7EFC"/>
    <w:rsid w:val="00AB010B"/>
    <w:rsid w:val="00AB0643"/>
    <w:rsid w:val="00AB0E6A"/>
    <w:rsid w:val="00AB0F24"/>
    <w:rsid w:val="00AB128C"/>
    <w:rsid w:val="00AB1501"/>
    <w:rsid w:val="00AB19A5"/>
    <w:rsid w:val="00AB19A8"/>
    <w:rsid w:val="00AB19E0"/>
    <w:rsid w:val="00AB1A62"/>
    <w:rsid w:val="00AB1E64"/>
    <w:rsid w:val="00AB1F23"/>
    <w:rsid w:val="00AB2011"/>
    <w:rsid w:val="00AB227A"/>
    <w:rsid w:val="00AB22AD"/>
    <w:rsid w:val="00AB2960"/>
    <w:rsid w:val="00AB29EE"/>
    <w:rsid w:val="00AB2AA4"/>
    <w:rsid w:val="00AB2ADD"/>
    <w:rsid w:val="00AB2CA7"/>
    <w:rsid w:val="00AB3503"/>
    <w:rsid w:val="00AB374C"/>
    <w:rsid w:val="00AB4965"/>
    <w:rsid w:val="00AB4A42"/>
    <w:rsid w:val="00AB4ABC"/>
    <w:rsid w:val="00AB4B47"/>
    <w:rsid w:val="00AB4B94"/>
    <w:rsid w:val="00AB4F33"/>
    <w:rsid w:val="00AB5103"/>
    <w:rsid w:val="00AB5171"/>
    <w:rsid w:val="00AB520E"/>
    <w:rsid w:val="00AB543D"/>
    <w:rsid w:val="00AB574B"/>
    <w:rsid w:val="00AB5753"/>
    <w:rsid w:val="00AB5D30"/>
    <w:rsid w:val="00AB5E03"/>
    <w:rsid w:val="00AB65FF"/>
    <w:rsid w:val="00AB6A5D"/>
    <w:rsid w:val="00AB6AAF"/>
    <w:rsid w:val="00AB6DF3"/>
    <w:rsid w:val="00AB6E3C"/>
    <w:rsid w:val="00AB6EB8"/>
    <w:rsid w:val="00AB7595"/>
    <w:rsid w:val="00AB79EC"/>
    <w:rsid w:val="00AB7CB0"/>
    <w:rsid w:val="00AB7EC2"/>
    <w:rsid w:val="00AC0111"/>
    <w:rsid w:val="00AC0148"/>
    <w:rsid w:val="00AC0201"/>
    <w:rsid w:val="00AC0531"/>
    <w:rsid w:val="00AC06AD"/>
    <w:rsid w:val="00AC07BF"/>
    <w:rsid w:val="00AC0B6D"/>
    <w:rsid w:val="00AC1235"/>
    <w:rsid w:val="00AC14CF"/>
    <w:rsid w:val="00AC1849"/>
    <w:rsid w:val="00AC18A7"/>
    <w:rsid w:val="00AC1B5C"/>
    <w:rsid w:val="00AC1C3B"/>
    <w:rsid w:val="00AC1DB2"/>
    <w:rsid w:val="00AC1DC6"/>
    <w:rsid w:val="00AC1E34"/>
    <w:rsid w:val="00AC208E"/>
    <w:rsid w:val="00AC221C"/>
    <w:rsid w:val="00AC23DD"/>
    <w:rsid w:val="00AC28AE"/>
    <w:rsid w:val="00AC2E99"/>
    <w:rsid w:val="00AC2F3E"/>
    <w:rsid w:val="00AC40E3"/>
    <w:rsid w:val="00AC4180"/>
    <w:rsid w:val="00AC4212"/>
    <w:rsid w:val="00AC4436"/>
    <w:rsid w:val="00AC4D82"/>
    <w:rsid w:val="00AC56B1"/>
    <w:rsid w:val="00AC570F"/>
    <w:rsid w:val="00AC59D0"/>
    <w:rsid w:val="00AC5D43"/>
    <w:rsid w:val="00AC6025"/>
    <w:rsid w:val="00AC6156"/>
    <w:rsid w:val="00AC6D7C"/>
    <w:rsid w:val="00AC71D5"/>
    <w:rsid w:val="00AC758F"/>
    <w:rsid w:val="00AC7AD2"/>
    <w:rsid w:val="00AD0146"/>
    <w:rsid w:val="00AD01BB"/>
    <w:rsid w:val="00AD02B4"/>
    <w:rsid w:val="00AD034C"/>
    <w:rsid w:val="00AD08BA"/>
    <w:rsid w:val="00AD0BA0"/>
    <w:rsid w:val="00AD0CDD"/>
    <w:rsid w:val="00AD104A"/>
    <w:rsid w:val="00AD138C"/>
    <w:rsid w:val="00AD1A82"/>
    <w:rsid w:val="00AD1AA5"/>
    <w:rsid w:val="00AD1EE6"/>
    <w:rsid w:val="00AD288B"/>
    <w:rsid w:val="00AD3302"/>
    <w:rsid w:val="00AD363F"/>
    <w:rsid w:val="00AD38FF"/>
    <w:rsid w:val="00AD3913"/>
    <w:rsid w:val="00AD39B7"/>
    <w:rsid w:val="00AD3A3F"/>
    <w:rsid w:val="00AD3CF8"/>
    <w:rsid w:val="00AD43A0"/>
    <w:rsid w:val="00AD4497"/>
    <w:rsid w:val="00AD455A"/>
    <w:rsid w:val="00AD4A8A"/>
    <w:rsid w:val="00AD4CDC"/>
    <w:rsid w:val="00AD5620"/>
    <w:rsid w:val="00AD574D"/>
    <w:rsid w:val="00AD59E8"/>
    <w:rsid w:val="00AD5C7A"/>
    <w:rsid w:val="00AD5CEF"/>
    <w:rsid w:val="00AD5F27"/>
    <w:rsid w:val="00AD5F8E"/>
    <w:rsid w:val="00AD60B1"/>
    <w:rsid w:val="00AD615A"/>
    <w:rsid w:val="00AD619B"/>
    <w:rsid w:val="00AD63C8"/>
    <w:rsid w:val="00AD640D"/>
    <w:rsid w:val="00AD65E6"/>
    <w:rsid w:val="00AD69D4"/>
    <w:rsid w:val="00AD6B21"/>
    <w:rsid w:val="00AD6D7F"/>
    <w:rsid w:val="00AD6DEE"/>
    <w:rsid w:val="00AD6FBD"/>
    <w:rsid w:val="00AD72D0"/>
    <w:rsid w:val="00AD7523"/>
    <w:rsid w:val="00AD7824"/>
    <w:rsid w:val="00AD79CC"/>
    <w:rsid w:val="00AD7AE8"/>
    <w:rsid w:val="00AD7F9D"/>
    <w:rsid w:val="00AE020C"/>
    <w:rsid w:val="00AE0377"/>
    <w:rsid w:val="00AE05A4"/>
    <w:rsid w:val="00AE05CB"/>
    <w:rsid w:val="00AE0816"/>
    <w:rsid w:val="00AE0DAF"/>
    <w:rsid w:val="00AE10D8"/>
    <w:rsid w:val="00AE118D"/>
    <w:rsid w:val="00AE141E"/>
    <w:rsid w:val="00AE17C8"/>
    <w:rsid w:val="00AE19A4"/>
    <w:rsid w:val="00AE1AC4"/>
    <w:rsid w:val="00AE1BF7"/>
    <w:rsid w:val="00AE1E77"/>
    <w:rsid w:val="00AE21C7"/>
    <w:rsid w:val="00AE21CB"/>
    <w:rsid w:val="00AE23FE"/>
    <w:rsid w:val="00AE257A"/>
    <w:rsid w:val="00AE2699"/>
    <w:rsid w:val="00AE2E24"/>
    <w:rsid w:val="00AE311C"/>
    <w:rsid w:val="00AE31CD"/>
    <w:rsid w:val="00AE32FC"/>
    <w:rsid w:val="00AE3926"/>
    <w:rsid w:val="00AE3E39"/>
    <w:rsid w:val="00AE4297"/>
    <w:rsid w:val="00AE4345"/>
    <w:rsid w:val="00AE46AA"/>
    <w:rsid w:val="00AE49F4"/>
    <w:rsid w:val="00AE4C01"/>
    <w:rsid w:val="00AE4C10"/>
    <w:rsid w:val="00AE4DCE"/>
    <w:rsid w:val="00AE52DA"/>
    <w:rsid w:val="00AE546C"/>
    <w:rsid w:val="00AE574E"/>
    <w:rsid w:val="00AE5F1A"/>
    <w:rsid w:val="00AE6061"/>
    <w:rsid w:val="00AE636C"/>
    <w:rsid w:val="00AE6CC8"/>
    <w:rsid w:val="00AE6DAD"/>
    <w:rsid w:val="00AE6EB0"/>
    <w:rsid w:val="00AE70BB"/>
    <w:rsid w:val="00AE71B9"/>
    <w:rsid w:val="00AE7566"/>
    <w:rsid w:val="00AE7CD4"/>
    <w:rsid w:val="00AE7E07"/>
    <w:rsid w:val="00AF0388"/>
    <w:rsid w:val="00AF05EF"/>
    <w:rsid w:val="00AF0863"/>
    <w:rsid w:val="00AF0CB9"/>
    <w:rsid w:val="00AF0F7F"/>
    <w:rsid w:val="00AF10CE"/>
    <w:rsid w:val="00AF11BE"/>
    <w:rsid w:val="00AF1645"/>
    <w:rsid w:val="00AF17A8"/>
    <w:rsid w:val="00AF196F"/>
    <w:rsid w:val="00AF2762"/>
    <w:rsid w:val="00AF296C"/>
    <w:rsid w:val="00AF29BB"/>
    <w:rsid w:val="00AF2B88"/>
    <w:rsid w:val="00AF2CB0"/>
    <w:rsid w:val="00AF387A"/>
    <w:rsid w:val="00AF3893"/>
    <w:rsid w:val="00AF393A"/>
    <w:rsid w:val="00AF3B53"/>
    <w:rsid w:val="00AF45E9"/>
    <w:rsid w:val="00AF4A8F"/>
    <w:rsid w:val="00AF4BF6"/>
    <w:rsid w:val="00AF4E25"/>
    <w:rsid w:val="00AF53D0"/>
    <w:rsid w:val="00AF5779"/>
    <w:rsid w:val="00AF57BA"/>
    <w:rsid w:val="00AF5F2E"/>
    <w:rsid w:val="00AF5F46"/>
    <w:rsid w:val="00AF63A9"/>
    <w:rsid w:val="00AF6423"/>
    <w:rsid w:val="00AF67AE"/>
    <w:rsid w:val="00AF739D"/>
    <w:rsid w:val="00AF795A"/>
    <w:rsid w:val="00AF7E6B"/>
    <w:rsid w:val="00AF7F1B"/>
    <w:rsid w:val="00B00134"/>
    <w:rsid w:val="00B00194"/>
    <w:rsid w:val="00B002D0"/>
    <w:rsid w:val="00B00334"/>
    <w:rsid w:val="00B003E5"/>
    <w:rsid w:val="00B005B0"/>
    <w:rsid w:val="00B00634"/>
    <w:rsid w:val="00B006A9"/>
    <w:rsid w:val="00B00AE8"/>
    <w:rsid w:val="00B00B33"/>
    <w:rsid w:val="00B01184"/>
    <w:rsid w:val="00B01343"/>
    <w:rsid w:val="00B01550"/>
    <w:rsid w:val="00B015A9"/>
    <w:rsid w:val="00B015CF"/>
    <w:rsid w:val="00B01749"/>
    <w:rsid w:val="00B017E0"/>
    <w:rsid w:val="00B01D73"/>
    <w:rsid w:val="00B01ECE"/>
    <w:rsid w:val="00B02128"/>
    <w:rsid w:val="00B0222E"/>
    <w:rsid w:val="00B02643"/>
    <w:rsid w:val="00B0265C"/>
    <w:rsid w:val="00B03156"/>
    <w:rsid w:val="00B03199"/>
    <w:rsid w:val="00B03834"/>
    <w:rsid w:val="00B03932"/>
    <w:rsid w:val="00B045B3"/>
    <w:rsid w:val="00B04ADD"/>
    <w:rsid w:val="00B04F72"/>
    <w:rsid w:val="00B054D1"/>
    <w:rsid w:val="00B055E5"/>
    <w:rsid w:val="00B05929"/>
    <w:rsid w:val="00B05CEA"/>
    <w:rsid w:val="00B06046"/>
    <w:rsid w:val="00B06148"/>
    <w:rsid w:val="00B06232"/>
    <w:rsid w:val="00B0625C"/>
    <w:rsid w:val="00B062CB"/>
    <w:rsid w:val="00B068F2"/>
    <w:rsid w:val="00B07000"/>
    <w:rsid w:val="00B0722E"/>
    <w:rsid w:val="00B075C4"/>
    <w:rsid w:val="00B075D1"/>
    <w:rsid w:val="00B078EC"/>
    <w:rsid w:val="00B07A45"/>
    <w:rsid w:val="00B10278"/>
    <w:rsid w:val="00B10496"/>
    <w:rsid w:val="00B1056B"/>
    <w:rsid w:val="00B106F5"/>
    <w:rsid w:val="00B109C9"/>
    <w:rsid w:val="00B10CD4"/>
    <w:rsid w:val="00B116ED"/>
    <w:rsid w:val="00B11830"/>
    <w:rsid w:val="00B11BF2"/>
    <w:rsid w:val="00B12311"/>
    <w:rsid w:val="00B1247F"/>
    <w:rsid w:val="00B1270C"/>
    <w:rsid w:val="00B12840"/>
    <w:rsid w:val="00B12922"/>
    <w:rsid w:val="00B12A17"/>
    <w:rsid w:val="00B12BFA"/>
    <w:rsid w:val="00B132A0"/>
    <w:rsid w:val="00B132A5"/>
    <w:rsid w:val="00B13310"/>
    <w:rsid w:val="00B13C14"/>
    <w:rsid w:val="00B13D0C"/>
    <w:rsid w:val="00B13FF6"/>
    <w:rsid w:val="00B1471A"/>
    <w:rsid w:val="00B14BEA"/>
    <w:rsid w:val="00B154EA"/>
    <w:rsid w:val="00B1600E"/>
    <w:rsid w:val="00B16720"/>
    <w:rsid w:val="00B167B5"/>
    <w:rsid w:val="00B17CEC"/>
    <w:rsid w:val="00B20149"/>
    <w:rsid w:val="00B20171"/>
    <w:rsid w:val="00B201F9"/>
    <w:rsid w:val="00B20969"/>
    <w:rsid w:val="00B2109F"/>
    <w:rsid w:val="00B2144A"/>
    <w:rsid w:val="00B21702"/>
    <w:rsid w:val="00B219D2"/>
    <w:rsid w:val="00B21AFE"/>
    <w:rsid w:val="00B22390"/>
    <w:rsid w:val="00B2243E"/>
    <w:rsid w:val="00B224DC"/>
    <w:rsid w:val="00B2258D"/>
    <w:rsid w:val="00B225B0"/>
    <w:rsid w:val="00B2265B"/>
    <w:rsid w:val="00B227FA"/>
    <w:rsid w:val="00B22C44"/>
    <w:rsid w:val="00B22E57"/>
    <w:rsid w:val="00B231AC"/>
    <w:rsid w:val="00B2408D"/>
    <w:rsid w:val="00B24594"/>
    <w:rsid w:val="00B25A07"/>
    <w:rsid w:val="00B25B84"/>
    <w:rsid w:val="00B25EE3"/>
    <w:rsid w:val="00B26123"/>
    <w:rsid w:val="00B26572"/>
    <w:rsid w:val="00B26E0B"/>
    <w:rsid w:val="00B27410"/>
    <w:rsid w:val="00B2770E"/>
    <w:rsid w:val="00B27A32"/>
    <w:rsid w:val="00B27BF8"/>
    <w:rsid w:val="00B27DF8"/>
    <w:rsid w:val="00B301B4"/>
    <w:rsid w:val="00B30264"/>
    <w:rsid w:val="00B303E4"/>
    <w:rsid w:val="00B30CFA"/>
    <w:rsid w:val="00B30DA9"/>
    <w:rsid w:val="00B30F91"/>
    <w:rsid w:val="00B318B0"/>
    <w:rsid w:val="00B31BE0"/>
    <w:rsid w:val="00B31E83"/>
    <w:rsid w:val="00B3230A"/>
    <w:rsid w:val="00B325B0"/>
    <w:rsid w:val="00B32744"/>
    <w:rsid w:val="00B328FC"/>
    <w:rsid w:val="00B32D92"/>
    <w:rsid w:val="00B333AA"/>
    <w:rsid w:val="00B33416"/>
    <w:rsid w:val="00B334DF"/>
    <w:rsid w:val="00B339B9"/>
    <w:rsid w:val="00B33CF6"/>
    <w:rsid w:val="00B3411C"/>
    <w:rsid w:val="00B34A3B"/>
    <w:rsid w:val="00B34CC4"/>
    <w:rsid w:val="00B35C64"/>
    <w:rsid w:val="00B35F01"/>
    <w:rsid w:val="00B3642B"/>
    <w:rsid w:val="00B36546"/>
    <w:rsid w:val="00B36640"/>
    <w:rsid w:val="00B36F5E"/>
    <w:rsid w:val="00B37A53"/>
    <w:rsid w:val="00B4030E"/>
    <w:rsid w:val="00B405D6"/>
    <w:rsid w:val="00B40910"/>
    <w:rsid w:val="00B40BBA"/>
    <w:rsid w:val="00B41069"/>
    <w:rsid w:val="00B41336"/>
    <w:rsid w:val="00B41355"/>
    <w:rsid w:val="00B4136C"/>
    <w:rsid w:val="00B414DB"/>
    <w:rsid w:val="00B414DC"/>
    <w:rsid w:val="00B419A8"/>
    <w:rsid w:val="00B423E3"/>
    <w:rsid w:val="00B42597"/>
    <w:rsid w:val="00B4271C"/>
    <w:rsid w:val="00B42A04"/>
    <w:rsid w:val="00B42CFE"/>
    <w:rsid w:val="00B431E6"/>
    <w:rsid w:val="00B43453"/>
    <w:rsid w:val="00B434AD"/>
    <w:rsid w:val="00B4393B"/>
    <w:rsid w:val="00B43E38"/>
    <w:rsid w:val="00B44A61"/>
    <w:rsid w:val="00B44B4D"/>
    <w:rsid w:val="00B44BC6"/>
    <w:rsid w:val="00B450F8"/>
    <w:rsid w:val="00B451D5"/>
    <w:rsid w:val="00B4537E"/>
    <w:rsid w:val="00B45DF7"/>
    <w:rsid w:val="00B46209"/>
    <w:rsid w:val="00B466E3"/>
    <w:rsid w:val="00B4719B"/>
    <w:rsid w:val="00B47506"/>
    <w:rsid w:val="00B4752B"/>
    <w:rsid w:val="00B47A0F"/>
    <w:rsid w:val="00B47CFD"/>
    <w:rsid w:val="00B47F41"/>
    <w:rsid w:val="00B50390"/>
    <w:rsid w:val="00B50649"/>
    <w:rsid w:val="00B507E2"/>
    <w:rsid w:val="00B50B42"/>
    <w:rsid w:val="00B50F5E"/>
    <w:rsid w:val="00B50FF1"/>
    <w:rsid w:val="00B51907"/>
    <w:rsid w:val="00B51949"/>
    <w:rsid w:val="00B51DCA"/>
    <w:rsid w:val="00B51EDA"/>
    <w:rsid w:val="00B51F95"/>
    <w:rsid w:val="00B52181"/>
    <w:rsid w:val="00B521DF"/>
    <w:rsid w:val="00B52374"/>
    <w:rsid w:val="00B5245D"/>
    <w:rsid w:val="00B52661"/>
    <w:rsid w:val="00B527F0"/>
    <w:rsid w:val="00B52920"/>
    <w:rsid w:val="00B52BA9"/>
    <w:rsid w:val="00B52D80"/>
    <w:rsid w:val="00B53F19"/>
    <w:rsid w:val="00B5400D"/>
    <w:rsid w:val="00B5455C"/>
    <w:rsid w:val="00B54662"/>
    <w:rsid w:val="00B5469C"/>
    <w:rsid w:val="00B549E8"/>
    <w:rsid w:val="00B54AEE"/>
    <w:rsid w:val="00B54D4A"/>
    <w:rsid w:val="00B551EA"/>
    <w:rsid w:val="00B5544C"/>
    <w:rsid w:val="00B55516"/>
    <w:rsid w:val="00B55764"/>
    <w:rsid w:val="00B557B6"/>
    <w:rsid w:val="00B559E4"/>
    <w:rsid w:val="00B55E3F"/>
    <w:rsid w:val="00B55EFA"/>
    <w:rsid w:val="00B560A8"/>
    <w:rsid w:val="00B56634"/>
    <w:rsid w:val="00B568CB"/>
    <w:rsid w:val="00B56B0F"/>
    <w:rsid w:val="00B56EAA"/>
    <w:rsid w:val="00B56EBA"/>
    <w:rsid w:val="00B56ED7"/>
    <w:rsid w:val="00B57378"/>
    <w:rsid w:val="00B57596"/>
    <w:rsid w:val="00B575E3"/>
    <w:rsid w:val="00B57AF0"/>
    <w:rsid w:val="00B57F12"/>
    <w:rsid w:val="00B57F76"/>
    <w:rsid w:val="00B60A1E"/>
    <w:rsid w:val="00B61279"/>
    <w:rsid w:val="00B61519"/>
    <w:rsid w:val="00B61525"/>
    <w:rsid w:val="00B61595"/>
    <w:rsid w:val="00B61E1C"/>
    <w:rsid w:val="00B62119"/>
    <w:rsid w:val="00B626D7"/>
    <w:rsid w:val="00B62E96"/>
    <w:rsid w:val="00B6327A"/>
    <w:rsid w:val="00B6388C"/>
    <w:rsid w:val="00B638D1"/>
    <w:rsid w:val="00B63D86"/>
    <w:rsid w:val="00B63DB0"/>
    <w:rsid w:val="00B63E0B"/>
    <w:rsid w:val="00B64248"/>
    <w:rsid w:val="00B64520"/>
    <w:rsid w:val="00B64847"/>
    <w:rsid w:val="00B64988"/>
    <w:rsid w:val="00B65009"/>
    <w:rsid w:val="00B6566D"/>
    <w:rsid w:val="00B657A0"/>
    <w:rsid w:val="00B65A5F"/>
    <w:rsid w:val="00B65C60"/>
    <w:rsid w:val="00B65E35"/>
    <w:rsid w:val="00B65F4D"/>
    <w:rsid w:val="00B65FA8"/>
    <w:rsid w:val="00B66384"/>
    <w:rsid w:val="00B664D8"/>
    <w:rsid w:val="00B664D9"/>
    <w:rsid w:val="00B66CF7"/>
    <w:rsid w:val="00B66DC8"/>
    <w:rsid w:val="00B66E90"/>
    <w:rsid w:val="00B6735A"/>
    <w:rsid w:val="00B6749B"/>
    <w:rsid w:val="00B67966"/>
    <w:rsid w:val="00B67A79"/>
    <w:rsid w:val="00B67E38"/>
    <w:rsid w:val="00B67EB0"/>
    <w:rsid w:val="00B700B8"/>
    <w:rsid w:val="00B70107"/>
    <w:rsid w:val="00B7014D"/>
    <w:rsid w:val="00B7017B"/>
    <w:rsid w:val="00B704DF"/>
    <w:rsid w:val="00B706B7"/>
    <w:rsid w:val="00B709EA"/>
    <w:rsid w:val="00B70A8D"/>
    <w:rsid w:val="00B70BB6"/>
    <w:rsid w:val="00B70EEF"/>
    <w:rsid w:val="00B7134F"/>
    <w:rsid w:val="00B71CF0"/>
    <w:rsid w:val="00B71EE7"/>
    <w:rsid w:val="00B722B5"/>
    <w:rsid w:val="00B72AE6"/>
    <w:rsid w:val="00B732E0"/>
    <w:rsid w:val="00B73DA6"/>
    <w:rsid w:val="00B73F2E"/>
    <w:rsid w:val="00B74113"/>
    <w:rsid w:val="00B741DA"/>
    <w:rsid w:val="00B74393"/>
    <w:rsid w:val="00B744FD"/>
    <w:rsid w:val="00B7470A"/>
    <w:rsid w:val="00B7514C"/>
    <w:rsid w:val="00B756EE"/>
    <w:rsid w:val="00B75B9A"/>
    <w:rsid w:val="00B75EF6"/>
    <w:rsid w:val="00B75FC1"/>
    <w:rsid w:val="00B7679E"/>
    <w:rsid w:val="00B7687D"/>
    <w:rsid w:val="00B76A7F"/>
    <w:rsid w:val="00B76B34"/>
    <w:rsid w:val="00B77C05"/>
    <w:rsid w:val="00B800EC"/>
    <w:rsid w:val="00B80903"/>
    <w:rsid w:val="00B80FAD"/>
    <w:rsid w:val="00B810B6"/>
    <w:rsid w:val="00B8172A"/>
    <w:rsid w:val="00B817E0"/>
    <w:rsid w:val="00B81876"/>
    <w:rsid w:val="00B819F5"/>
    <w:rsid w:val="00B81B3B"/>
    <w:rsid w:val="00B81B3F"/>
    <w:rsid w:val="00B827C5"/>
    <w:rsid w:val="00B8287C"/>
    <w:rsid w:val="00B82A65"/>
    <w:rsid w:val="00B82A99"/>
    <w:rsid w:val="00B8313E"/>
    <w:rsid w:val="00B831AB"/>
    <w:rsid w:val="00B833CA"/>
    <w:rsid w:val="00B83B44"/>
    <w:rsid w:val="00B83CB0"/>
    <w:rsid w:val="00B83D1F"/>
    <w:rsid w:val="00B84190"/>
    <w:rsid w:val="00B84AC7"/>
    <w:rsid w:val="00B84E77"/>
    <w:rsid w:val="00B857F4"/>
    <w:rsid w:val="00B85868"/>
    <w:rsid w:val="00B8588D"/>
    <w:rsid w:val="00B85D7A"/>
    <w:rsid w:val="00B8615B"/>
    <w:rsid w:val="00B86B48"/>
    <w:rsid w:val="00B86FF2"/>
    <w:rsid w:val="00B872B4"/>
    <w:rsid w:val="00B8755D"/>
    <w:rsid w:val="00B877F7"/>
    <w:rsid w:val="00B878FB"/>
    <w:rsid w:val="00B87A7B"/>
    <w:rsid w:val="00B87F81"/>
    <w:rsid w:val="00B90221"/>
    <w:rsid w:val="00B9057D"/>
    <w:rsid w:val="00B9070C"/>
    <w:rsid w:val="00B90713"/>
    <w:rsid w:val="00B90A36"/>
    <w:rsid w:val="00B90E82"/>
    <w:rsid w:val="00B91526"/>
    <w:rsid w:val="00B91546"/>
    <w:rsid w:val="00B915AA"/>
    <w:rsid w:val="00B919DC"/>
    <w:rsid w:val="00B91A00"/>
    <w:rsid w:val="00B91D3B"/>
    <w:rsid w:val="00B91EC1"/>
    <w:rsid w:val="00B92307"/>
    <w:rsid w:val="00B927B1"/>
    <w:rsid w:val="00B928C9"/>
    <w:rsid w:val="00B92DA5"/>
    <w:rsid w:val="00B93466"/>
    <w:rsid w:val="00B9399E"/>
    <w:rsid w:val="00B94116"/>
    <w:rsid w:val="00B94293"/>
    <w:rsid w:val="00B9444F"/>
    <w:rsid w:val="00B94B1E"/>
    <w:rsid w:val="00B94B6D"/>
    <w:rsid w:val="00B951BC"/>
    <w:rsid w:val="00B954AF"/>
    <w:rsid w:val="00B9579E"/>
    <w:rsid w:val="00B95A42"/>
    <w:rsid w:val="00B960DB"/>
    <w:rsid w:val="00B962A6"/>
    <w:rsid w:val="00B966F9"/>
    <w:rsid w:val="00B96AF2"/>
    <w:rsid w:val="00B9718C"/>
    <w:rsid w:val="00B9770E"/>
    <w:rsid w:val="00BA02DB"/>
    <w:rsid w:val="00BA0300"/>
    <w:rsid w:val="00BA040B"/>
    <w:rsid w:val="00BA07C4"/>
    <w:rsid w:val="00BA0D0B"/>
    <w:rsid w:val="00BA111C"/>
    <w:rsid w:val="00BA138D"/>
    <w:rsid w:val="00BA13C5"/>
    <w:rsid w:val="00BA1691"/>
    <w:rsid w:val="00BA18CA"/>
    <w:rsid w:val="00BA1B24"/>
    <w:rsid w:val="00BA2000"/>
    <w:rsid w:val="00BA2408"/>
    <w:rsid w:val="00BA278A"/>
    <w:rsid w:val="00BA326C"/>
    <w:rsid w:val="00BA387F"/>
    <w:rsid w:val="00BA3C30"/>
    <w:rsid w:val="00BA4021"/>
    <w:rsid w:val="00BA4224"/>
    <w:rsid w:val="00BA44C9"/>
    <w:rsid w:val="00BA48D3"/>
    <w:rsid w:val="00BA4B78"/>
    <w:rsid w:val="00BA4BFD"/>
    <w:rsid w:val="00BA4F60"/>
    <w:rsid w:val="00BA5BC8"/>
    <w:rsid w:val="00BA5D80"/>
    <w:rsid w:val="00BA5E76"/>
    <w:rsid w:val="00BA600E"/>
    <w:rsid w:val="00BA648B"/>
    <w:rsid w:val="00BA6B4E"/>
    <w:rsid w:val="00BA6BBE"/>
    <w:rsid w:val="00BA6D25"/>
    <w:rsid w:val="00BA6DA1"/>
    <w:rsid w:val="00BA6DE3"/>
    <w:rsid w:val="00BA6F5E"/>
    <w:rsid w:val="00BA73D5"/>
    <w:rsid w:val="00BA7768"/>
    <w:rsid w:val="00BA7880"/>
    <w:rsid w:val="00BA7A46"/>
    <w:rsid w:val="00BB08B6"/>
    <w:rsid w:val="00BB0B74"/>
    <w:rsid w:val="00BB0CE9"/>
    <w:rsid w:val="00BB0E1A"/>
    <w:rsid w:val="00BB126B"/>
    <w:rsid w:val="00BB1709"/>
    <w:rsid w:val="00BB1A00"/>
    <w:rsid w:val="00BB1E5A"/>
    <w:rsid w:val="00BB1FE3"/>
    <w:rsid w:val="00BB236F"/>
    <w:rsid w:val="00BB249D"/>
    <w:rsid w:val="00BB2D50"/>
    <w:rsid w:val="00BB3001"/>
    <w:rsid w:val="00BB3D5D"/>
    <w:rsid w:val="00BB3D67"/>
    <w:rsid w:val="00BB3E79"/>
    <w:rsid w:val="00BB4348"/>
    <w:rsid w:val="00BB436E"/>
    <w:rsid w:val="00BB4E41"/>
    <w:rsid w:val="00BB4FE3"/>
    <w:rsid w:val="00BB54E7"/>
    <w:rsid w:val="00BB558F"/>
    <w:rsid w:val="00BB587E"/>
    <w:rsid w:val="00BB5AC9"/>
    <w:rsid w:val="00BB6084"/>
    <w:rsid w:val="00BB64CA"/>
    <w:rsid w:val="00BB64E0"/>
    <w:rsid w:val="00BB698C"/>
    <w:rsid w:val="00BB6A25"/>
    <w:rsid w:val="00BB7467"/>
    <w:rsid w:val="00BB7637"/>
    <w:rsid w:val="00BB76DF"/>
    <w:rsid w:val="00BB79C9"/>
    <w:rsid w:val="00BB7A01"/>
    <w:rsid w:val="00BB7EDD"/>
    <w:rsid w:val="00BB7F98"/>
    <w:rsid w:val="00BC0C7E"/>
    <w:rsid w:val="00BC0DC7"/>
    <w:rsid w:val="00BC101F"/>
    <w:rsid w:val="00BC12F7"/>
    <w:rsid w:val="00BC1511"/>
    <w:rsid w:val="00BC15DD"/>
    <w:rsid w:val="00BC1648"/>
    <w:rsid w:val="00BC17BE"/>
    <w:rsid w:val="00BC18C5"/>
    <w:rsid w:val="00BC1982"/>
    <w:rsid w:val="00BC19FA"/>
    <w:rsid w:val="00BC1BDC"/>
    <w:rsid w:val="00BC1D2A"/>
    <w:rsid w:val="00BC1D58"/>
    <w:rsid w:val="00BC2B35"/>
    <w:rsid w:val="00BC2B84"/>
    <w:rsid w:val="00BC2D35"/>
    <w:rsid w:val="00BC2FCC"/>
    <w:rsid w:val="00BC3085"/>
    <w:rsid w:val="00BC3097"/>
    <w:rsid w:val="00BC3341"/>
    <w:rsid w:val="00BC3850"/>
    <w:rsid w:val="00BC3D57"/>
    <w:rsid w:val="00BC3ECE"/>
    <w:rsid w:val="00BC424F"/>
    <w:rsid w:val="00BC44EF"/>
    <w:rsid w:val="00BC468A"/>
    <w:rsid w:val="00BC4871"/>
    <w:rsid w:val="00BC4B33"/>
    <w:rsid w:val="00BC4BBA"/>
    <w:rsid w:val="00BC5CF5"/>
    <w:rsid w:val="00BC5F96"/>
    <w:rsid w:val="00BC62FA"/>
    <w:rsid w:val="00BC648E"/>
    <w:rsid w:val="00BC67F3"/>
    <w:rsid w:val="00BC688D"/>
    <w:rsid w:val="00BC6A6D"/>
    <w:rsid w:val="00BC6ECB"/>
    <w:rsid w:val="00BC6F6B"/>
    <w:rsid w:val="00BC7090"/>
    <w:rsid w:val="00BC7424"/>
    <w:rsid w:val="00BC7D24"/>
    <w:rsid w:val="00BC7E64"/>
    <w:rsid w:val="00BD0248"/>
    <w:rsid w:val="00BD028A"/>
    <w:rsid w:val="00BD0413"/>
    <w:rsid w:val="00BD055E"/>
    <w:rsid w:val="00BD0C96"/>
    <w:rsid w:val="00BD0E62"/>
    <w:rsid w:val="00BD13AF"/>
    <w:rsid w:val="00BD15EA"/>
    <w:rsid w:val="00BD1A0C"/>
    <w:rsid w:val="00BD1B7D"/>
    <w:rsid w:val="00BD1DD5"/>
    <w:rsid w:val="00BD2049"/>
    <w:rsid w:val="00BD2E17"/>
    <w:rsid w:val="00BD2E74"/>
    <w:rsid w:val="00BD3655"/>
    <w:rsid w:val="00BD3934"/>
    <w:rsid w:val="00BD3A7D"/>
    <w:rsid w:val="00BD3BC6"/>
    <w:rsid w:val="00BD3BFB"/>
    <w:rsid w:val="00BD4264"/>
    <w:rsid w:val="00BD4547"/>
    <w:rsid w:val="00BD483E"/>
    <w:rsid w:val="00BD5046"/>
    <w:rsid w:val="00BD5596"/>
    <w:rsid w:val="00BD565D"/>
    <w:rsid w:val="00BD5BA8"/>
    <w:rsid w:val="00BD5DB9"/>
    <w:rsid w:val="00BD6003"/>
    <w:rsid w:val="00BD6086"/>
    <w:rsid w:val="00BD61A0"/>
    <w:rsid w:val="00BD6779"/>
    <w:rsid w:val="00BD6B4B"/>
    <w:rsid w:val="00BD6E3E"/>
    <w:rsid w:val="00BD7179"/>
    <w:rsid w:val="00BD7B1A"/>
    <w:rsid w:val="00BE0369"/>
    <w:rsid w:val="00BE061C"/>
    <w:rsid w:val="00BE0963"/>
    <w:rsid w:val="00BE0F4F"/>
    <w:rsid w:val="00BE0F86"/>
    <w:rsid w:val="00BE1996"/>
    <w:rsid w:val="00BE19EA"/>
    <w:rsid w:val="00BE1C65"/>
    <w:rsid w:val="00BE1E34"/>
    <w:rsid w:val="00BE1F7B"/>
    <w:rsid w:val="00BE2500"/>
    <w:rsid w:val="00BE256F"/>
    <w:rsid w:val="00BE275F"/>
    <w:rsid w:val="00BE2E22"/>
    <w:rsid w:val="00BE2ED0"/>
    <w:rsid w:val="00BE3370"/>
    <w:rsid w:val="00BE3B25"/>
    <w:rsid w:val="00BE4286"/>
    <w:rsid w:val="00BE4622"/>
    <w:rsid w:val="00BE47EB"/>
    <w:rsid w:val="00BE4F5C"/>
    <w:rsid w:val="00BE4F78"/>
    <w:rsid w:val="00BE4F8C"/>
    <w:rsid w:val="00BE58AF"/>
    <w:rsid w:val="00BE5BC9"/>
    <w:rsid w:val="00BE5FB9"/>
    <w:rsid w:val="00BE647C"/>
    <w:rsid w:val="00BE64DA"/>
    <w:rsid w:val="00BE650A"/>
    <w:rsid w:val="00BE651D"/>
    <w:rsid w:val="00BE655B"/>
    <w:rsid w:val="00BE677A"/>
    <w:rsid w:val="00BE68D9"/>
    <w:rsid w:val="00BE6BC6"/>
    <w:rsid w:val="00BE6D1E"/>
    <w:rsid w:val="00BE7118"/>
    <w:rsid w:val="00BE74BD"/>
    <w:rsid w:val="00BE74DB"/>
    <w:rsid w:val="00BE7CC4"/>
    <w:rsid w:val="00BF07CC"/>
    <w:rsid w:val="00BF08C3"/>
    <w:rsid w:val="00BF0D50"/>
    <w:rsid w:val="00BF0E7F"/>
    <w:rsid w:val="00BF13F6"/>
    <w:rsid w:val="00BF19C9"/>
    <w:rsid w:val="00BF218D"/>
    <w:rsid w:val="00BF2267"/>
    <w:rsid w:val="00BF24AC"/>
    <w:rsid w:val="00BF268F"/>
    <w:rsid w:val="00BF270B"/>
    <w:rsid w:val="00BF277E"/>
    <w:rsid w:val="00BF27E4"/>
    <w:rsid w:val="00BF29D5"/>
    <w:rsid w:val="00BF3007"/>
    <w:rsid w:val="00BF3258"/>
    <w:rsid w:val="00BF32C0"/>
    <w:rsid w:val="00BF3521"/>
    <w:rsid w:val="00BF385C"/>
    <w:rsid w:val="00BF3D26"/>
    <w:rsid w:val="00BF3FED"/>
    <w:rsid w:val="00BF4243"/>
    <w:rsid w:val="00BF4625"/>
    <w:rsid w:val="00BF4724"/>
    <w:rsid w:val="00BF474F"/>
    <w:rsid w:val="00BF4E36"/>
    <w:rsid w:val="00BF4EB3"/>
    <w:rsid w:val="00BF5208"/>
    <w:rsid w:val="00BF5485"/>
    <w:rsid w:val="00BF56A2"/>
    <w:rsid w:val="00BF6694"/>
    <w:rsid w:val="00BF6B96"/>
    <w:rsid w:val="00BF7149"/>
    <w:rsid w:val="00BF71BF"/>
    <w:rsid w:val="00BF7617"/>
    <w:rsid w:val="00BF763F"/>
    <w:rsid w:val="00BF797F"/>
    <w:rsid w:val="00BF7DCC"/>
    <w:rsid w:val="00BF7FC0"/>
    <w:rsid w:val="00C00182"/>
    <w:rsid w:val="00C004F5"/>
    <w:rsid w:val="00C0053F"/>
    <w:rsid w:val="00C00608"/>
    <w:rsid w:val="00C00636"/>
    <w:rsid w:val="00C00771"/>
    <w:rsid w:val="00C00CE1"/>
    <w:rsid w:val="00C01176"/>
    <w:rsid w:val="00C02198"/>
    <w:rsid w:val="00C02720"/>
    <w:rsid w:val="00C02A7D"/>
    <w:rsid w:val="00C02D43"/>
    <w:rsid w:val="00C02EC6"/>
    <w:rsid w:val="00C03042"/>
    <w:rsid w:val="00C033A0"/>
    <w:rsid w:val="00C0349A"/>
    <w:rsid w:val="00C038AC"/>
    <w:rsid w:val="00C03BF6"/>
    <w:rsid w:val="00C03EA5"/>
    <w:rsid w:val="00C04416"/>
    <w:rsid w:val="00C04843"/>
    <w:rsid w:val="00C04A7D"/>
    <w:rsid w:val="00C0502D"/>
    <w:rsid w:val="00C05378"/>
    <w:rsid w:val="00C05764"/>
    <w:rsid w:val="00C05DBD"/>
    <w:rsid w:val="00C064F1"/>
    <w:rsid w:val="00C065E7"/>
    <w:rsid w:val="00C06A01"/>
    <w:rsid w:val="00C06A1B"/>
    <w:rsid w:val="00C06AAB"/>
    <w:rsid w:val="00C07125"/>
    <w:rsid w:val="00C07512"/>
    <w:rsid w:val="00C07711"/>
    <w:rsid w:val="00C079DC"/>
    <w:rsid w:val="00C07E8F"/>
    <w:rsid w:val="00C101F2"/>
    <w:rsid w:val="00C10388"/>
    <w:rsid w:val="00C10D54"/>
    <w:rsid w:val="00C11142"/>
    <w:rsid w:val="00C114AC"/>
    <w:rsid w:val="00C114E1"/>
    <w:rsid w:val="00C11B7E"/>
    <w:rsid w:val="00C11C34"/>
    <w:rsid w:val="00C11CBA"/>
    <w:rsid w:val="00C11F22"/>
    <w:rsid w:val="00C120C0"/>
    <w:rsid w:val="00C12287"/>
    <w:rsid w:val="00C13270"/>
    <w:rsid w:val="00C1336A"/>
    <w:rsid w:val="00C13EF0"/>
    <w:rsid w:val="00C13F04"/>
    <w:rsid w:val="00C14309"/>
    <w:rsid w:val="00C14700"/>
    <w:rsid w:val="00C148FD"/>
    <w:rsid w:val="00C14938"/>
    <w:rsid w:val="00C14AF4"/>
    <w:rsid w:val="00C14C3A"/>
    <w:rsid w:val="00C1527C"/>
    <w:rsid w:val="00C15A21"/>
    <w:rsid w:val="00C15D15"/>
    <w:rsid w:val="00C15D6F"/>
    <w:rsid w:val="00C15F78"/>
    <w:rsid w:val="00C16429"/>
    <w:rsid w:val="00C16675"/>
    <w:rsid w:val="00C16978"/>
    <w:rsid w:val="00C16E7C"/>
    <w:rsid w:val="00C1707A"/>
    <w:rsid w:val="00C17199"/>
    <w:rsid w:val="00C1739B"/>
    <w:rsid w:val="00C173F0"/>
    <w:rsid w:val="00C17727"/>
    <w:rsid w:val="00C177F7"/>
    <w:rsid w:val="00C17897"/>
    <w:rsid w:val="00C17AAA"/>
    <w:rsid w:val="00C17D1A"/>
    <w:rsid w:val="00C17F88"/>
    <w:rsid w:val="00C200B5"/>
    <w:rsid w:val="00C202C8"/>
    <w:rsid w:val="00C20984"/>
    <w:rsid w:val="00C20B39"/>
    <w:rsid w:val="00C20D39"/>
    <w:rsid w:val="00C210B3"/>
    <w:rsid w:val="00C2124E"/>
    <w:rsid w:val="00C22642"/>
    <w:rsid w:val="00C22D51"/>
    <w:rsid w:val="00C22EBB"/>
    <w:rsid w:val="00C22F80"/>
    <w:rsid w:val="00C23009"/>
    <w:rsid w:val="00C23106"/>
    <w:rsid w:val="00C2340F"/>
    <w:rsid w:val="00C237AE"/>
    <w:rsid w:val="00C239DD"/>
    <w:rsid w:val="00C2415E"/>
    <w:rsid w:val="00C24453"/>
    <w:rsid w:val="00C24FDC"/>
    <w:rsid w:val="00C25011"/>
    <w:rsid w:val="00C25051"/>
    <w:rsid w:val="00C2534A"/>
    <w:rsid w:val="00C2545A"/>
    <w:rsid w:val="00C2592D"/>
    <w:rsid w:val="00C25F7F"/>
    <w:rsid w:val="00C26313"/>
    <w:rsid w:val="00C26449"/>
    <w:rsid w:val="00C26BA5"/>
    <w:rsid w:val="00C26D89"/>
    <w:rsid w:val="00C3042D"/>
    <w:rsid w:val="00C30611"/>
    <w:rsid w:val="00C30639"/>
    <w:rsid w:val="00C306D4"/>
    <w:rsid w:val="00C30AB4"/>
    <w:rsid w:val="00C30AC8"/>
    <w:rsid w:val="00C30B2E"/>
    <w:rsid w:val="00C30E90"/>
    <w:rsid w:val="00C31411"/>
    <w:rsid w:val="00C315EF"/>
    <w:rsid w:val="00C31CC0"/>
    <w:rsid w:val="00C3203A"/>
    <w:rsid w:val="00C32832"/>
    <w:rsid w:val="00C32A11"/>
    <w:rsid w:val="00C33045"/>
    <w:rsid w:val="00C33350"/>
    <w:rsid w:val="00C33B3D"/>
    <w:rsid w:val="00C33C4F"/>
    <w:rsid w:val="00C3442D"/>
    <w:rsid w:val="00C346DA"/>
    <w:rsid w:val="00C348DF"/>
    <w:rsid w:val="00C34CCC"/>
    <w:rsid w:val="00C35196"/>
    <w:rsid w:val="00C359AC"/>
    <w:rsid w:val="00C35F57"/>
    <w:rsid w:val="00C36396"/>
    <w:rsid w:val="00C364F8"/>
    <w:rsid w:val="00C3667F"/>
    <w:rsid w:val="00C36994"/>
    <w:rsid w:val="00C36AF3"/>
    <w:rsid w:val="00C36BEE"/>
    <w:rsid w:val="00C36ECF"/>
    <w:rsid w:val="00C37174"/>
    <w:rsid w:val="00C37323"/>
    <w:rsid w:val="00C377B8"/>
    <w:rsid w:val="00C378A5"/>
    <w:rsid w:val="00C37B88"/>
    <w:rsid w:val="00C37C97"/>
    <w:rsid w:val="00C401D1"/>
    <w:rsid w:val="00C4097C"/>
    <w:rsid w:val="00C409D2"/>
    <w:rsid w:val="00C40BF7"/>
    <w:rsid w:val="00C40CBF"/>
    <w:rsid w:val="00C40D57"/>
    <w:rsid w:val="00C40DD6"/>
    <w:rsid w:val="00C40E9C"/>
    <w:rsid w:val="00C41896"/>
    <w:rsid w:val="00C41A41"/>
    <w:rsid w:val="00C41AAE"/>
    <w:rsid w:val="00C41F09"/>
    <w:rsid w:val="00C41F2A"/>
    <w:rsid w:val="00C4212E"/>
    <w:rsid w:val="00C42180"/>
    <w:rsid w:val="00C4225B"/>
    <w:rsid w:val="00C42298"/>
    <w:rsid w:val="00C42C6F"/>
    <w:rsid w:val="00C42E40"/>
    <w:rsid w:val="00C4306B"/>
    <w:rsid w:val="00C43121"/>
    <w:rsid w:val="00C43F0A"/>
    <w:rsid w:val="00C445BD"/>
    <w:rsid w:val="00C44C88"/>
    <w:rsid w:val="00C44FB0"/>
    <w:rsid w:val="00C45162"/>
    <w:rsid w:val="00C45301"/>
    <w:rsid w:val="00C45693"/>
    <w:rsid w:val="00C456A0"/>
    <w:rsid w:val="00C4680D"/>
    <w:rsid w:val="00C46CBB"/>
    <w:rsid w:val="00C46EA7"/>
    <w:rsid w:val="00C472D6"/>
    <w:rsid w:val="00C47319"/>
    <w:rsid w:val="00C476D7"/>
    <w:rsid w:val="00C47CD0"/>
    <w:rsid w:val="00C47D61"/>
    <w:rsid w:val="00C47D7C"/>
    <w:rsid w:val="00C501CC"/>
    <w:rsid w:val="00C503D2"/>
    <w:rsid w:val="00C505DD"/>
    <w:rsid w:val="00C509D3"/>
    <w:rsid w:val="00C50AAD"/>
    <w:rsid w:val="00C50B41"/>
    <w:rsid w:val="00C50BD9"/>
    <w:rsid w:val="00C50DEF"/>
    <w:rsid w:val="00C50F04"/>
    <w:rsid w:val="00C5110E"/>
    <w:rsid w:val="00C514B0"/>
    <w:rsid w:val="00C5166A"/>
    <w:rsid w:val="00C516BD"/>
    <w:rsid w:val="00C5193E"/>
    <w:rsid w:val="00C51996"/>
    <w:rsid w:val="00C522A9"/>
    <w:rsid w:val="00C533A4"/>
    <w:rsid w:val="00C5353E"/>
    <w:rsid w:val="00C53664"/>
    <w:rsid w:val="00C5383B"/>
    <w:rsid w:val="00C53D62"/>
    <w:rsid w:val="00C53FCF"/>
    <w:rsid w:val="00C541FB"/>
    <w:rsid w:val="00C54276"/>
    <w:rsid w:val="00C54A42"/>
    <w:rsid w:val="00C54EAD"/>
    <w:rsid w:val="00C553B5"/>
    <w:rsid w:val="00C553F2"/>
    <w:rsid w:val="00C55590"/>
    <w:rsid w:val="00C5561D"/>
    <w:rsid w:val="00C55CA8"/>
    <w:rsid w:val="00C568A9"/>
    <w:rsid w:val="00C56BE5"/>
    <w:rsid w:val="00C56D47"/>
    <w:rsid w:val="00C574CD"/>
    <w:rsid w:val="00C575CD"/>
    <w:rsid w:val="00C577EF"/>
    <w:rsid w:val="00C57CEC"/>
    <w:rsid w:val="00C60191"/>
    <w:rsid w:val="00C60672"/>
    <w:rsid w:val="00C60830"/>
    <w:rsid w:val="00C60B5A"/>
    <w:rsid w:val="00C60BBD"/>
    <w:rsid w:val="00C61035"/>
    <w:rsid w:val="00C6154D"/>
    <w:rsid w:val="00C617E0"/>
    <w:rsid w:val="00C61E47"/>
    <w:rsid w:val="00C61E9D"/>
    <w:rsid w:val="00C61FAA"/>
    <w:rsid w:val="00C6239C"/>
    <w:rsid w:val="00C624F1"/>
    <w:rsid w:val="00C6263E"/>
    <w:rsid w:val="00C62BCE"/>
    <w:rsid w:val="00C62E0C"/>
    <w:rsid w:val="00C6342C"/>
    <w:rsid w:val="00C636E4"/>
    <w:rsid w:val="00C63926"/>
    <w:rsid w:val="00C63BC8"/>
    <w:rsid w:val="00C63C4A"/>
    <w:rsid w:val="00C63CA5"/>
    <w:rsid w:val="00C63D38"/>
    <w:rsid w:val="00C64216"/>
    <w:rsid w:val="00C64967"/>
    <w:rsid w:val="00C64C19"/>
    <w:rsid w:val="00C64E94"/>
    <w:rsid w:val="00C652B5"/>
    <w:rsid w:val="00C65730"/>
    <w:rsid w:val="00C6599C"/>
    <w:rsid w:val="00C65C91"/>
    <w:rsid w:val="00C65E95"/>
    <w:rsid w:val="00C66025"/>
    <w:rsid w:val="00C6604A"/>
    <w:rsid w:val="00C6610C"/>
    <w:rsid w:val="00C6637C"/>
    <w:rsid w:val="00C66539"/>
    <w:rsid w:val="00C66756"/>
    <w:rsid w:val="00C668AE"/>
    <w:rsid w:val="00C66CC5"/>
    <w:rsid w:val="00C66ED1"/>
    <w:rsid w:val="00C6722E"/>
    <w:rsid w:val="00C67913"/>
    <w:rsid w:val="00C67CDD"/>
    <w:rsid w:val="00C67D7A"/>
    <w:rsid w:val="00C709DE"/>
    <w:rsid w:val="00C70B79"/>
    <w:rsid w:val="00C70C62"/>
    <w:rsid w:val="00C7106C"/>
    <w:rsid w:val="00C7110B"/>
    <w:rsid w:val="00C71143"/>
    <w:rsid w:val="00C7119E"/>
    <w:rsid w:val="00C715DF"/>
    <w:rsid w:val="00C71906"/>
    <w:rsid w:val="00C719E3"/>
    <w:rsid w:val="00C71A12"/>
    <w:rsid w:val="00C71AD8"/>
    <w:rsid w:val="00C72DAD"/>
    <w:rsid w:val="00C732FC"/>
    <w:rsid w:val="00C734E1"/>
    <w:rsid w:val="00C73573"/>
    <w:rsid w:val="00C7369D"/>
    <w:rsid w:val="00C73EC4"/>
    <w:rsid w:val="00C73F03"/>
    <w:rsid w:val="00C74661"/>
    <w:rsid w:val="00C746AE"/>
    <w:rsid w:val="00C746FA"/>
    <w:rsid w:val="00C74873"/>
    <w:rsid w:val="00C75C12"/>
    <w:rsid w:val="00C762A0"/>
    <w:rsid w:val="00C7659C"/>
    <w:rsid w:val="00C768F4"/>
    <w:rsid w:val="00C7692F"/>
    <w:rsid w:val="00C76F10"/>
    <w:rsid w:val="00C77D47"/>
    <w:rsid w:val="00C77D75"/>
    <w:rsid w:val="00C804F3"/>
    <w:rsid w:val="00C8059A"/>
    <w:rsid w:val="00C805D0"/>
    <w:rsid w:val="00C80AB3"/>
    <w:rsid w:val="00C80FE7"/>
    <w:rsid w:val="00C8103B"/>
    <w:rsid w:val="00C8109C"/>
    <w:rsid w:val="00C81164"/>
    <w:rsid w:val="00C81286"/>
    <w:rsid w:val="00C81B1B"/>
    <w:rsid w:val="00C8261E"/>
    <w:rsid w:val="00C82748"/>
    <w:rsid w:val="00C829D9"/>
    <w:rsid w:val="00C82F51"/>
    <w:rsid w:val="00C83172"/>
    <w:rsid w:val="00C83873"/>
    <w:rsid w:val="00C83A11"/>
    <w:rsid w:val="00C83BF5"/>
    <w:rsid w:val="00C84036"/>
    <w:rsid w:val="00C84A16"/>
    <w:rsid w:val="00C84F7A"/>
    <w:rsid w:val="00C85070"/>
    <w:rsid w:val="00C850F4"/>
    <w:rsid w:val="00C85260"/>
    <w:rsid w:val="00C85510"/>
    <w:rsid w:val="00C85CFE"/>
    <w:rsid w:val="00C862CB"/>
    <w:rsid w:val="00C8652B"/>
    <w:rsid w:val="00C87514"/>
    <w:rsid w:val="00C87527"/>
    <w:rsid w:val="00C87631"/>
    <w:rsid w:val="00C876E1"/>
    <w:rsid w:val="00C87707"/>
    <w:rsid w:val="00C8791B"/>
    <w:rsid w:val="00C8797D"/>
    <w:rsid w:val="00C87CAB"/>
    <w:rsid w:val="00C87FE7"/>
    <w:rsid w:val="00C90007"/>
    <w:rsid w:val="00C902D7"/>
    <w:rsid w:val="00C9063E"/>
    <w:rsid w:val="00C912B4"/>
    <w:rsid w:val="00C91A01"/>
    <w:rsid w:val="00C91BCF"/>
    <w:rsid w:val="00C91CAA"/>
    <w:rsid w:val="00C91D58"/>
    <w:rsid w:val="00C9209F"/>
    <w:rsid w:val="00C92762"/>
    <w:rsid w:val="00C9347F"/>
    <w:rsid w:val="00C93748"/>
    <w:rsid w:val="00C93A5E"/>
    <w:rsid w:val="00C93C9D"/>
    <w:rsid w:val="00C93CFF"/>
    <w:rsid w:val="00C942BD"/>
    <w:rsid w:val="00C94463"/>
    <w:rsid w:val="00C94A63"/>
    <w:rsid w:val="00C94AB1"/>
    <w:rsid w:val="00C94CD6"/>
    <w:rsid w:val="00C956D5"/>
    <w:rsid w:val="00C96171"/>
    <w:rsid w:val="00C96388"/>
    <w:rsid w:val="00C9661C"/>
    <w:rsid w:val="00C9678C"/>
    <w:rsid w:val="00C96865"/>
    <w:rsid w:val="00C96ED5"/>
    <w:rsid w:val="00C971AD"/>
    <w:rsid w:val="00C971CD"/>
    <w:rsid w:val="00C97E19"/>
    <w:rsid w:val="00C97F80"/>
    <w:rsid w:val="00C97F99"/>
    <w:rsid w:val="00CA044D"/>
    <w:rsid w:val="00CA0AF3"/>
    <w:rsid w:val="00CA0D3F"/>
    <w:rsid w:val="00CA10EB"/>
    <w:rsid w:val="00CA128A"/>
    <w:rsid w:val="00CA1414"/>
    <w:rsid w:val="00CA16D6"/>
    <w:rsid w:val="00CA172A"/>
    <w:rsid w:val="00CA1BBA"/>
    <w:rsid w:val="00CA225D"/>
    <w:rsid w:val="00CA2947"/>
    <w:rsid w:val="00CA29AA"/>
    <w:rsid w:val="00CA2A45"/>
    <w:rsid w:val="00CA3045"/>
    <w:rsid w:val="00CA31D5"/>
    <w:rsid w:val="00CA3899"/>
    <w:rsid w:val="00CA3933"/>
    <w:rsid w:val="00CA3DD8"/>
    <w:rsid w:val="00CA4D79"/>
    <w:rsid w:val="00CA5764"/>
    <w:rsid w:val="00CA598C"/>
    <w:rsid w:val="00CA5B78"/>
    <w:rsid w:val="00CA5F0B"/>
    <w:rsid w:val="00CA646C"/>
    <w:rsid w:val="00CA654D"/>
    <w:rsid w:val="00CA6695"/>
    <w:rsid w:val="00CA6BA6"/>
    <w:rsid w:val="00CA6C88"/>
    <w:rsid w:val="00CA6F49"/>
    <w:rsid w:val="00CA70B9"/>
    <w:rsid w:val="00CA7315"/>
    <w:rsid w:val="00CA7496"/>
    <w:rsid w:val="00CA77C3"/>
    <w:rsid w:val="00CA7ADF"/>
    <w:rsid w:val="00CA7E1F"/>
    <w:rsid w:val="00CA7EF2"/>
    <w:rsid w:val="00CB006F"/>
    <w:rsid w:val="00CB028F"/>
    <w:rsid w:val="00CB0489"/>
    <w:rsid w:val="00CB0D5A"/>
    <w:rsid w:val="00CB0DB0"/>
    <w:rsid w:val="00CB1B78"/>
    <w:rsid w:val="00CB1BCA"/>
    <w:rsid w:val="00CB205D"/>
    <w:rsid w:val="00CB235B"/>
    <w:rsid w:val="00CB2703"/>
    <w:rsid w:val="00CB2A58"/>
    <w:rsid w:val="00CB2DFE"/>
    <w:rsid w:val="00CB30FC"/>
    <w:rsid w:val="00CB316E"/>
    <w:rsid w:val="00CB3507"/>
    <w:rsid w:val="00CB3B2C"/>
    <w:rsid w:val="00CB3E7A"/>
    <w:rsid w:val="00CB46F4"/>
    <w:rsid w:val="00CB48DB"/>
    <w:rsid w:val="00CB4BB5"/>
    <w:rsid w:val="00CB4FB3"/>
    <w:rsid w:val="00CB511B"/>
    <w:rsid w:val="00CB5DBF"/>
    <w:rsid w:val="00CB606F"/>
    <w:rsid w:val="00CB616A"/>
    <w:rsid w:val="00CB6286"/>
    <w:rsid w:val="00CB64D4"/>
    <w:rsid w:val="00CB6F1F"/>
    <w:rsid w:val="00CB710B"/>
    <w:rsid w:val="00CB7452"/>
    <w:rsid w:val="00CB7D88"/>
    <w:rsid w:val="00CB7EA5"/>
    <w:rsid w:val="00CC0528"/>
    <w:rsid w:val="00CC0532"/>
    <w:rsid w:val="00CC0544"/>
    <w:rsid w:val="00CC070E"/>
    <w:rsid w:val="00CC099B"/>
    <w:rsid w:val="00CC0AA4"/>
    <w:rsid w:val="00CC16EF"/>
    <w:rsid w:val="00CC244B"/>
    <w:rsid w:val="00CC25BC"/>
    <w:rsid w:val="00CC3809"/>
    <w:rsid w:val="00CC3E5A"/>
    <w:rsid w:val="00CC446D"/>
    <w:rsid w:val="00CC48ED"/>
    <w:rsid w:val="00CC4B60"/>
    <w:rsid w:val="00CC4F01"/>
    <w:rsid w:val="00CC5060"/>
    <w:rsid w:val="00CC55CA"/>
    <w:rsid w:val="00CC5666"/>
    <w:rsid w:val="00CC5D69"/>
    <w:rsid w:val="00CC6CD6"/>
    <w:rsid w:val="00CC6EAF"/>
    <w:rsid w:val="00CC7243"/>
    <w:rsid w:val="00CC72D0"/>
    <w:rsid w:val="00CC7744"/>
    <w:rsid w:val="00CC775D"/>
    <w:rsid w:val="00CC7DD0"/>
    <w:rsid w:val="00CD058E"/>
    <w:rsid w:val="00CD0C5E"/>
    <w:rsid w:val="00CD15E0"/>
    <w:rsid w:val="00CD175D"/>
    <w:rsid w:val="00CD1E6F"/>
    <w:rsid w:val="00CD21D6"/>
    <w:rsid w:val="00CD2BBA"/>
    <w:rsid w:val="00CD2C94"/>
    <w:rsid w:val="00CD2D3C"/>
    <w:rsid w:val="00CD32A9"/>
    <w:rsid w:val="00CD3408"/>
    <w:rsid w:val="00CD343E"/>
    <w:rsid w:val="00CD384F"/>
    <w:rsid w:val="00CD3F58"/>
    <w:rsid w:val="00CD41D0"/>
    <w:rsid w:val="00CD42D6"/>
    <w:rsid w:val="00CD44C8"/>
    <w:rsid w:val="00CD44EC"/>
    <w:rsid w:val="00CD4C06"/>
    <w:rsid w:val="00CD5944"/>
    <w:rsid w:val="00CD598A"/>
    <w:rsid w:val="00CD5A0E"/>
    <w:rsid w:val="00CD5AC0"/>
    <w:rsid w:val="00CD5E65"/>
    <w:rsid w:val="00CD5E99"/>
    <w:rsid w:val="00CD66C4"/>
    <w:rsid w:val="00CD67D6"/>
    <w:rsid w:val="00CD687E"/>
    <w:rsid w:val="00CD6E1C"/>
    <w:rsid w:val="00CD717A"/>
    <w:rsid w:val="00CD72C6"/>
    <w:rsid w:val="00CD74B8"/>
    <w:rsid w:val="00CD7C25"/>
    <w:rsid w:val="00CD7C3E"/>
    <w:rsid w:val="00CD7FB3"/>
    <w:rsid w:val="00CE0365"/>
    <w:rsid w:val="00CE0870"/>
    <w:rsid w:val="00CE0DBB"/>
    <w:rsid w:val="00CE10E9"/>
    <w:rsid w:val="00CE1AB2"/>
    <w:rsid w:val="00CE1CFB"/>
    <w:rsid w:val="00CE2142"/>
    <w:rsid w:val="00CE2735"/>
    <w:rsid w:val="00CE27C8"/>
    <w:rsid w:val="00CE2EFB"/>
    <w:rsid w:val="00CE30A6"/>
    <w:rsid w:val="00CE37AA"/>
    <w:rsid w:val="00CE3919"/>
    <w:rsid w:val="00CE42A1"/>
    <w:rsid w:val="00CE47B2"/>
    <w:rsid w:val="00CE4840"/>
    <w:rsid w:val="00CE50F6"/>
    <w:rsid w:val="00CE5379"/>
    <w:rsid w:val="00CE5B76"/>
    <w:rsid w:val="00CE5CCA"/>
    <w:rsid w:val="00CE63C2"/>
    <w:rsid w:val="00CE66CC"/>
    <w:rsid w:val="00CE66DE"/>
    <w:rsid w:val="00CE6738"/>
    <w:rsid w:val="00CE6C18"/>
    <w:rsid w:val="00CE6E65"/>
    <w:rsid w:val="00CE7C01"/>
    <w:rsid w:val="00CF0360"/>
    <w:rsid w:val="00CF0CE7"/>
    <w:rsid w:val="00CF143F"/>
    <w:rsid w:val="00CF1581"/>
    <w:rsid w:val="00CF2024"/>
    <w:rsid w:val="00CF205F"/>
    <w:rsid w:val="00CF2065"/>
    <w:rsid w:val="00CF2455"/>
    <w:rsid w:val="00CF24B3"/>
    <w:rsid w:val="00CF26CC"/>
    <w:rsid w:val="00CF31E9"/>
    <w:rsid w:val="00CF33D9"/>
    <w:rsid w:val="00CF367A"/>
    <w:rsid w:val="00CF385E"/>
    <w:rsid w:val="00CF3FBF"/>
    <w:rsid w:val="00CF47B8"/>
    <w:rsid w:val="00CF4AD8"/>
    <w:rsid w:val="00CF510F"/>
    <w:rsid w:val="00CF54A1"/>
    <w:rsid w:val="00CF5EF2"/>
    <w:rsid w:val="00CF60E7"/>
    <w:rsid w:val="00CF61B6"/>
    <w:rsid w:val="00CF671F"/>
    <w:rsid w:val="00CF67FD"/>
    <w:rsid w:val="00CF7018"/>
    <w:rsid w:val="00CF76B0"/>
    <w:rsid w:val="00CF7BE1"/>
    <w:rsid w:val="00CF7CF6"/>
    <w:rsid w:val="00D003A9"/>
    <w:rsid w:val="00D00503"/>
    <w:rsid w:val="00D00846"/>
    <w:rsid w:val="00D00A30"/>
    <w:rsid w:val="00D00A8A"/>
    <w:rsid w:val="00D00ACD"/>
    <w:rsid w:val="00D00B3C"/>
    <w:rsid w:val="00D00EAC"/>
    <w:rsid w:val="00D00FCB"/>
    <w:rsid w:val="00D010BB"/>
    <w:rsid w:val="00D01772"/>
    <w:rsid w:val="00D01950"/>
    <w:rsid w:val="00D01A4B"/>
    <w:rsid w:val="00D01AD3"/>
    <w:rsid w:val="00D01B2F"/>
    <w:rsid w:val="00D01E7B"/>
    <w:rsid w:val="00D01F05"/>
    <w:rsid w:val="00D01F33"/>
    <w:rsid w:val="00D021DA"/>
    <w:rsid w:val="00D022E4"/>
    <w:rsid w:val="00D023CF"/>
    <w:rsid w:val="00D028A7"/>
    <w:rsid w:val="00D02A0E"/>
    <w:rsid w:val="00D02C89"/>
    <w:rsid w:val="00D02E5C"/>
    <w:rsid w:val="00D03D28"/>
    <w:rsid w:val="00D03D8A"/>
    <w:rsid w:val="00D04128"/>
    <w:rsid w:val="00D04871"/>
    <w:rsid w:val="00D0489D"/>
    <w:rsid w:val="00D04919"/>
    <w:rsid w:val="00D049F8"/>
    <w:rsid w:val="00D04DFA"/>
    <w:rsid w:val="00D052B4"/>
    <w:rsid w:val="00D05599"/>
    <w:rsid w:val="00D0567E"/>
    <w:rsid w:val="00D057C0"/>
    <w:rsid w:val="00D05B12"/>
    <w:rsid w:val="00D06A64"/>
    <w:rsid w:val="00D06B13"/>
    <w:rsid w:val="00D06B62"/>
    <w:rsid w:val="00D06FF5"/>
    <w:rsid w:val="00D076B3"/>
    <w:rsid w:val="00D07744"/>
    <w:rsid w:val="00D07789"/>
    <w:rsid w:val="00D07E33"/>
    <w:rsid w:val="00D10076"/>
    <w:rsid w:val="00D1069F"/>
    <w:rsid w:val="00D1077B"/>
    <w:rsid w:val="00D109FA"/>
    <w:rsid w:val="00D111C1"/>
    <w:rsid w:val="00D114E5"/>
    <w:rsid w:val="00D119D5"/>
    <w:rsid w:val="00D11DF4"/>
    <w:rsid w:val="00D123F4"/>
    <w:rsid w:val="00D12535"/>
    <w:rsid w:val="00D12588"/>
    <w:rsid w:val="00D12778"/>
    <w:rsid w:val="00D12852"/>
    <w:rsid w:val="00D12853"/>
    <w:rsid w:val="00D12984"/>
    <w:rsid w:val="00D129F2"/>
    <w:rsid w:val="00D12A60"/>
    <w:rsid w:val="00D12AFA"/>
    <w:rsid w:val="00D12B7D"/>
    <w:rsid w:val="00D12FCF"/>
    <w:rsid w:val="00D131B9"/>
    <w:rsid w:val="00D1387F"/>
    <w:rsid w:val="00D13B5A"/>
    <w:rsid w:val="00D1488F"/>
    <w:rsid w:val="00D14E08"/>
    <w:rsid w:val="00D150B6"/>
    <w:rsid w:val="00D15240"/>
    <w:rsid w:val="00D15456"/>
    <w:rsid w:val="00D155D2"/>
    <w:rsid w:val="00D15A1C"/>
    <w:rsid w:val="00D16061"/>
    <w:rsid w:val="00D160EE"/>
    <w:rsid w:val="00D161A3"/>
    <w:rsid w:val="00D164D4"/>
    <w:rsid w:val="00D16690"/>
    <w:rsid w:val="00D16ACC"/>
    <w:rsid w:val="00D17221"/>
    <w:rsid w:val="00D172C6"/>
    <w:rsid w:val="00D173A8"/>
    <w:rsid w:val="00D2061F"/>
    <w:rsid w:val="00D20645"/>
    <w:rsid w:val="00D20691"/>
    <w:rsid w:val="00D20843"/>
    <w:rsid w:val="00D209D5"/>
    <w:rsid w:val="00D20D4C"/>
    <w:rsid w:val="00D20F4A"/>
    <w:rsid w:val="00D21581"/>
    <w:rsid w:val="00D2187B"/>
    <w:rsid w:val="00D21A6E"/>
    <w:rsid w:val="00D21B97"/>
    <w:rsid w:val="00D21D76"/>
    <w:rsid w:val="00D22AD5"/>
    <w:rsid w:val="00D23A87"/>
    <w:rsid w:val="00D23BD8"/>
    <w:rsid w:val="00D24112"/>
    <w:rsid w:val="00D24283"/>
    <w:rsid w:val="00D242E7"/>
    <w:rsid w:val="00D2449C"/>
    <w:rsid w:val="00D24AAD"/>
    <w:rsid w:val="00D252D1"/>
    <w:rsid w:val="00D2564E"/>
    <w:rsid w:val="00D256FC"/>
    <w:rsid w:val="00D257B7"/>
    <w:rsid w:val="00D264F0"/>
    <w:rsid w:val="00D2716E"/>
    <w:rsid w:val="00D27378"/>
    <w:rsid w:val="00D2758D"/>
    <w:rsid w:val="00D276A9"/>
    <w:rsid w:val="00D27A20"/>
    <w:rsid w:val="00D30326"/>
    <w:rsid w:val="00D3053C"/>
    <w:rsid w:val="00D30FDA"/>
    <w:rsid w:val="00D312AB"/>
    <w:rsid w:val="00D3177D"/>
    <w:rsid w:val="00D31D1A"/>
    <w:rsid w:val="00D31D35"/>
    <w:rsid w:val="00D322A3"/>
    <w:rsid w:val="00D323BE"/>
    <w:rsid w:val="00D32804"/>
    <w:rsid w:val="00D32FAB"/>
    <w:rsid w:val="00D33253"/>
    <w:rsid w:val="00D3346D"/>
    <w:rsid w:val="00D337D1"/>
    <w:rsid w:val="00D33EFF"/>
    <w:rsid w:val="00D34287"/>
    <w:rsid w:val="00D34550"/>
    <w:rsid w:val="00D3498A"/>
    <w:rsid w:val="00D34A5A"/>
    <w:rsid w:val="00D357D2"/>
    <w:rsid w:val="00D35822"/>
    <w:rsid w:val="00D358E4"/>
    <w:rsid w:val="00D35A19"/>
    <w:rsid w:val="00D35B5B"/>
    <w:rsid w:val="00D35E5E"/>
    <w:rsid w:val="00D36150"/>
    <w:rsid w:val="00D364A7"/>
    <w:rsid w:val="00D364D3"/>
    <w:rsid w:val="00D36ED7"/>
    <w:rsid w:val="00D370D6"/>
    <w:rsid w:val="00D373F3"/>
    <w:rsid w:val="00D37D8D"/>
    <w:rsid w:val="00D40194"/>
    <w:rsid w:val="00D406B9"/>
    <w:rsid w:val="00D41218"/>
    <w:rsid w:val="00D41350"/>
    <w:rsid w:val="00D4161D"/>
    <w:rsid w:val="00D4175C"/>
    <w:rsid w:val="00D41AC8"/>
    <w:rsid w:val="00D41FA2"/>
    <w:rsid w:val="00D420DA"/>
    <w:rsid w:val="00D424B8"/>
    <w:rsid w:val="00D425CD"/>
    <w:rsid w:val="00D42AD3"/>
    <w:rsid w:val="00D43840"/>
    <w:rsid w:val="00D43864"/>
    <w:rsid w:val="00D43956"/>
    <w:rsid w:val="00D43BDB"/>
    <w:rsid w:val="00D43E31"/>
    <w:rsid w:val="00D44DE3"/>
    <w:rsid w:val="00D45074"/>
    <w:rsid w:val="00D45763"/>
    <w:rsid w:val="00D45ABE"/>
    <w:rsid w:val="00D4618C"/>
    <w:rsid w:val="00D46309"/>
    <w:rsid w:val="00D46891"/>
    <w:rsid w:val="00D46D82"/>
    <w:rsid w:val="00D473CF"/>
    <w:rsid w:val="00D4761F"/>
    <w:rsid w:val="00D478C9"/>
    <w:rsid w:val="00D47922"/>
    <w:rsid w:val="00D47ADC"/>
    <w:rsid w:val="00D47BDD"/>
    <w:rsid w:val="00D47E17"/>
    <w:rsid w:val="00D47F64"/>
    <w:rsid w:val="00D50282"/>
    <w:rsid w:val="00D50283"/>
    <w:rsid w:val="00D50F6B"/>
    <w:rsid w:val="00D5127D"/>
    <w:rsid w:val="00D515F6"/>
    <w:rsid w:val="00D5161B"/>
    <w:rsid w:val="00D521B1"/>
    <w:rsid w:val="00D52223"/>
    <w:rsid w:val="00D52438"/>
    <w:rsid w:val="00D52736"/>
    <w:rsid w:val="00D52BD6"/>
    <w:rsid w:val="00D52CEB"/>
    <w:rsid w:val="00D52E41"/>
    <w:rsid w:val="00D53336"/>
    <w:rsid w:val="00D535E2"/>
    <w:rsid w:val="00D53B17"/>
    <w:rsid w:val="00D53B9D"/>
    <w:rsid w:val="00D54A31"/>
    <w:rsid w:val="00D54C70"/>
    <w:rsid w:val="00D5506A"/>
    <w:rsid w:val="00D55576"/>
    <w:rsid w:val="00D55912"/>
    <w:rsid w:val="00D55939"/>
    <w:rsid w:val="00D560BC"/>
    <w:rsid w:val="00D562C4"/>
    <w:rsid w:val="00D563BF"/>
    <w:rsid w:val="00D5650D"/>
    <w:rsid w:val="00D568D7"/>
    <w:rsid w:val="00D56BE9"/>
    <w:rsid w:val="00D56D99"/>
    <w:rsid w:val="00D56EA3"/>
    <w:rsid w:val="00D57391"/>
    <w:rsid w:val="00D57855"/>
    <w:rsid w:val="00D579A9"/>
    <w:rsid w:val="00D57E79"/>
    <w:rsid w:val="00D600FC"/>
    <w:rsid w:val="00D6034D"/>
    <w:rsid w:val="00D604D9"/>
    <w:rsid w:val="00D60604"/>
    <w:rsid w:val="00D6068F"/>
    <w:rsid w:val="00D60713"/>
    <w:rsid w:val="00D60BC6"/>
    <w:rsid w:val="00D60CB3"/>
    <w:rsid w:val="00D61668"/>
    <w:rsid w:val="00D619FD"/>
    <w:rsid w:val="00D61B9E"/>
    <w:rsid w:val="00D624E7"/>
    <w:rsid w:val="00D62EDF"/>
    <w:rsid w:val="00D63703"/>
    <w:rsid w:val="00D63AF3"/>
    <w:rsid w:val="00D64154"/>
    <w:rsid w:val="00D6432C"/>
    <w:rsid w:val="00D6455F"/>
    <w:rsid w:val="00D64EFC"/>
    <w:rsid w:val="00D65597"/>
    <w:rsid w:val="00D659D9"/>
    <w:rsid w:val="00D66151"/>
    <w:rsid w:val="00D661F5"/>
    <w:rsid w:val="00D6651E"/>
    <w:rsid w:val="00D6672F"/>
    <w:rsid w:val="00D668FD"/>
    <w:rsid w:val="00D66B51"/>
    <w:rsid w:val="00D66BB6"/>
    <w:rsid w:val="00D66BEB"/>
    <w:rsid w:val="00D67001"/>
    <w:rsid w:val="00D67516"/>
    <w:rsid w:val="00D675F9"/>
    <w:rsid w:val="00D6772B"/>
    <w:rsid w:val="00D679CA"/>
    <w:rsid w:val="00D679E2"/>
    <w:rsid w:val="00D702DF"/>
    <w:rsid w:val="00D7033D"/>
    <w:rsid w:val="00D70471"/>
    <w:rsid w:val="00D70535"/>
    <w:rsid w:val="00D7087F"/>
    <w:rsid w:val="00D70A93"/>
    <w:rsid w:val="00D70C75"/>
    <w:rsid w:val="00D70F01"/>
    <w:rsid w:val="00D71656"/>
    <w:rsid w:val="00D717D4"/>
    <w:rsid w:val="00D7192A"/>
    <w:rsid w:val="00D71E24"/>
    <w:rsid w:val="00D71F27"/>
    <w:rsid w:val="00D71F7D"/>
    <w:rsid w:val="00D71F97"/>
    <w:rsid w:val="00D71FAB"/>
    <w:rsid w:val="00D7239D"/>
    <w:rsid w:val="00D730F8"/>
    <w:rsid w:val="00D7314C"/>
    <w:rsid w:val="00D732C1"/>
    <w:rsid w:val="00D73421"/>
    <w:rsid w:val="00D7389F"/>
    <w:rsid w:val="00D73B6B"/>
    <w:rsid w:val="00D74298"/>
    <w:rsid w:val="00D7450E"/>
    <w:rsid w:val="00D7471C"/>
    <w:rsid w:val="00D74A41"/>
    <w:rsid w:val="00D74AEF"/>
    <w:rsid w:val="00D74C73"/>
    <w:rsid w:val="00D74EA8"/>
    <w:rsid w:val="00D757A4"/>
    <w:rsid w:val="00D75B5D"/>
    <w:rsid w:val="00D75C98"/>
    <w:rsid w:val="00D75D2F"/>
    <w:rsid w:val="00D7655C"/>
    <w:rsid w:val="00D765F7"/>
    <w:rsid w:val="00D76907"/>
    <w:rsid w:val="00D76B63"/>
    <w:rsid w:val="00D7714C"/>
    <w:rsid w:val="00D77243"/>
    <w:rsid w:val="00D773B1"/>
    <w:rsid w:val="00D77859"/>
    <w:rsid w:val="00D778A5"/>
    <w:rsid w:val="00D77A3F"/>
    <w:rsid w:val="00D8006E"/>
    <w:rsid w:val="00D801A0"/>
    <w:rsid w:val="00D80AF7"/>
    <w:rsid w:val="00D80C35"/>
    <w:rsid w:val="00D80C46"/>
    <w:rsid w:val="00D80E80"/>
    <w:rsid w:val="00D80F21"/>
    <w:rsid w:val="00D80F72"/>
    <w:rsid w:val="00D80F9D"/>
    <w:rsid w:val="00D81344"/>
    <w:rsid w:val="00D81644"/>
    <w:rsid w:val="00D81ACB"/>
    <w:rsid w:val="00D81DCE"/>
    <w:rsid w:val="00D821AC"/>
    <w:rsid w:val="00D82568"/>
    <w:rsid w:val="00D82821"/>
    <w:rsid w:val="00D829F7"/>
    <w:rsid w:val="00D82A19"/>
    <w:rsid w:val="00D83580"/>
    <w:rsid w:val="00D8371A"/>
    <w:rsid w:val="00D83B26"/>
    <w:rsid w:val="00D843BE"/>
    <w:rsid w:val="00D84964"/>
    <w:rsid w:val="00D84B45"/>
    <w:rsid w:val="00D84CFB"/>
    <w:rsid w:val="00D85269"/>
    <w:rsid w:val="00D85D6C"/>
    <w:rsid w:val="00D85F77"/>
    <w:rsid w:val="00D86391"/>
    <w:rsid w:val="00D86E57"/>
    <w:rsid w:val="00D86F66"/>
    <w:rsid w:val="00D8741D"/>
    <w:rsid w:val="00D8754E"/>
    <w:rsid w:val="00D87562"/>
    <w:rsid w:val="00D87BEC"/>
    <w:rsid w:val="00D90609"/>
    <w:rsid w:val="00D90DC0"/>
    <w:rsid w:val="00D91095"/>
    <w:rsid w:val="00D91289"/>
    <w:rsid w:val="00D91290"/>
    <w:rsid w:val="00D912D1"/>
    <w:rsid w:val="00D91768"/>
    <w:rsid w:val="00D919A7"/>
    <w:rsid w:val="00D91B13"/>
    <w:rsid w:val="00D92035"/>
    <w:rsid w:val="00D92146"/>
    <w:rsid w:val="00D92662"/>
    <w:rsid w:val="00D926EF"/>
    <w:rsid w:val="00D9276F"/>
    <w:rsid w:val="00D92F1E"/>
    <w:rsid w:val="00D92FBE"/>
    <w:rsid w:val="00D9340B"/>
    <w:rsid w:val="00D93934"/>
    <w:rsid w:val="00D93A40"/>
    <w:rsid w:val="00D9441D"/>
    <w:rsid w:val="00D9462E"/>
    <w:rsid w:val="00D94CD7"/>
    <w:rsid w:val="00D94E50"/>
    <w:rsid w:val="00D94FD4"/>
    <w:rsid w:val="00D95891"/>
    <w:rsid w:val="00D95AEB"/>
    <w:rsid w:val="00D95D81"/>
    <w:rsid w:val="00D95EDB"/>
    <w:rsid w:val="00D9612F"/>
    <w:rsid w:val="00D9620D"/>
    <w:rsid w:val="00D963EA"/>
    <w:rsid w:val="00D96503"/>
    <w:rsid w:val="00D969D4"/>
    <w:rsid w:val="00D96F4D"/>
    <w:rsid w:val="00D97309"/>
    <w:rsid w:val="00D9752F"/>
    <w:rsid w:val="00D977CD"/>
    <w:rsid w:val="00D97860"/>
    <w:rsid w:val="00D97E0F"/>
    <w:rsid w:val="00D97E19"/>
    <w:rsid w:val="00DA0336"/>
    <w:rsid w:val="00DA04ED"/>
    <w:rsid w:val="00DA059A"/>
    <w:rsid w:val="00DA0606"/>
    <w:rsid w:val="00DA0698"/>
    <w:rsid w:val="00DA085D"/>
    <w:rsid w:val="00DA0E31"/>
    <w:rsid w:val="00DA0FC9"/>
    <w:rsid w:val="00DA15A2"/>
    <w:rsid w:val="00DA166D"/>
    <w:rsid w:val="00DA1A89"/>
    <w:rsid w:val="00DA1AA0"/>
    <w:rsid w:val="00DA1C82"/>
    <w:rsid w:val="00DA1DB6"/>
    <w:rsid w:val="00DA20EF"/>
    <w:rsid w:val="00DA2734"/>
    <w:rsid w:val="00DA2CD0"/>
    <w:rsid w:val="00DA2CDF"/>
    <w:rsid w:val="00DA2E66"/>
    <w:rsid w:val="00DA3114"/>
    <w:rsid w:val="00DA314D"/>
    <w:rsid w:val="00DA31EA"/>
    <w:rsid w:val="00DA3330"/>
    <w:rsid w:val="00DA35CD"/>
    <w:rsid w:val="00DA3B31"/>
    <w:rsid w:val="00DA3D25"/>
    <w:rsid w:val="00DA4029"/>
    <w:rsid w:val="00DA6341"/>
    <w:rsid w:val="00DA664C"/>
    <w:rsid w:val="00DA6742"/>
    <w:rsid w:val="00DA6999"/>
    <w:rsid w:val="00DA6E6F"/>
    <w:rsid w:val="00DA6EA0"/>
    <w:rsid w:val="00DA791C"/>
    <w:rsid w:val="00DA795E"/>
    <w:rsid w:val="00DB0015"/>
    <w:rsid w:val="00DB0532"/>
    <w:rsid w:val="00DB066F"/>
    <w:rsid w:val="00DB0894"/>
    <w:rsid w:val="00DB1388"/>
    <w:rsid w:val="00DB15F7"/>
    <w:rsid w:val="00DB17A2"/>
    <w:rsid w:val="00DB1D74"/>
    <w:rsid w:val="00DB1D7A"/>
    <w:rsid w:val="00DB2506"/>
    <w:rsid w:val="00DB259D"/>
    <w:rsid w:val="00DB25E4"/>
    <w:rsid w:val="00DB2842"/>
    <w:rsid w:val="00DB2A6B"/>
    <w:rsid w:val="00DB2C71"/>
    <w:rsid w:val="00DB2DEA"/>
    <w:rsid w:val="00DB3596"/>
    <w:rsid w:val="00DB36C2"/>
    <w:rsid w:val="00DB3740"/>
    <w:rsid w:val="00DB3C6C"/>
    <w:rsid w:val="00DB41C3"/>
    <w:rsid w:val="00DB45EC"/>
    <w:rsid w:val="00DB4917"/>
    <w:rsid w:val="00DB4D27"/>
    <w:rsid w:val="00DB4D42"/>
    <w:rsid w:val="00DB5226"/>
    <w:rsid w:val="00DB524D"/>
    <w:rsid w:val="00DB5573"/>
    <w:rsid w:val="00DB5F07"/>
    <w:rsid w:val="00DB63F0"/>
    <w:rsid w:val="00DB6524"/>
    <w:rsid w:val="00DB65FE"/>
    <w:rsid w:val="00DB679F"/>
    <w:rsid w:val="00DB6D0F"/>
    <w:rsid w:val="00DB7080"/>
    <w:rsid w:val="00DB708C"/>
    <w:rsid w:val="00DB7096"/>
    <w:rsid w:val="00DB7242"/>
    <w:rsid w:val="00DB7B09"/>
    <w:rsid w:val="00DB7CD5"/>
    <w:rsid w:val="00DB7D61"/>
    <w:rsid w:val="00DC0D84"/>
    <w:rsid w:val="00DC1112"/>
    <w:rsid w:val="00DC1178"/>
    <w:rsid w:val="00DC12F9"/>
    <w:rsid w:val="00DC140D"/>
    <w:rsid w:val="00DC14F0"/>
    <w:rsid w:val="00DC1945"/>
    <w:rsid w:val="00DC19E1"/>
    <w:rsid w:val="00DC19EC"/>
    <w:rsid w:val="00DC1FF5"/>
    <w:rsid w:val="00DC208C"/>
    <w:rsid w:val="00DC217D"/>
    <w:rsid w:val="00DC2FAD"/>
    <w:rsid w:val="00DC3580"/>
    <w:rsid w:val="00DC3DE0"/>
    <w:rsid w:val="00DC4448"/>
    <w:rsid w:val="00DC475E"/>
    <w:rsid w:val="00DC47BA"/>
    <w:rsid w:val="00DC4820"/>
    <w:rsid w:val="00DC4904"/>
    <w:rsid w:val="00DC4B0B"/>
    <w:rsid w:val="00DC4D19"/>
    <w:rsid w:val="00DC57A8"/>
    <w:rsid w:val="00DC5802"/>
    <w:rsid w:val="00DC5A0D"/>
    <w:rsid w:val="00DC5D87"/>
    <w:rsid w:val="00DC659B"/>
    <w:rsid w:val="00DC6661"/>
    <w:rsid w:val="00DC66F8"/>
    <w:rsid w:val="00DC68C9"/>
    <w:rsid w:val="00DC6CFC"/>
    <w:rsid w:val="00DC70ED"/>
    <w:rsid w:val="00DC7772"/>
    <w:rsid w:val="00DC7868"/>
    <w:rsid w:val="00DD06EC"/>
    <w:rsid w:val="00DD0A8D"/>
    <w:rsid w:val="00DD1713"/>
    <w:rsid w:val="00DD1A8A"/>
    <w:rsid w:val="00DD1B1B"/>
    <w:rsid w:val="00DD1C5C"/>
    <w:rsid w:val="00DD1CEE"/>
    <w:rsid w:val="00DD1EA6"/>
    <w:rsid w:val="00DD217D"/>
    <w:rsid w:val="00DD2F08"/>
    <w:rsid w:val="00DD32DC"/>
    <w:rsid w:val="00DD35E2"/>
    <w:rsid w:val="00DD3C2D"/>
    <w:rsid w:val="00DD40BC"/>
    <w:rsid w:val="00DD42F6"/>
    <w:rsid w:val="00DD4333"/>
    <w:rsid w:val="00DD46E2"/>
    <w:rsid w:val="00DD4931"/>
    <w:rsid w:val="00DD4ACD"/>
    <w:rsid w:val="00DD4D1A"/>
    <w:rsid w:val="00DD4F59"/>
    <w:rsid w:val="00DD5119"/>
    <w:rsid w:val="00DD580A"/>
    <w:rsid w:val="00DD5AF6"/>
    <w:rsid w:val="00DD5D76"/>
    <w:rsid w:val="00DD5DF5"/>
    <w:rsid w:val="00DD60B2"/>
    <w:rsid w:val="00DD617D"/>
    <w:rsid w:val="00DD6561"/>
    <w:rsid w:val="00DD6A3C"/>
    <w:rsid w:val="00DD6AD8"/>
    <w:rsid w:val="00DD6B79"/>
    <w:rsid w:val="00DD6B83"/>
    <w:rsid w:val="00DD6D57"/>
    <w:rsid w:val="00DD70CE"/>
    <w:rsid w:val="00DD78ED"/>
    <w:rsid w:val="00DD7E34"/>
    <w:rsid w:val="00DE04DF"/>
    <w:rsid w:val="00DE04E0"/>
    <w:rsid w:val="00DE06E0"/>
    <w:rsid w:val="00DE0ACA"/>
    <w:rsid w:val="00DE0C3D"/>
    <w:rsid w:val="00DE0DAE"/>
    <w:rsid w:val="00DE1181"/>
    <w:rsid w:val="00DE12E5"/>
    <w:rsid w:val="00DE12F4"/>
    <w:rsid w:val="00DE1F33"/>
    <w:rsid w:val="00DE2700"/>
    <w:rsid w:val="00DE2984"/>
    <w:rsid w:val="00DE2B50"/>
    <w:rsid w:val="00DE2CB9"/>
    <w:rsid w:val="00DE2CFC"/>
    <w:rsid w:val="00DE2D18"/>
    <w:rsid w:val="00DE2FA1"/>
    <w:rsid w:val="00DE2FF3"/>
    <w:rsid w:val="00DE3245"/>
    <w:rsid w:val="00DE32E2"/>
    <w:rsid w:val="00DE3579"/>
    <w:rsid w:val="00DE37E9"/>
    <w:rsid w:val="00DE390A"/>
    <w:rsid w:val="00DE39C4"/>
    <w:rsid w:val="00DE4B6D"/>
    <w:rsid w:val="00DE50ED"/>
    <w:rsid w:val="00DE51CD"/>
    <w:rsid w:val="00DE543E"/>
    <w:rsid w:val="00DE559E"/>
    <w:rsid w:val="00DE55FF"/>
    <w:rsid w:val="00DE598D"/>
    <w:rsid w:val="00DE5B6E"/>
    <w:rsid w:val="00DE5E6B"/>
    <w:rsid w:val="00DE5F6F"/>
    <w:rsid w:val="00DE671A"/>
    <w:rsid w:val="00DE69FB"/>
    <w:rsid w:val="00DE6C39"/>
    <w:rsid w:val="00DE6CA8"/>
    <w:rsid w:val="00DE7099"/>
    <w:rsid w:val="00DE7894"/>
    <w:rsid w:val="00DE79D3"/>
    <w:rsid w:val="00DE7AD1"/>
    <w:rsid w:val="00DE7D9F"/>
    <w:rsid w:val="00DE7E30"/>
    <w:rsid w:val="00DE7F03"/>
    <w:rsid w:val="00DF01C6"/>
    <w:rsid w:val="00DF04BA"/>
    <w:rsid w:val="00DF0DD0"/>
    <w:rsid w:val="00DF0DD3"/>
    <w:rsid w:val="00DF1262"/>
    <w:rsid w:val="00DF1614"/>
    <w:rsid w:val="00DF24DE"/>
    <w:rsid w:val="00DF2C4C"/>
    <w:rsid w:val="00DF2F4B"/>
    <w:rsid w:val="00DF336D"/>
    <w:rsid w:val="00DF340E"/>
    <w:rsid w:val="00DF371A"/>
    <w:rsid w:val="00DF379C"/>
    <w:rsid w:val="00DF382C"/>
    <w:rsid w:val="00DF41C5"/>
    <w:rsid w:val="00DF47F4"/>
    <w:rsid w:val="00DF5082"/>
    <w:rsid w:val="00DF58AF"/>
    <w:rsid w:val="00DF5BD6"/>
    <w:rsid w:val="00DF6C6F"/>
    <w:rsid w:val="00DF71A3"/>
    <w:rsid w:val="00DF767D"/>
    <w:rsid w:val="00DF797A"/>
    <w:rsid w:val="00DF7FC5"/>
    <w:rsid w:val="00E00448"/>
    <w:rsid w:val="00E00B23"/>
    <w:rsid w:val="00E00F11"/>
    <w:rsid w:val="00E0117D"/>
    <w:rsid w:val="00E01A49"/>
    <w:rsid w:val="00E01BD0"/>
    <w:rsid w:val="00E01C48"/>
    <w:rsid w:val="00E01E9E"/>
    <w:rsid w:val="00E0310F"/>
    <w:rsid w:val="00E03125"/>
    <w:rsid w:val="00E0313E"/>
    <w:rsid w:val="00E03224"/>
    <w:rsid w:val="00E0323F"/>
    <w:rsid w:val="00E03370"/>
    <w:rsid w:val="00E03446"/>
    <w:rsid w:val="00E03850"/>
    <w:rsid w:val="00E03BA7"/>
    <w:rsid w:val="00E03BC9"/>
    <w:rsid w:val="00E03CCA"/>
    <w:rsid w:val="00E0422C"/>
    <w:rsid w:val="00E045DD"/>
    <w:rsid w:val="00E04C7C"/>
    <w:rsid w:val="00E04D95"/>
    <w:rsid w:val="00E0521C"/>
    <w:rsid w:val="00E05712"/>
    <w:rsid w:val="00E057F5"/>
    <w:rsid w:val="00E06361"/>
    <w:rsid w:val="00E0659E"/>
    <w:rsid w:val="00E068D7"/>
    <w:rsid w:val="00E06A13"/>
    <w:rsid w:val="00E06BE7"/>
    <w:rsid w:val="00E06E6B"/>
    <w:rsid w:val="00E0728A"/>
    <w:rsid w:val="00E07308"/>
    <w:rsid w:val="00E073EE"/>
    <w:rsid w:val="00E074DA"/>
    <w:rsid w:val="00E0769B"/>
    <w:rsid w:val="00E07917"/>
    <w:rsid w:val="00E07932"/>
    <w:rsid w:val="00E07C48"/>
    <w:rsid w:val="00E1060E"/>
    <w:rsid w:val="00E106D1"/>
    <w:rsid w:val="00E10705"/>
    <w:rsid w:val="00E10B5C"/>
    <w:rsid w:val="00E110C1"/>
    <w:rsid w:val="00E1167A"/>
    <w:rsid w:val="00E11760"/>
    <w:rsid w:val="00E119E8"/>
    <w:rsid w:val="00E11A6A"/>
    <w:rsid w:val="00E125B4"/>
    <w:rsid w:val="00E127C9"/>
    <w:rsid w:val="00E12973"/>
    <w:rsid w:val="00E12C9B"/>
    <w:rsid w:val="00E12E61"/>
    <w:rsid w:val="00E1379D"/>
    <w:rsid w:val="00E14157"/>
    <w:rsid w:val="00E141EC"/>
    <w:rsid w:val="00E145F2"/>
    <w:rsid w:val="00E14792"/>
    <w:rsid w:val="00E148AB"/>
    <w:rsid w:val="00E14DAE"/>
    <w:rsid w:val="00E15157"/>
    <w:rsid w:val="00E1523C"/>
    <w:rsid w:val="00E155FA"/>
    <w:rsid w:val="00E156D3"/>
    <w:rsid w:val="00E156D9"/>
    <w:rsid w:val="00E16600"/>
    <w:rsid w:val="00E169CD"/>
    <w:rsid w:val="00E16B30"/>
    <w:rsid w:val="00E16C4C"/>
    <w:rsid w:val="00E16FBC"/>
    <w:rsid w:val="00E17465"/>
    <w:rsid w:val="00E174AC"/>
    <w:rsid w:val="00E17967"/>
    <w:rsid w:val="00E17C05"/>
    <w:rsid w:val="00E17E41"/>
    <w:rsid w:val="00E203CC"/>
    <w:rsid w:val="00E205A2"/>
    <w:rsid w:val="00E205F2"/>
    <w:rsid w:val="00E2068E"/>
    <w:rsid w:val="00E20729"/>
    <w:rsid w:val="00E21182"/>
    <w:rsid w:val="00E217A2"/>
    <w:rsid w:val="00E21B0E"/>
    <w:rsid w:val="00E21C28"/>
    <w:rsid w:val="00E21C2E"/>
    <w:rsid w:val="00E21F20"/>
    <w:rsid w:val="00E2223A"/>
    <w:rsid w:val="00E223F7"/>
    <w:rsid w:val="00E2280E"/>
    <w:rsid w:val="00E22880"/>
    <w:rsid w:val="00E228DE"/>
    <w:rsid w:val="00E2296C"/>
    <w:rsid w:val="00E22DE0"/>
    <w:rsid w:val="00E231E8"/>
    <w:rsid w:val="00E23208"/>
    <w:rsid w:val="00E2327E"/>
    <w:rsid w:val="00E23A70"/>
    <w:rsid w:val="00E23B1D"/>
    <w:rsid w:val="00E23F7A"/>
    <w:rsid w:val="00E23F95"/>
    <w:rsid w:val="00E242E5"/>
    <w:rsid w:val="00E24758"/>
    <w:rsid w:val="00E24B44"/>
    <w:rsid w:val="00E25274"/>
    <w:rsid w:val="00E25411"/>
    <w:rsid w:val="00E25680"/>
    <w:rsid w:val="00E25F5C"/>
    <w:rsid w:val="00E267F0"/>
    <w:rsid w:val="00E26917"/>
    <w:rsid w:val="00E27026"/>
    <w:rsid w:val="00E2763D"/>
    <w:rsid w:val="00E27950"/>
    <w:rsid w:val="00E3098E"/>
    <w:rsid w:val="00E30F16"/>
    <w:rsid w:val="00E30FF6"/>
    <w:rsid w:val="00E31116"/>
    <w:rsid w:val="00E311C3"/>
    <w:rsid w:val="00E312DF"/>
    <w:rsid w:val="00E3155E"/>
    <w:rsid w:val="00E31B6E"/>
    <w:rsid w:val="00E31DCD"/>
    <w:rsid w:val="00E325BC"/>
    <w:rsid w:val="00E326C2"/>
    <w:rsid w:val="00E32B2F"/>
    <w:rsid w:val="00E33156"/>
    <w:rsid w:val="00E33373"/>
    <w:rsid w:val="00E3374A"/>
    <w:rsid w:val="00E33AFA"/>
    <w:rsid w:val="00E33CEF"/>
    <w:rsid w:val="00E3418E"/>
    <w:rsid w:val="00E345DB"/>
    <w:rsid w:val="00E3482E"/>
    <w:rsid w:val="00E34CD5"/>
    <w:rsid w:val="00E3545D"/>
    <w:rsid w:val="00E3574A"/>
    <w:rsid w:val="00E35A46"/>
    <w:rsid w:val="00E35CF2"/>
    <w:rsid w:val="00E35D07"/>
    <w:rsid w:val="00E36123"/>
    <w:rsid w:val="00E3632B"/>
    <w:rsid w:val="00E36528"/>
    <w:rsid w:val="00E36591"/>
    <w:rsid w:val="00E36897"/>
    <w:rsid w:val="00E36A9C"/>
    <w:rsid w:val="00E370FF"/>
    <w:rsid w:val="00E37270"/>
    <w:rsid w:val="00E37EEB"/>
    <w:rsid w:val="00E40050"/>
    <w:rsid w:val="00E40533"/>
    <w:rsid w:val="00E405B8"/>
    <w:rsid w:val="00E4089F"/>
    <w:rsid w:val="00E40B64"/>
    <w:rsid w:val="00E40C12"/>
    <w:rsid w:val="00E41056"/>
    <w:rsid w:val="00E41088"/>
    <w:rsid w:val="00E411D0"/>
    <w:rsid w:val="00E4120C"/>
    <w:rsid w:val="00E413A4"/>
    <w:rsid w:val="00E41C5C"/>
    <w:rsid w:val="00E42056"/>
    <w:rsid w:val="00E423B3"/>
    <w:rsid w:val="00E42AEA"/>
    <w:rsid w:val="00E42D42"/>
    <w:rsid w:val="00E4355B"/>
    <w:rsid w:val="00E435D8"/>
    <w:rsid w:val="00E43637"/>
    <w:rsid w:val="00E438BE"/>
    <w:rsid w:val="00E438D3"/>
    <w:rsid w:val="00E43FB5"/>
    <w:rsid w:val="00E4448D"/>
    <w:rsid w:val="00E446E6"/>
    <w:rsid w:val="00E448AD"/>
    <w:rsid w:val="00E44ED5"/>
    <w:rsid w:val="00E45C91"/>
    <w:rsid w:val="00E4660B"/>
    <w:rsid w:val="00E468B4"/>
    <w:rsid w:val="00E46ED3"/>
    <w:rsid w:val="00E46F96"/>
    <w:rsid w:val="00E46FD0"/>
    <w:rsid w:val="00E4700D"/>
    <w:rsid w:val="00E47046"/>
    <w:rsid w:val="00E473BE"/>
    <w:rsid w:val="00E474C3"/>
    <w:rsid w:val="00E4757C"/>
    <w:rsid w:val="00E475AC"/>
    <w:rsid w:val="00E478C1"/>
    <w:rsid w:val="00E478EC"/>
    <w:rsid w:val="00E479C6"/>
    <w:rsid w:val="00E47BEC"/>
    <w:rsid w:val="00E47DB2"/>
    <w:rsid w:val="00E505A1"/>
    <w:rsid w:val="00E50CA8"/>
    <w:rsid w:val="00E50D28"/>
    <w:rsid w:val="00E51532"/>
    <w:rsid w:val="00E51807"/>
    <w:rsid w:val="00E51FE7"/>
    <w:rsid w:val="00E525C0"/>
    <w:rsid w:val="00E52699"/>
    <w:rsid w:val="00E5288A"/>
    <w:rsid w:val="00E52A97"/>
    <w:rsid w:val="00E52F16"/>
    <w:rsid w:val="00E531FF"/>
    <w:rsid w:val="00E532A8"/>
    <w:rsid w:val="00E53642"/>
    <w:rsid w:val="00E53896"/>
    <w:rsid w:val="00E54788"/>
    <w:rsid w:val="00E549DA"/>
    <w:rsid w:val="00E54EAD"/>
    <w:rsid w:val="00E5597A"/>
    <w:rsid w:val="00E559B6"/>
    <w:rsid w:val="00E55ABB"/>
    <w:rsid w:val="00E55C0A"/>
    <w:rsid w:val="00E55D3A"/>
    <w:rsid w:val="00E55D4B"/>
    <w:rsid w:val="00E55EFF"/>
    <w:rsid w:val="00E56113"/>
    <w:rsid w:val="00E56375"/>
    <w:rsid w:val="00E5686D"/>
    <w:rsid w:val="00E56DC5"/>
    <w:rsid w:val="00E574B6"/>
    <w:rsid w:val="00E576E9"/>
    <w:rsid w:val="00E57B33"/>
    <w:rsid w:val="00E57E85"/>
    <w:rsid w:val="00E6038C"/>
    <w:rsid w:val="00E6039E"/>
    <w:rsid w:val="00E6083D"/>
    <w:rsid w:val="00E60876"/>
    <w:rsid w:val="00E60BCA"/>
    <w:rsid w:val="00E60C12"/>
    <w:rsid w:val="00E61A15"/>
    <w:rsid w:val="00E61E0B"/>
    <w:rsid w:val="00E61EAC"/>
    <w:rsid w:val="00E62445"/>
    <w:rsid w:val="00E62FEA"/>
    <w:rsid w:val="00E632A0"/>
    <w:rsid w:val="00E632A4"/>
    <w:rsid w:val="00E63316"/>
    <w:rsid w:val="00E63925"/>
    <w:rsid w:val="00E6397F"/>
    <w:rsid w:val="00E639A0"/>
    <w:rsid w:val="00E63A89"/>
    <w:rsid w:val="00E63AA8"/>
    <w:rsid w:val="00E63E89"/>
    <w:rsid w:val="00E63F7D"/>
    <w:rsid w:val="00E640C4"/>
    <w:rsid w:val="00E642C3"/>
    <w:rsid w:val="00E64415"/>
    <w:rsid w:val="00E64602"/>
    <w:rsid w:val="00E64FD7"/>
    <w:rsid w:val="00E654B0"/>
    <w:rsid w:val="00E659E5"/>
    <w:rsid w:val="00E668C5"/>
    <w:rsid w:val="00E6693C"/>
    <w:rsid w:val="00E66B2F"/>
    <w:rsid w:val="00E671AF"/>
    <w:rsid w:val="00E678F4"/>
    <w:rsid w:val="00E67B60"/>
    <w:rsid w:val="00E67D90"/>
    <w:rsid w:val="00E700C1"/>
    <w:rsid w:val="00E700F9"/>
    <w:rsid w:val="00E701C4"/>
    <w:rsid w:val="00E70353"/>
    <w:rsid w:val="00E70611"/>
    <w:rsid w:val="00E7087D"/>
    <w:rsid w:val="00E70FF3"/>
    <w:rsid w:val="00E7130D"/>
    <w:rsid w:val="00E71811"/>
    <w:rsid w:val="00E72026"/>
    <w:rsid w:val="00E7237A"/>
    <w:rsid w:val="00E72661"/>
    <w:rsid w:val="00E72690"/>
    <w:rsid w:val="00E72736"/>
    <w:rsid w:val="00E728B6"/>
    <w:rsid w:val="00E72931"/>
    <w:rsid w:val="00E732A1"/>
    <w:rsid w:val="00E73975"/>
    <w:rsid w:val="00E73C17"/>
    <w:rsid w:val="00E73E95"/>
    <w:rsid w:val="00E74013"/>
    <w:rsid w:val="00E744E4"/>
    <w:rsid w:val="00E746F7"/>
    <w:rsid w:val="00E74869"/>
    <w:rsid w:val="00E74AED"/>
    <w:rsid w:val="00E74DC5"/>
    <w:rsid w:val="00E74F68"/>
    <w:rsid w:val="00E75086"/>
    <w:rsid w:val="00E75380"/>
    <w:rsid w:val="00E75AE0"/>
    <w:rsid w:val="00E76162"/>
    <w:rsid w:val="00E763A5"/>
    <w:rsid w:val="00E7665D"/>
    <w:rsid w:val="00E766DF"/>
    <w:rsid w:val="00E76F47"/>
    <w:rsid w:val="00E77317"/>
    <w:rsid w:val="00E77576"/>
    <w:rsid w:val="00E777D6"/>
    <w:rsid w:val="00E77C05"/>
    <w:rsid w:val="00E801C3"/>
    <w:rsid w:val="00E801CF"/>
    <w:rsid w:val="00E80453"/>
    <w:rsid w:val="00E8069E"/>
    <w:rsid w:val="00E80AE7"/>
    <w:rsid w:val="00E8172C"/>
    <w:rsid w:val="00E81D54"/>
    <w:rsid w:val="00E81F35"/>
    <w:rsid w:val="00E823AB"/>
    <w:rsid w:val="00E82428"/>
    <w:rsid w:val="00E82500"/>
    <w:rsid w:val="00E825A7"/>
    <w:rsid w:val="00E82A56"/>
    <w:rsid w:val="00E82B1A"/>
    <w:rsid w:val="00E8312F"/>
    <w:rsid w:val="00E83203"/>
    <w:rsid w:val="00E83AA9"/>
    <w:rsid w:val="00E83D8A"/>
    <w:rsid w:val="00E83EC1"/>
    <w:rsid w:val="00E84068"/>
    <w:rsid w:val="00E84184"/>
    <w:rsid w:val="00E8431E"/>
    <w:rsid w:val="00E8452B"/>
    <w:rsid w:val="00E847D1"/>
    <w:rsid w:val="00E84A84"/>
    <w:rsid w:val="00E84D6C"/>
    <w:rsid w:val="00E84EA8"/>
    <w:rsid w:val="00E84F54"/>
    <w:rsid w:val="00E85E14"/>
    <w:rsid w:val="00E860DD"/>
    <w:rsid w:val="00E8612C"/>
    <w:rsid w:val="00E86716"/>
    <w:rsid w:val="00E86CF7"/>
    <w:rsid w:val="00E86D66"/>
    <w:rsid w:val="00E872F5"/>
    <w:rsid w:val="00E87561"/>
    <w:rsid w:val="00E87B76"/>
    <w:rsid w:val="00E9023A"/>
    <w:rsid w:val="00E90488"/>
    <w:rsid w:val="00E905AA"/>
    <w:rsid w:val="00E90731"/>
    <w:rsid w:val="00E9094B"/>
    <w:rsid w:val="00E90B48"/>
    <w:rsid w:val="00E91115"/>
    <w:rsid w:val="00E911AF"/>
    <w:rsid w:val="00E9159B"/>
    <w:rsid w:val="00E91B90"/>
    <w:rsid w:val="00E91D99"/>
    <w:rsid w:val="00E920A5"/>
    <w:rsid w:val="00E9252B"/>
    <w:rsid w:val="00E927C5"/>
    <w:rsid w:val="00E92921"/>
    <w:rsid w:val="00E92B54"/>
    <w:rsid w:val="00E92C0A"/>
    <w:rsid w:val="00E92D38"/>
    <w:rsid w:val="00E92E94"/>
    <w:rsid w:val="00E9313D"/>
    <w:rsid w:val="00E93B0D"/>
    <w:rsid w:val="00E9439C"/>
    <w:rsid w:val="00E945E9"/>
    <w:rsid w:val="00E94895"/>
    <w:rsid w:val="00E94A05"/>
    <w:rsid w:val="00E94E9E"/>
    <w:rsid w:val="00E95389"/>
    <w:rsid w:val="00E9566F"/>
    <w:rsid w:val="00E959CF"/>
    <w:rsid w:val="00E95A84"/>
    <w:rsid w:val="00E95B7E"/>
    <w:rsid w:val="00E96278"/>
    <w:rsid w:val="00E96514"/>
    <w:rsid w:val="00E96715"/>
    <w:rsid w:val="00E96827"/>
    <w:rsid w:val="00E96855"/>
    <w:rsid w:val="00E96CB5"/>
    <w:rsid w:val="00E96DA8"/>
    <w:rsid w:val="00E974CA"/>
    <w:rsid w:val="00E9789E"/>
    <w:rsid w:val="00E97B74"/>
    <w:rsid w:val="00E97BF4"/>
    <w:rsid w:val="00E97D11"/>
    <w:rsid w:val="00E97E11"/>
    <w:rsid w:val="00EA052A"/>
    <w:rsid w:val="00EA0B74"/>
    <w:rsid w:val="00EA0BA7"/>
    <w:rsid w:val="00EA1B7C"/>
    <w:rsid w:val="00EA1BAD"/>
    <w:rsid w:val="00EA2370"/>
    <w:rsid w:val="00EA23DC"/>
    <w:rsid w:val="00EA27AE"/>
    <w:rsid w:val="00EA29AD"/>
    <w:rsid w:val="00EA2A88"/>
    <w:rsid w:val="00EA2DF5"/>
    <w:rsid w:val="00EA3675"/>
    <w:rsid w:val="00EA3D2C"/>
    <w:rsid w:val="00EA3E93"/>
    <w:rsid w:val="00EA4194"/>
    <w:rsid w:val="00EA4A0E"/>
    <w:rsid w:val="00EA4FD4"/>
    <w:rsid w:val="00EA5039"/>
    <w:rsid w:val="00EA56AF"/>
    <w:rsid w:val="00EA60A6"/>
    <w:rsid w:val="00EA61C5"/>
    <w:rsid w:val="00EA621D"/>
    <w:rsid w:val="00EA6694"/>
    <w:rsid w:val="00EA66B8"/>
    <w:rsid w:val="00EA6746"/>
    <w:rsid w:val="00EA6924"/>
    <w:rsid w:val="00EA6A6F"/>
    <w:rsid w:val="00EA6F81"/>
    <w:rsid w:val="00EA7077"/>
    <w:rsid w:val="00EA72A0"/>
    <w:rsid w:val="00EA78FF"/>
    <w:rsid w:val="00EA7FA8"/>
    <w:rsid w:val="00EA7FC3"/>
    <w:rsid w:val="00EB002B"/>
    <w:rsid w:val="00EB00AB"/>
    <w:rsid w:val="00EB05E3"/>
    <w:rsid w:val="00EB094A"/>
    <w:rsid w:val="00EB0D60"/>
    <w:rsid w:val="00EB0E35"/>
    <w:rsid w:val="00EB128B"/>
    <w:rsid w:val="00EB129C"/>
    <w:rsid w:val="00EB16B3"/>
    <w:rsid w:val="00EB18EE"/>
    <w:rsid w:val="00EB1A72"/>
    <w:rsid w:val="00EB1C4B"/>
    <w:rsid w:val="00EB1D04"/>
    <w:rsid w:val="00EB2052"/>
    <w:rsid w:val="00EB257E"/>
    <w:rsid w:val="00EB26D5"/>
    <w:rsid w:val="00EB2706"/>
    <w:rsid w:val="00EB279B"/>
    <w:rsid w:val="00EB2CA5"/>
    <w:rsid w:val="00EB2ED5"/>
    <w:rsid w:val="00EB43FD"/>
    <w:rsid w:val="00EB44BE"/>
    <w:rsid w:val="00EB4682"/>
    <w:rsid w:val="00EB477D"/>
    <w:rsid w:val="00EB4A77"/>
    <w:rsid w:val="00EB4AC0"/>
    <w:rsid w:val="00EB576B"/>
    <w:rsid w:val="00EB57A1"/>
    <w:rsid w:val="00EB58CB"/>
    <w:rsid w:val="00EB5A71"/>
    <w:rsid w:val="00EB5C9A"/>
    <w:rsid w:val="00EB5F57"/>
    <w:rsid w:val="00EB6591"/>
    <w:rsid w:val="00EB67CD"/>
    <w:rsid w:val="00EB6875"/>
    <w:rsid w:val="00EB6F8A"/>
    <w:rsid w:val="00EB723E"/>
    <w:rsid w:val="00EB7353"/>
    <w:rsid w:val="00EB7798"/>
    <w:rsid w:val="00EB79BA"/>
    <w:rsid w:val="00EB7B15"/>
    <w:rsid w:val="00EB7E6D"/>
    <w:rsid w:val="00EB7E92"/>
    <w:rsid w:val="00EB7FCF"/>
    <w:rsid w:val="00EC012C"/>
    <w:rsid w:val="00EC1340"/>
    <w:rsid w:val="00EC149C"/>
    <w:rsid w:val="00EC187F"/>
    <w:rsid w:val="00EC1A06"/>
    <w:rsid w:val="00EC1B9E"/>
    <w:rsid w:val="00EC1BDF"/>
    <w:rsid w:val="00EC1C19"/>
    <w:rsid w:val="00EC20A8"/>
    <w:rsid w:val="00EC2688"/>
    <w:rsid w:val="00EC273F"/>
    <w:rsid w:val="00EC28E5"/>
    <w:rsid w:val="00EC2A0D"/>
    <w:rsid w:val="00EC2AD4"/>
    <w:rsid w:val="00EC3283"/>
    <w:rsid w:val="00EC38CB"/>
    <w:rsid w:val="00EC40A1"/>
    <w:rsid w:val="00EC4407"/>
    <w:rsid w:val="00EC4887"/>
    <w:rsid w:val="00EC4892"/>
    <w:rsid w:val="00EC4F53"/>
    <w:rsid w:val="00EC4F72"/>
    <w:rsid w:val="00EC5183"/>
    <w:rsid w:val="00EC5B89"/>
    <w:rsid w:val="00EC5BE6"/>
    <w:rsid w:val="00EC6295"/>
    <w:rsid w:val="00EC6350"/>
    <w:rsid w:val="00EC6B93"/>
    <w:rsid w:val="00EC6C40"/>
    <w:rsid w:val="00EC741D"/>
    <w:rsid w:val="00EC75E2"/>
    <w:rsid w:val="00EC77AC"/>
    <w:rsid w:val="00ED0535"/>
    <w:rsid w:val="00ED068D"/>
    <w:rsid w:val="00ED13A4"/>
    <w:rsid w:val="00ED1654"/>
    <w:rsid w:val="00ED1B2C"/>
    <w:rsid w:val="00ED1E33"/>
    <w:rsid w:val="00ED2475"/>
    <w:rsid w:val="00ED2520"/>
    <w:rsid w:val="00ED2F1B"/>
    <w:rsid w:val="00ED3973"/>
    <w:rsid w:val="00ED3BAB"/>
    <w:rsid w:val="00ED3BDB"/>
    <w:rsid w:val="00ED3C77"/>
    <w:rsid w:val="00ED3C84"/>
    <w:rsid w:val="00ED4140"/>
    <w:rsid w:val="00ED427D"/>
    <w:rsid w:val="00ED4306"/>
    <w:rsid w:val="00ED4FC7"/>
    <w:rsid w:val="00ED5792"/>
    <w:rsid w:val="00ED5A7B"/>
    <w:rsid w:val="00ED5B2A"/>
    <w:rsid w:val="00ED6119"/>
    <w:rsid w:val="00ED6FE8"/>
    <w:rsid w:val="00ED71EA"/>
    <w:rsid w:val="00ED7A9B"/>
    <w:rsid w:val="00EE075F"/>
    <w:rsid w:val="00EE0774"/>
    <w:rsid w:val="00EE0868"/>
    <w:rsid w:val="00EE099E"/>
    <w:rsid w:val="00EE0A3F"/>
    <w:rsid w:val="00EE0F9E"/>
    <w:rsid w:val="00EE1372"/>
    <w:rsid w:val="00EE1BFF"/>
    <w:rsid w:val="00EE1EF2"/>
    <w:rsid w:val="00EE1F4E"/>
    <w:rsid w:val="00EE2D16"/>
    <w:rsid w:val="00EE2FDA"/>
    <w:rsid w:val="00EE3219"/>
    <w:rsid w:val="00EE34D0"/>
    <w:rsid w:val="00EE396E"/>
    <w:rsid w:val="00EE399F"/>
    <w:rsid w:val="00EE3C77"/>
    <w:rsid w:val="00EE3E3D"/>
    <w:rsid w:val="00EE443D"/>
    <w:rsid w:val="00EE454D"/>
    <w:rsid w:val="00EE4710"/>
    <w:rsid w:val="00EE487F"/>
    <w:rsid w:val="00EE4885"/>
    <w:rsid w:val="00EE4CBA"/>
    <w:rsid w:val="00EE4D75"/>
    <w:rsid w:val="00EE4FB5"/>
    <w:rsid w:val="00EE52D1"/>
    <w:rsid w:val="00EE585D"/>
    <w:rsid w:val="00EE58FE"/>
    <w:rsid w:val="00EE59B7"/>
    <w:rsid w:val="00EE5BB3"/>
    <w:rsid w:val="00EE5F79"/>
    <w:rsid w:val="00EE6041"/>
    <w:rsid w:val="00EE693C"/>
    <w:rsid w:val="00EE738B"/>
    <w:rsid w:val="00EE78A1"/>
    <w:rsid w:val="00EE7CE4"/>
    <w:rsid w:val="00EF0369"/>
    <w:rsid w:val="00EF05C3"/>
    <w:rsid w:val="00EF0B62"/>
    <w:rsid w:val="00EF0B91"/>
    <w:rsid w:val="00EF0C52"/>
    <w:rsid w:val="00EF143D"/>
    <w:rsid w:val="00EF1989"/>
    <w:rsid w:val="00EF1EFB"/>
    <w:rsid w:val="00EF215E"/>
    <w:rsid w:val="00EF2369"/>
    <w:rsid w:val="00EF25F0"/>
    <w:rsid w:val="00EF3466"/>
    <w:rsid w:val="00EF3A40"/>
    <w:rsid w:val="00EF3A4B"/>
    <w:rsid w:val="00EF3B0A"/>
    <w:rsid w:val="00EF3BA4"/>
    <w:rsid w:val="00EF3D45"/>
    <w:rsid w:val="00EF4134"/>
    <w:rsid w:val="00EF454F"/>
    <w:rsid w:val="00EF468B"/>
    <w:rsid w:val="00EF4ABB"/>
    <w:rsid w:val="00EF4B3B"/>
    <w:rsid w:val="00EF4C7A"/>
    <w:rsid w:val="00EF51A8"/>
    <w:rsid w:val="00EF5429"/>
    <w:rsid w:val="00EF55AE"/>
    <w:rsid w:val="00EF5A2C"/>
    <w:rsid w:val="00EF5B14"/>
    <w:rsid w:val="00EF5F8B"/>
    <w:rsid w:val="00EF60EE"/>
    <w:rsid w:val="00EF6113"/>
    <w:rsid w:val="00EF64A2"/>
    <w:rsid w:val="00EF6AD9"/>
    <w:rsid w:val="00EF6AE1"/>
    <w:rsid w:val="00EF78AD"/>
    <w:rsid w:val="00EF7B00"/>
    <w:rsid w:val="00EF7CDC"/>
    <w:rsid w:val="00F0046B"/>
    <w:rsid w:val="00F0098D"/>
    <w:rsid w:val="00F00DD7"/>
    <w:rsid w:val="00F00E55"/>
    <w:rsid w:val="00F0101C"/>
    <w:rsid w:val="00F01662"/>
    <w:rsid w:val="00F01994"/>
    <w:rsid w:val="00F021EF"/>
    <w:rsid w:val="00F02857"/>
    <w:rsid w:val="00F02F04"/>
    <w:rsid w:val="00F03159"/>
    <w:rsid w:val="00F032B9"/>
    <w:rsid w:val="00F03424"/>
    <w:rsid w:val="00F036EE"/>
    <w:rsid w:val="00F03DC0"/>
    <w:rsid w:val="00F03E19"/>
    <w:rsid w:val="00F03E66"/>
    <w:rsid w:val="00F03ED5"/>
    <w:rsid w:val="00F045FD"/>
    <w:rsid w:val="00F04973"/>
    <w:rsid w:val="00F04CDD"/>
    <w:rsid w:val="00F0542F"/>
    <w:rsid w:val="00F05933"/>
    <w:rsid w:val="00F05A32"/>
    <w:rsid w:val="00F0606D"/>
    <w:rsid w:val="00F06461"/>
    <w:rsid w:val="00F06765"/>
    <w:rsid w:val="00F06858"/>
    <w:rsid w:val="00F0697D"/>
    <w:rsid w:val="00F06E71"/>
    <w:rsid w:val="00F071A7"/>
    <w:rsid w:val="00F07302"/>
    <w:rsid w:val="00F0761C"/>
    <w:rsid w:val="00F0778D"/>
    <w:rsid w:val="00F077D3"/>
    <w:rsid w:val="00F07E0C"/>
    <w:rsid w:val="00F10376"/>
    <w:rsid w:val="00F10453"/>
    <w:rsid w:val="00F1068A"/>
    <w:rsid w:val="00F10CF8"/>
    <w:rsid w:val="00F114C0"/>
    <w:rsid w:val="00F11880"/>
    <w:rsid w:val="00F12C4A"/>
    <w:rsid w:val="00F12D7C"/>
    <w:rsid w:val="00F12E90"/>
    <w:rsid w:val="00F1328C"/>
    <w:rsid w:val="00F1349A"/>
    <w:rsid w:val="00F13817"/>
    <w:rsid w:val="00F1390F"/>
    <w:rsid w:val="00F13939"/>
    <w:rsid w:val="00F13A7B"/>
    <w:rsid w:val="00F13B21"/>
    <w:rsid w:val="00F14427"/>
    <w:rsid w:val="00F14463"/>
    <w:rsid w:val="00F145FC"/>
    <w:rsid w:val="00F14FDA"/>
    <w:rsid w:val="00F15016"/>
    <w:rsid w:val="00F15830"/>
    <w:rsid w:val="00F15856"/>
    <w:rsid w:val="00F15E86"/>
    <w:rsid w:val="00F16039"/>
    <w:rsid w:val="00F1653E"/>
    <w:rsid w:val="00F167EA"/>
    <w:rsid w:val="00F16C75"/>
    <w:rsid w:val="00F16FD1"/>
    <w:rsid w:val="00F173E5"/>
    <w:rsid w:val="00F17516"/>
    <w:rsid w:val="00F17A5B"/>
    <w:rsid w:val="00F17AFE"/>
    <w:rsid w:val="00F17D42"/>
    <w:rsid w:val="00F17FE9"/>
    <w:rsid w:val="00F2038B"/>
    <w:rsid w:val="00F207B3"/>
    <w:rsid w:val="00F20876"/>
    <w:rsid w:val="00F2128C"/>
    <w:rsid w:val="00F215A8"/>
    <w:rsid w:val="00F21CE1"/>
    <w:rsid w:val="00F21F89"/>
    <w:rsid w:val="00F222FE"/>
    <w:rsid w:val="00F226DF"/>
    <w:rsid w:val="00F22861"/>
    <w:rsid w:val="00F229B3"/>
    <w:rsid w:val="00F23059"/>
    <w:rsid w:val="00F23291"/>
    <w:rsid w:val="00F23382"/>
    <w:rsid w:val="00F235B1"/>
    <w:rsid w:val="00F23D7A"/>
    <w:rsid w:val="00F240BE"/>
    <w:rsid w:val="00F241C8"/>
    <w:rsid w:val="00F24244"/>
    <w:rsid w:val="00F245E6"/>
    <w:rsid w:val="00F249A3"/>
    <w:rsid w:val="00F24E8B"/>
    <w:rsid w:val="00F24F73"/>
    <w:rsid w:val="00F2501B"/>
    <w:rsid w:val="00F25284"/>
    <w:rsid w:val="00F25811"/>
    <w:rsid w:val="00F25D08"/>
    <w:rsid w:val="00F264DF"/>
    <w:rsid w:val="00F265BD"/>
    <w:rsid w:val="00F2688A"/>
    <w:rsid w:val="00F26CA1"/>
    <w:rsid w:val="00F26D79"/>
    <w:rsid w:val="00F27301"/>
    <w:rsid w:val="00F275DB"/>
    <w:rsid w:val="00F302C6"/>
    <w:rsid w:val="00F302E0"/>
    <w:rsid w:val="00F30442"/>
    <w:rsid w:val="00F30E2D"/>
    <w:rsid w:val="00F30ED4"/>
    <w:rsid w:val="00F31416"/>
    <w:rsid w:val="00F31B58"/>
    <w:rsid w:val="00F31BEF"/>
    <w:rsid w:val="00F3274F"/>
    <w:rsid w:val="00F3288B"/>
    <w:rsid w:val="00F32ACA"/>
    <w:rsid w:val="00F330FC"/>
    <w:rsid w:val="00F33190"/>
    <w:rsid w:val="00F33292"/>
    <w:rsid w:val="00F332A2"/>
    <w:rsid w:val="00F337B2"/>
    <w:rsid w:val="00F33973"/>
    <w:rsid w:val="00F339FB"/>
    <w:rsid w:val="00F33D16"/>
    <w:rsid w:val="00F33D36"/>
    <w:rsid w:val="00F33E1F"/>
    <w:rsid w:val="00F33E55"/>
    <w:rsid w:val="00F33F95"/>
    <w:rsid w:val="00F33FBE"/>
    <w:rsid w:val="00F3404A"/>
    <w:rsid w:val="00F3417F"/>
    <w:rsid w:val="00F34E1F"/>
    <w:rsid w:val="00F34E24"/>
    <w:rsid w:val="00F350DD"/>
    <w:rsid w:val="00F358CA"/>
    <w:rsid w:val="00F35C3A"/>
    <w:rsid w:val="00F35CE5"/>
    <w:rsid w:val="00F35D16"/>
    <w:rsid w:val="00F36A95"/>
    <w:rsid w:val="00F36B3C"/>
    <w:rsid w:val="00F36C85"/>
    <w:rsid w:val="00F36D0E"/>
    <w:rsid w:val="00F36DA2"/>
    <w:rsid w:val="00F37349"/>
    <w:rsid w:val="00F37427"/>
    <w:rsid w:val="00F37E98"/>
    <w:rsid w:val="00F4031A"/>
    <w:rsid w:val="00F4067D"/>
    <w:rsid w:val="00F4080E"/>
    <w:rsid w:val="00F40EFA"/>
    <w:rsid w:val="00F4173F"/>
    <w:rsid w:val="00F4209A"/>
    <w:rsid w:val="00F42631"/>
    <w:rsid w:val="00F42EA8"/>
    <w:rsid w:val="00F439B4"/>
    <w:rsid w:val="00F445A5"/>
    <w:rsid w:val="00F44ABC"/>
    <w:rsid w:val="00F45337"/>
    <w:rsid w:val="00F4543C"/>
    <w:rsid w:val="00F45532"/>
    <w:rsid w:val="00F45799"/>
    <w:rsid w:val="00F45991"/>
    <w:rsid w:val="00F45DED"/>
    <w:rsid w:val="00F46069"/>
    <w:rsid w:val="00F4623D"/>
    <w:rsid w:val="00F46402"/>
    <w:rsid w:val="00F4676B"/>
    <w:rsid w:val="00F46C39"/>
    <w:rsid w:val="00F46D54"/>
    <w:rsid w:val="00F46E7D"/>
    <w:rsid w:val="00F471E2"/>
    <w:rsid w:val="00F4755A"/>
    <w:rsid w:val="00F47E23"/>
    <w:rsid w:val="00F506DA"/>
    <w:rsid w:val="00F50A2C"/>
    <w:rsid w:val="00F50AFF"/>
    <w:rsid w:val="00F50DCF"/>
    <w:rsid w:val="00F51040"/>
    <w:rsid w:val="00F5135E"/>
    <w:rsid w:val="00F520B2"/>
    <w:rsid w:val="00F520CC"/>
    <w:rsid w:val="00F52177"/>
    <w:rsid w:val="00F523F2"/>
    <w:rsid w:val="00F52854"/>
    <w:rsid w:val="00F52C30"/>
    <w:rsid w:val="00F52C4C"/>
    <w:rsid w:val="00F52F93"/>
    <w:rsid w:val="00F538E3"/>
    <w:rsid w:val="00F5391B"/>
    <w:rsid w:val="00F5391E"/>
    <w:rsid w:val="00F53B4C"/>
    <w:rsid w:val="00F53C1B"/>
    <w:rsid w:val="00F547A2"/>
    <w:rsid w:val="00F555C6"/>
    <w:rsid w:val="00F55964"/>
    <w:rsid w:val="00F55CDA"/>
    <w:rsid w:val="00F560C5"/>
    <w:rsid w:val="00F562F8"/>
    <w:rsid w:val="00F56367"/>
    <w:rsid w:val="00F564DA"/>
    <w:rsid w:val="00F56598"/>
    <w:rsid w:val="00F565A3"/>
    <w:rsid w:val="00F56BD0"/>
    <w:rsid w:val="00F56D28"/>
    <w:rsid w:val="00F57206"/>
    <w:rsid w:val="00F57881"/>
    <w:rsid w:val="00F579C8"/>
    <w:rsid w:val="00F602E5"/>
    <w:rsid w:val="00F60CC6"/>
    <w:rsid w:val="00F60FF0"/>
    <w:rsid w:val="00F615F0"/>
    <w:rsid w:val="00F61626"/>
    <w:rsid w:val="00F618FD"/>
    <w:rsid w:val="00F61B92"/>
    <w:rsid w:val="00F622E8"/>
    <w:rsid w:val="00F62742"/>
    <w:rsid w:val="00F62AC0"/>
    <w:rsid w:val="00F6327E"/>
    <w:rsid w:val="00F6329E"/>
    <w:rsid w:val="00F63598"/>
    <w:rsid w:val="00F63895"/>
    <w:rsid w:val="00F63924"/>
    <w:rsid w:val="00F63BC6"/>
    <w:rsid w:val="00F63F1B"/>
    <w:rsid w:val="00F63F4E"/>
    <w:rsid w:val="00F64301"/>
    <w:rsid w:val="00F6454E"/>
    <w:rsid w:val="00F646D3"/>
    <w:rsid w:val="00F64822"/>
    <w:rsid w:val="00F64C2E"/>
    <w:rsid w:val="00F65CB3"/>
    <w:rsid w:val="00F668F8"/>
    <w:rsid w:val="00F66B4C"/>
    <w:rsid w:val="00F66C07"/>
    <w:rsid w:val="00F66DC2"/>
    <w:rsid w:val="00F66F73"/>
    <w:rsid w:val="00F6705D"/>
    <w:rsid w:val="00F6749C"/>
    <w:rsid w:val="00F674C7"/>
    <w:rsid w:val="00F6759D"/>
    <w:rsid w:val="00F675EF"/>
    <w:rsid w:val="00F678DB"/>
    <w:rsid w:val="00F67BEA"/>
    <w:rsid w:val="00F67D26"/>
    <w:rsid w:val="00F67D2D"/>
    <w:rsid w:val="00F67F1E"/>
    <w:rsid w:val="00F7075F"/>
    <w:rsid w:val="00F707E3"/>
    <w:rsid w:val="00F708BF"/>
    <w:rsid w:val="00F70A77"/>
    <w:rsid w:val="00F70FA3"/>
    <w:rsid w:val="00F70FC9"/>
    <w:rsid w:val="00F71070"/>
    <w:rsid w:val="00F717D1"/>
    <w:rsid w:val="00F71C88"/>
    <w:rsid w:val="00F71CD0"/>
    <w:rsid w:val="00F71EE3"/>
    <w:rsid w:val="00F71FB6"/>
    <w:rsid w:val="00F71FC5"/>
    <w:rsid w:val="00F722BF"/>
    <w:rsid w:val="00F72474"/>
    <w:rsid w:val="00F725A2"/>
    <w:rsid w:val="00F727B4"/>
    <w:rsid w:val="00F72D39"/>
    <w:rsid w:val="00F72DCB"/>
    <w:rsid w:val="00F72F7E"/>
    <w:rsid w:val="00F73049"/>
    <w:rsid w:val="00F7378F"/>
    <w:rsid w:val="00F74344"/>
    <w:rsid w:val="00F74416"/>
    <w:rsid w:val="00F7463D"/>
    <w:rsid w:val="00F74848"/>
    <w:rsid w:val="00F751BB"/>
    <w:rsid w:val="00F75AE4"/>
    <w:rsid w:val="00F75F2C"/>
    <w:rsid w:val="00F760AD"/>
    <w:rsid w:val="00F761E4"/>
    <w:rsid w:val="00F7668F"/>
    <w:rsid w:val="00F76804"/>
    <w:rsid w:val="00F76C17"/>
    <w:rsid w:val="00F7702E"/>
    <w:rsid w:val="00F7705F"/>
    <w:rsid w:val="00F7726F"/>
    <w:rsid w:val="00F77609"/>
    <w:rsid w:val="00F77B41"/>
    <w:rsid w:val="00F803A0"/>
    <w:rsid w:val="00F80AE5"/>
    <w:rsid w:val="00F80B70"/>
    <w:rsid w:val="00F80EA8"/>
    <w:rsid w:val="00F812E3"/>
    <w:rsid w:val="00F819C2"/>
    <w:rsid w:val="00F81F6C"/>
    <w:rsid w:val="00F8254B"/>
    <w:rsid w:val="00F8291E"/>
    <w:rsid w:val="00F82B54"/>
    <w:rsid w:val="00F82D80"/>
    <w:rsid w:val="00F82EC8"/>
    <w:rsid w:val="00F82FE4"/>
    <w:rsid w:val="00F832ED"/>
    <w:rsid w:val="00F83B7E"/>
    <w:rsid w:val="00F83CDB"/>
    <w:rsid w:val="00F83D44"/>
    <w:rsid w:val="00F84067"/>
    <w:rsid w:val="00F8408B"/>
    <w:rsid w:val="00F84644"/>
    <w:rsid w:val="00F846D6"/>
    <w:rsid w:val="00F84A9A"/>
    <w:rsid w:val="00F84E07"/>
    <w:rsid w:val="00F84E50"/>
    <w:rsid w:val="00F85359"/>
    <w:rsid w:val="00F85FAA"/>
    <w:rsid w:val="00F86348"/>
    <w:rsid w:val="00F86730"/>
    <w:rsid w:val="00F86A87"/>
    <w:rsid w:val="00F876AF"/>
    <w:rsid w:val="00F903BD"/>
    <w:rsid w:val="00F905F4"/>
    <w:rsid w:val="00F9065F"/>
    <w:rsid w:val="00F9097E"/>
    <w:rsid w:val="00F90C5A"/>
    <w:rsid w:val="00F90E40"/>
    <w:rsid w:val="00F9142F"/>
    <w:rsid w:val="00F914BF"/>
    <w:rsid w:val="00F91582"/>
    <w:rsid w:val="00F918DC"/>
    <w:rsid w:val="00F91E5C"/>
    <w:rsid w:val="00F91EF3"/>
    <w:rsid w:val="00F91F5A"/>
    <w:rsid w:val="00F9205B"/>
    <w:rsid w:val="00F92626"/>
    <w:rsid w:val="00F92D47"/>
    <w:rsid w:val="00F92E72"/>
    <w:rsid w:val="00F92F01"/>
    <w:rsid w:val="00F92F88"/>
    <w:rsid w:val="00F93485"/>
    <w:rsid w:val="00F93F0C"/>
    <w:rsid w:val="00F93F1A"/>
    <w:rsid w:val="00F941C2"/>
    <w:rsid w:val="00F94229"/>
    <w:rsid w:val="00F942AF"/>
    <w:rsid w:val="00F94433"/>
    <w:rsid w:val="00F944DC"/>
    <w:rsid w:val="00F94622"/>
    <w:rsid w:val="00F947D2"/>
    <w:rsid w:val="00F94989"/>
    <w:rsid w:val="00F94B5C"/>
    <w:rsid w:val="00F94C1A"/>
    <w:rsid w:val="00F94C89"/>
    <w:rsid w:val="00F94E43"/>
    <w:rsid w:val="00F95300"/>
    <w:rsid w:val="00F95A0A"/>
    <w:rsid w:val="00F95B2C"/>
    <w:rsid w:val="00F95C34"/>
    <w:rsid w:val="00F95E40"/>
    <w:rsid w:val="00F96114"/>
    <w:rsid w:val="00F969E9"/>
    <w:rsid w:val="00F96A9A"/>
    <w:rsid w:val="00F96EFD"/>
    <w:rsid w:val="00F96F1B"/>
    <w:rsid w:val="00F971E5"/>
    <w:rsid w:val="00F974A5"/>
    <w:rsid w:val="00F97633"/>
    <w:rsid w:val="00F977C5"/>
    <w:rsid w:val="00F97C3E"/>
    <w:rsid w:val="00F97C78"/>
    <w:rsid w:val="00FA0394"/>
    <w:rsid w:val="00FA068A"/>
    <w:rsid w:val="00FA07F4"/>
    <w:rsid w:val="00FA0850"/>
    <w:rsid w:val="00FA0A66"/>
    <w:rsid w:val="00FA0AA2"/>
    <w:rsid w:val="00FA0AC1"/>
    <w:rsid w:val="00FA0B0D"/>
    <w:rsid w:val="00FA0D04"/>
    <w:rsid w:val="00FA1839"/>
    <w:rsid w:val="00FA1DEC"/>
    <w:rsid w:val="00FA2005"/>
    <w:rsid w:val="00FA2846"/>
    <w:rsid w:val="00FA29FB"/>
    <w:rsid w:val="00FA2E82"/>
    <w:rsid w:val="00FA3050"/>
    <w:rsid w:val="00FA3411"/>
    <w:rsid w:val="00FA347D"/>
    <w:rsid w:val="00FA4275"/>
    <w:rsid w:val="00FA47D5"/>
    <w:rsid w:val="00FA48D0"/>
    <w:rsid w:val="00FA4B67"/>
    <w:rsid w:val="00FA4DA0"/>
    <w:rsid w:val="00FA4DF5"/>
    <w:rsid w:val="00FA509B"/>
    <w:rsid w:val="00FA510F"/>
    <w:rsid w:val="00FA548F"/>
    <w:rsid w:val="00FA56D0"/>
    <w:rsid w:val="00FA5826"/>
    <w:rsid w:val="00FA5B1C"/>
    <w:rsid w:val="00FA609C"/>
    <w:rsid w:val="00FA612D"/>
    <w:rsid w:val="00FA6275"/>
    <w:rsid w:val="00FA668A"/>
    <w:rsid w:val="00FA673D"/>
    <w:rsid w:val="00FA6E35"/>
    <w:rsid w:val="00FA6F2D"/>
    <w:rsid w:val="00FA7932"/>
    <w:rsid w:val="00FA7ED4"/>
    <w:rsid w:val="00FB0158"/>
    <w:rsid w:val="00FB0F81"/>
    <w:rsid w:val="00FB17F6"/>
    <w:rsid w:val="00FB1C11"/>
    <w:rsid w:val="00FB2D51"/>
    <w:rsid w:val="00FB2F8B"/>
    <w:rsid w:val="00FB3263"/>
    <w:rsid w:val="00FB3356"/>
    <w:rsid w:val="00FB4545"/>
    <w:rsid w:val="00FB4604"/>
    <w:rsid w:val="00FB4AAE"/>
    <w:rsid w:val="00FB4C4F"/>
    <w:rsid w:val="00FB4C8F"/>
    <w:rsid w:val="00FB580F"/>
    <w:rsid w:val="00FB5ABE"/>
    <w:rsid w:val="00FB5CFE"/>
    <w:rsid w:val="00FB63E2"/>
    <w:rsid w:val="00FB646F"/>
    <w:rsid w:val="00FB6818"/>
    <w:rsid w:val="00FB6891"/>
    <w:rsid w:val="00FB6B2B"/>
    <w:rsid w:val="00FB6ED3"/>
    <w:rsid w:val="00FB7180"/>
    <w:rsid w:val="00FB7859"/>
    <w:rsid w:val="00FB79D5"/>
    <w:rsid w:val="00FB7E4E"/>
    <w:rsid w:val="00FC045A"/>
    <w:rsid w:val="00FC059D"/>
    <w:rsid w:val="00FC07D5"/>
    <w:rsid w:val="00FC0C9A"/>
    <w:rsid w:val="00FC0D50"/>
    <w:rsid w:val="00FC10B6"/>
    <w:rsid w:val="00FC1430"/>
    <w:rsid w:val="00FC1DFC"/>
    <w:rsid w:val="00FC1E77"/>
    <w:rsid w:val="00FC22C9"/>
    <w:rsid w:val="00FC29DD"/>
    <w:rsid w:val="00FC2A61"/>
    <w:rsid w:val="00FC2C5D"/>
    <w:rsid w:val="00FC3072"/>
    <w:rsid w:val="00FC33B4"/>
    <w:rsid w:val="00FC3787"/>
    <w:rsid w:val="00FC3832"/>
    <w:rsid w:val="00FC3D33"/>
    <w:rsid w:val="00FC3F40"/>
    <w:rsid w:val="00FC4514"/>
    <w:rsid w:val="00FC4754"/>
    <w:rsid w:val="00FC4C61"/>
    <w:rsid w:val="00FC5705"/>
    <w:rsid w:val="00FC5B83"/>
    <w:rsid w:val="00FC5BC3"/>
    <w:rsid w:val="00FC5DBE"/>
    <w:rsid w:val="00FC5EF8"/>
    <w:rsid w:val="00FC6321"/>
    <w:rsid w:val="00FC6386"/>
    <w:rsid w:val="00FC6A2E"/>
    <w:rsid w:val="00FC6BFA"/>
    <w:rsid w:val="00FC6E29"/>
    <w:rsid w:val="00FC720C"/>
    <w:rsid w:val="00FC7212"/>
    <w:rsid w:val="00FC7283"/>
    <w:rsid w:val="00FC7A38"/>
    <w:rsid w:val="00FC7E7E"/>
    <w:rsid w:val="00FD056F"/>
    <w:rsid w:val="00FD0594"/>
    <w:rsid w:val="00FD13E3"/>
    <w:rsid w:val="00FD144C"/>
    <w:rsid w:val="00FD192C"/>
    <w:rsid w:val="00FD1F2A"/>
    <w:rsid w:val="00FD2305"/>
    <w:rsid w:val="00FD27BB"/>
    <w:rsid w:val="00FD27F7"/>
    <w:rsid w:val="00FD285C"/>
    <w:rsid w:val="00FD2873"/>
    <w:rsid w:val="00FD28D1"/>
    <w:rsid w:val="00FD2A92"/>
    <w:rsid w:val="00FD3BF3"/>
    <w:rsid w:val="00FD3C90"/>
    <w:rsid w:val="00FD4112"/>
    <w:rsid w:val="00FD4195"/>
    <w:rsid w:val="00FD4527"/>
    <w:rsid w:val="00FD5FBF"/>
    <w:rsid w:val="00FD609F"/>
    <w:rsid w:val="00FD643D"/>
    <w:rsid w:val="00FD6661"/>
    <w:rsid w:val="00FD675E"/>
    <w:rsid w:val="00FD69EE"/>
    <w:rsid w:val="00FD6E41"/>
    <w:rsid w:val="00FD6EBD"/>
    <w:rsid w:val="00FD73FA"/>
    <w:rsid w:val="00FD7CC0"/>
    <w:rsid w:val="00FE009D"/>
    <w:rsid w:val="00FE03C4"/>
    <w:rsid w:val="00FE0537"/>
    <w:rsid w:val="00FE0876"/>
    <w:rsid w:val="00FE167F"/>
    <w:rsid w:val="00FE1A33"/>
    <w:rsid w:val="00FE1C28"/>
    <w:rsid w:val="00FE22E2"/>
    <w:rsid w:val="00FE27FC"/>
    <w:rsid w:val="00FE2D33"/>
    <w:rsid w:val="00FE319D"/>
    <w:rsid w:val="00FE3B48"/>
    <w:rsid w:val="00FE3BE8"/>
    <w:rsid w:val="00FE407E"/>
    <w:rsid w:val="00FE41CB"/>
    <w:rsid w:val="00FE42B0"/>
    <w:rsid w:val="00FE469D"/>
    <w:rsid w:val="00FE4963"/>
    <w:rsid w:val="00FE5180"/>
    <w:rsid w:val="00FE574F"/>
    <w:rsid w:val="00FE58BE"/>
    <w:rsid w:val="00FE5B40"/>
    <w:rsid w:val="00FE610F"/>
    <w:rsid w:val="00FE666C"/>
    <w:rsid w:val="00FE685B"/>
    <w:rsid w:val="00FE6CA3"/>
    <w:rsid w:val="00FE6CD6"/>
    <w:rsid w:val="00FE715A"/>
    <w:rsid w:val="00FE72D6"/>
    <w:rsid w:val="00FE73FB"/>
    <w:rsid w:val="00FE75E8"/>
    <w:rsid w:val="00FE7A30"/>
    <w:rsid w:val="00FE7D2D"/>
    <w:rsid w:val="00FE7F2B"/>
    <w:rsid w:val="00FF029E"/>
    <w:rsid w:val="00FF02D0"/>
    <w:rsid w:val="00FF0828"/>
    <w:rsid w:val="00FF0918"/>
    <w:rsid w:val="00FF0A78"/>
    <w:rsid w:val="00FF13A1"/>
    <w:rsid w:val="00FF160F"/>
    <w:rsid w:val="00FF1769"/>
    <w:rsid w:val="00FF22D7"/>
    <w:rsid w:val="00FF2332"/>
    <w:rsid w:val="00FF2A3A"/>
    <w:rsid w:val="00FF2FA6"/>
    <w:rsid w:val="00FF4880"/>
    <w:rsid w:val="00FF48F9"/>
    <w:rsid w:val="00FF4B3E"/>
    <w:rsid w:val="00FF4C38"/>
    <w:rsid w:val="00FF53CD"/>
    <w:rsid w:val="00FF5517"/>
    <w:rsid w:val="00FF5B61"/>
    <w:rsid w:val="00FF5CD3"/>
    <w:rsid w:val="00FF6657"/>
    <w:rsid w:val="00FF66EE"/>
    <w:rsid w:val="00FF6922"/>
    <w:rsid w:val="00FF6ECA"/>
    <w:rsid w:val="00FF6F4D"/>
    <w:rsid w:val="00FF7459"/>
    <w:rsid w:val="00FF751C"/>
    <w:rsid w:val="00FF75C3"/>
    <w:rsid w:val="00FF7853"/>
    <w:rsid w:val="00FF7B29"/>
    <w:rsid w:val="00FF7D15"/>
    <w:rsid w:val="00FF7DC6"/>
    <w:rsid w:val="014B3BBA"/>
    <w:rsid w:val="0156AC59"/>
    <w:rsid w:val="01854C28"/>
    <w:rsid w:val="019120C6"/>
    <w:rsid w:val="01B3ACCE"/>
    <w:rsid w:val="01B5B235"/>
    <w:rsid w:val="01C8D5BB"/>
    <w:rsid w:val="024C8943"/>
    <w:rsid w:val="025EABEA"/>
    <w:rsid w:val="0261385B"/>
    <w:rsid w:val="026507B6"/>
    <w:rsid w:val="026AB3CB"/>
    <w:rsid w:val="026E4EE1"/>
    <w:rsid w:val="027415E8"/>
    <w:rsid w:val="029F5ED0"/>
    <w:rsid w:val="02C6F6DA"/>
    <w:rsid w:val="0331CDAB"/>
    <w:rsid w:val="0338B8A5"/>
    <w:rsid w:val="033BE5F5"/>
    <w:rsid w:val="038A7ECD"/>
    <w:rsid w:val="03A5E089"/>
    <w:rsid w:val="03D5C743"/>
    <w:rsid w:val="043CB3F9"/>
    <w:rsid w:val="043FA037"/>
    <w:rsid w:val="044469A1"/>
    <w:rsid w:val="045BB58B"/>
    <w:rsid w:val="0464C04E"/>
    <w:rsid w:val="0487CA33"/>
    <w:rsid w:val="04940F4E"/>
    <w:rsid w:val="04BA35A0"/>
    <w:rsid w:val="04EBE1FF"/>
    <w:rsid w:val="0512FAF9"/>
    <w:rsid w:val="0581BECC"/>
    <w:rsid w:val="05AE0511"/>
    <w:rsid w:val="05D6346D"/>
    <w:rsid w:val="06126FD3"/>
    <w:rsid w:val="0628856E"/>
    <w:rsid w:val="066F6A98"/>
    <w:rsid w:val="06AE1C7D"/>
    <w:rsid w:val="06B4FEE1"/>
    <w:rsid w:val="06B8C5A0"/>
    <w:rsid w:val="06BB5BB2"/>
    <w:rsid w:val="071C3056"/>
    <w:rsid w:val="071CDDE7"/>
    <w:rsid w:val="074C7C61"/>
    <w:rsid w:val="0779D89B"/>
    <w:rsid w:val="07901D9C"/>
    <w:rsid w:val="0799FA1B"/>
    <w:rsid w:val="07CB943D"/>
    <w:rsid w:val="07E81F2A"/>
    <w:rsid w:val="07F2432C"/>
    <w:rsid w:val="080C82EF"/>
    <w:rsid w:val="087C7E4B"/>
    <w:rsid w:val="087F833E"/>
    <w:rsid w:val="08931C31"/>
    <w:rsid w:val="08B420CC"/>
    <w:rsid w:val="08B8C57C"/>
    <w:rsid w:val="092FA22D"/>
    <w:rsid w:val="09455FB4"/>
    <w:rsid w:val="0995FD87"/>
    <w:rsid w:val="09B471E4"/>
    <w:rsid w:val="09C09249"/>
    <w:rsid w:val="0A18D752"/>
    <w:rsid w:val="0A4E41D7"/>
    <w:rsid w:val="0A7D8140"/>
    <w:rsid w:val="0A80839F"/>
    <w:rsid w:val="0AAFCB7F"/>
    <w:rsid w:val="0AD423DB"/>
    <w:rsid w:val="0AD49A38"/>
    <w:rsid w:val="0B828E63"/>
    <w:rsid w:val="0B931A2B"/>
    <w:rsid w:val="0BA87EAE"/>
    <w:rsid w:val="0BB7E05D"/>
    <w:rsid w:val="0BC3E375"/>
    <w:rsid w:val="0BF27299"/>
    <w:rsid w:val="0C2E5248"/>
    <w:rsid w:val="0C543178"/>
    <w:rsid w:val="0C575EC3"/>
    <w:rsid w:val="0CC4D8B6"/>
    <w:rsid w:val="0CFB7D24"/>
    <w:rsid w:val="0D0FC52D"/>
    <w:rsid w:val="0DCB2985"/>
    <w:rsid w:val="0DFA74FD"/>
    <w:rsid w:val="0DFF37FE"/>
    <w:rsid w:val="0E2430EA"/>
    <w:rsid w:val="0E2705E2"/>
    <w:rsid w:val="0E340041"/>
    <w:rsid w:val="0E7E604A"/>
    <w:rsid w:val="0EB1C8DC"/>
    <w:rsid w:val="0F3065EE"/>
    <w:rsid w:val="0F497B64"/>
    <w:rsid w:val="0F5620C2"/>
    <w:rsid w:val="0F7135ED"/>
    <w:rsid w:val="0F772B17"/>
    <w:rsid w:val="0FBA2AAB"/>
    <w:rsid w:val="0FC7C864"/>
    <w:rsid w:val="0FD4DF42"/>
    <w:rsid w:val="0FE4D3D4"/>
    <w:rsid w:val="1033B67E"/>
    <w:rsid w:val="104192D8"/>
    <w:rsid w:val="10643FB4"/>
    <w:rsid w:val="10A1BFDE"/>
    <w:rsid w:val="10D6C7AB"/>
    <w:rsid w:val="10DCA10B"/>
    <w:rsid w:val="10EE35CB"/>
    <w:rsid w:val="11277A4B"/>
    <w:rsid w:val="115AC060"/>
    <w:rsid w:val="119305A3"/>
    <w:rsid w:val="11B6E457"/>
    <w:rsid w:val="11DF0533"/>
    <w:rsid w:val="11F0303B"/>
    <w:rsid w:val="1221306E"/>
    <w:rsid w:val="12217440"/>
    <w:rsid w:val="1255F169"/>
    <w:rsid w:val="128DB5A6"/>
    <w:rsid w:val="12D2DBD1"/>
    <w:rsid w:val="12D7597E"/>
    <w:rsid w:val="12F1DB41"/>
    <w:rsid w:val="131B2B2C"/>
    <w:rsid w:val="133CF86B"/>
    <w:rsid w:val="13459AF5"/>
    <w:rsid w:val="1358F8C1"/>
    <w:rsid w:val="137D992A"/>
    <w:rsid w:val="139D4AD2"/>
    <w:rsid w:val="13C5D077"/>
    <w:rsid w:val="140B4449"/>
    <w:rsid w:val="14345204"/>
    <w:rsid w:val="1454092A"/>
    <w:rsid w:val="14661943"/>
    <w:rsid w:val="146A966C"/>
    <w:rsid w:val="14DCB591"/>
    <w:rsid w:val="151E38FD"/>
    <w:rsid w:val="152A3B49"/>
    <w:rsid w:val="155FD18E"/>
    <w:rsid w:val="157380EC"/>
    <w:rsid w:val="1641B545"/>
    <w:rsid w:val="164AACC3"/>
    <w:rsid w:val="1684607D"/>
    <w:rsid w:val="16B9A265"/>
    <w:rsid w:val="16FC4D9D"/>
    <w:rsid w:val="17191AC0"/>
    <w:rsid w:val="1721E7B3"/>
    <w:rsid w:val="172569DE"/>
    <w:rsid w:val="1731F8BE"/>
    <w:rsid w:val="1733A860"/>
    <w:rsid w:val="173FAAC0"/>
    <w:rsid w:val="17749C3F"/>
    <w:rsid w:val="178F9ACB"/>
    <w:rsid w:val="17CA0F49"/>
    <w:rsid w:val="18026CD6"/>
    <w:rsid w:val="181F81CA"/>
    <w:rsid w:val="1821901B"/>
    <w:rsid w:val="183C84FE"/>
    <w:rsid w:val="1857E20E"/>
    <w:rsid w:val="185FD220"/>
    <w:rsid w:val="1863DE0D"/>
    <w:rsid w:val="18960D3D"/>
    <w:rsid w:val="18B20E00"/>
    <w:rsid w:val="1904F599"/>
    <w:rsid w:val="1941765B"/>
    <w:rsid w:val="1946A6E6"/>
    <w:rsid w:val="19647881"/>
    <w:rsid w:val="196DD2C5"/>
    <w:rsid w:val="196E2063"/>
    <w:rsid w:val="19744460"/>
    <w:rsid w:val="197ADC21"/>
    <w:rsid w:val="197CBDD9"/>
    <w:rsid w:val="19B483D4"/>
    <w:rsid w:val="19C0055A"/>
    <w:rsid w:val="19CE924D"/>
    <w:rsid w:val="19D0E931"/>
    <w:rsid w:val="19DC1640"/>
    <w:rsid w:val="19F28105"/>
    <w:rsid w:val="19FA9DB6"/>
    <w:rsid w:val="1A19816A"/>
    <w:rsid w:val="1A2AF2AF"/>
    <w:rsid w:val="1A50A4A9"/>
    <w:rsid w:val="1A696D76"/>
    <w:rsid w:val="1A9547E7"/>
    <w:rsid w:val="1B0B2B9E"/>
    <w:rsid w:val="1B1702DD"/>
    <w:rsid w:val="1B4F5A1C"/>
    <w:rsid w:val="1B6097BB"/>
    <w:rsid w:val="1B6CEA4B"/>
    <w:rsid w:val="1B86A801"/>
    <w:rsid w:val="1BA5FC0D"/>
    <w:rsid w:val="1BD5307E"/>
    <w:rsid w:val="1BDBD231"/>
    <w:rsid w:val="1BE11175"/>
    <w:rsid w:val="1C0DC9B2"/>
    <w:rsid w:val="1C21661B"/>
    <w:rsid w:val="1C2E4421"/>
    <w:rsid w:val="1C37AA45"/>
    <w:rsid w:val="1C893DC7"/>
    <w:rsid w:val="1C8E817A"/>
    <w:rsid w:val="1C92F82A"/>
    <w:rsid w:val="1C974371"/>
    <w:rsid w:val="1CA4A685"/>
    <w:rsid w:val="1CB88B30"/>
    <w:rsid w:val="1D0434EF"/>
    <w:rsid w:val="1D048BD4"/>
    <w:rsid w:val="1D1217AE"/>
    <w:rsid w:val="1D3A97A5"/>
    <w:rsid w:val="1D3D8125"/>
    <w:rsid w:val="1D4E4E04"/>
    <w:rsid w:val="1D54E65D"/>
    <w:rsid w:val="1D86B225"/>
    <w:rsid w:val="1D9C1393"/>
    <w:rsid w:val="1DBDFCC6"/>
    <w:rsid w:val="1DD8E089"/>
    <w:rsid w:val="1E05E71F"/>
    <w:rsid w:val="1E2A6FDE"/>
    <w:rsid w:val="1E31EBED"/>
    <w:rsid w:val="1E407E5D"/>
    <w:rsid w:val="1E598B90"/>
    <w:rsid w:val="1E837A1C"/>
    <w:rsid w:val="1EA8F3FB"/>
    <w:rsid w:val="1EB9CDD0"/>
    <w:rsid w:val="1F3402D5"/>
    <w:rsid w:val="1F4600B7"/>
    <w:rsid w:val="1F5D7DEF"/>
    <w:rsid w:val="1F72DAB5"/>
    <w:rsid w:val="1F85AFEF"/>
    <w:rsid w:val="1FA2BFB0"/>
    <w:rsid w:val="1FAA2EB8"/>
    <w:rsid w:val="1FD0D223"/>
    <w:rsid w:val="1FEF0295"/>
    <w:rsid w:val="1FF759B2"/>
    <w:rsid w:val="2003AE95"/>
    <w:rsid w:val="200444D9"/>
    <w:rsid w:val="20115F3E"/>
    <w:rsid w:val="20167D43"/>
    <w:rsid w:val="2029A825"/>
    <w:rsid w:val="202E6781"/>
    <w:rsid w:val="203AD7D4"/>
    <w:rsid w:val="206FFCE7"/>
    <w:rsid w:val="20850A74"/>
    <w:rsid w:val="209330DE"/>
    <w:rsid w:val="209F031F"/>
    <w:rsid w:val="214A5DC3"/>
    <w:rsid w:val="21C71C50"/>
    <w:rsid w:val="21DA3A2E"/>
    <w:rsid w:val="21E8F5AB"/>
    <w:rsid w:val="2285F14C"/>
    <w:rsid w:val="22BA5E7D"/>
    <w:rsid w:val="22E56289"/>
    <w:rsid w:val="23433A07"/>
    <w:rsid w:val="23479C29"/>
    <w:rsid w:val="234E96F3"/>
    <w:rsid w:val="235EB149"/>
    <w:rsid w:val="236DE27C"/>
    <w:rsid w:val="23A390A1"/>
    <w:rsid w:val="23BD5174"/>
    <w:rsid w:val="23C2ECB3"/>
    <w:rsid w:val="23DB4A5C"/>
    <w:rsid w:val="23F9C47F"/>
    <w:rsid w:val="241F892C"/>
    <w:rsid w:val="2421134C"/>
    <w:rsid w:val="2457C40E"/>
    <w:rsid w:val="247F1BE9"/>
    <w:rsid w:val="24982724"/>
    <w:rsid w:val="24AB29C8"/>
    <w:rsid w:val="24B46752"/>
    <w:rsid w:val="24F7F12C"/>
    <w:rsid w:val="2531EBCC"/>
    <w:rsid w:val="253350A3"/>
    <w:rsid w:val="25ADA530"/>
    <w:rsid w:val="25EF2AA0"/>
    <w:rsid w:val="2601E52F"/>
    <w:rsid w:val="261F4706"/>
    <w:rsid w:val="26329DD2"/>
    <w:rsid w:val="26405212"/>
    <w:rsid w:val="2661108D"/>
    <w:rsid w:val="269181D7"/>
    <w:rsid w:val="26CE1960"/>
    <w:rsid w:val="27131EC4"/>
    <w:rsid w:val="27581024"/>
    <w:rsid w:val="275C8188"/>
    <w:rsid w:val="276F802D"/>
    <w:rsid w:val="278361E6"/>
    <w:rsid w:val="2787FB64"/>
    <w:rsid w:val="27952645"/>
    <w:rsid w:val="27C30078"/>
    <w:rsid w:val="27D13967"/>
    <w:rsid w:val="2804559E"/>
    <w:rsid w:val="2807013B"/>
    <w:rsid w:val="281681D7"/>
    <w:rsid w:val="282343ED"/>
    <w:rsid w:val="283B9BFD"/>
    <w:rsid w:val="28A34BDE"/>
    <w:rsid w:val="28A608EA"/>
    <w:rsid w:val="28AD001E"/>
    <w:rsid w:val="28DF0208"/>
    <w:rsid w:val="28DF0DF9"/>
    <w:rsid w:val="29779E51"/>
    <w:rsid w:val="2977AB9F"/>
    <w:rsid w:val="299497FC"/>
    <w:rsid w:val="29C5B615"/>
    <w:rsid w:val="29F3BBD8"/>
    <w:rsid w:val="2A1D385E"/>
    <w:rsid w:val="2A5D6A0C"/>
    <w:rsid w:val="2A678F7D"/>
    <w:rsid w:val="2A7EA156"/>
    <w:rsid w:val="2ABE982F"/>
    <w:rsid w:val="2ACEB1D0"/>
    <w:rsid w:val="2AE6F142"/>
    <w:rsid w:val="2B3F8840"/>
    <w:rsid w:val="2B4DBFCF"/>
    <w:rsid w:val="2B4FEDD9"/>
    <w:rsid w:val="2B5B5D13"/>
    <w:rsid w:val="2B681033"/>
    <w:rsid w:val="2BD30B77"/>
    <w:rsid w:val="2BE13BC5"/>
    <w:rsid w:val="2BE17C86"/>
    <w:rsid w:val="2BED6433"/>
    <w:rsid w:val="2C11CC58"/>
    <w:rsid w:val="2C16B728"/>
    <w:rsid w:val="2C376FA3"/>
    <w:rsid w:val="2C3B5D15"/>
    <w:rsid w:val="2C3CBF4E"/>
    <w:rsid w:val="2C4D2824"/>
    <w:rsid w:val="2C55DC8B"/>
    <w:rsid w:val="2CA9BA74"/>
    <w:rsid w:val="2CC3B4AB"/>
    <w:rsid w:val="2D2E74C5"/>
    <w:rsid w:val="2D56AA57"/>
    <w:rsid w:val="2D73033E"/>
    <w:rsid w:val="2D80AE1A"/>
    <w:rsid w:val="2D9F348E"/>
    <w:rsid w:val="2DD43833"/>
    <w:rsid w:val="2DFF5444"/>
    <w:rsid w:val="2E20B64B"/>
    <w:rsid w:val="2E2243BF"/>
    <w:rsid w:val="2E31D9EF"/>
    <w:rsid w:val="2E43BAA2"/>
    <w:rsid w:val="2E5031A6"/>
    <w:rsid w:val="2E54FFCA"/>
    <w:rsid w:val="2E707A10"/>
    <w:rsid w:val="2EA694FD"/>
    <w:rsid w:val="2EDA4F7A"/>
    <w:rsid w:val="2F0EFEE0"/>
    <w:rsid w:val="2F1D88FE"/>
    <w:rsid w:val="2F2BC558"/>
    <w:rsid w:val="2F409C0F"/>
    <w:rsid w:val="2F5AF547"/>
    <w:rsid w:val="2F72F06E"/>
    <w:rsid w:val="2F9C1E68"/>
    <w:rsid w:val="2FD3B65C"/>
    <w:rsid w:val="3044ADA1"/>
    <w:rsid w:val="3046E4AE"/>
    <w:rsid w:val="3047512F"/>
    <w:rsid w:val="30729201"/>
    <w:rsid w:val="30BE71A4"/>
    <w:rsid w:val="30C790A8"/>
    <w:rsid w:val="3131E8A4"/>
    <w:rsid w:val="314E03BC"/>
    <w:rsid w:val="315FCCE8"/>
    <w:rsid w:val="319030A6"/>
    <w:rsid w:val="31BA92EC"/>
    <w:rsid w:val="31E9C720"/>
    <w:rsid w:val="31F1AC47"/>
    <w:rsid w:val="31F429EA"/>
    <w:rsid w:val="3203FE31"/>
    <w:rsid w:val="3206EE4F"/>
    <w:rsid w:val="32132EE1"/>
    <w:rsid w:val="322B7940"/>
    <w:rsid w:val="323E6A27"/>
    <w:rsid w:val="3281B048"/>
    <w:rsid w:val="328759A3"/>
    <w:rsid w:val="32882443"/>
    <w:rsid w:val="328E115C"/>
    <w:rsid w:val="3293A6FC"/>
    <w:rsid w:val="32D1121F"/>
    <w:rsid w:val="32EBA775"/>
    <w:rsid w:val="330C6817"/>
    <w:rsid w:val="33268AC1"/>
    <w:rsid w:val="333528B1"/>
    <w:rsid w:val="333ECB73"/>
    <w:rsid w:val="335D12F4"/>
    <w:rsid w:val="338A046B"/>
    <w:rsid w:val="33CF8AED"/>
    <w:rsid w:val="33F50FC8"/>
    <w:rsid w:val="33F77B82"/>
    <w:rsid w:val="3400ED3D"/>
    <w:rsid w:val="341C30FF"/>
    <w:rsid w:val="344B261E"/>
    <w:rsid w:val="34651DD1"/>
    <w:rsid w:val="3468CEDF"/>
    <w:rsid w:val="347FD1C9"/>
    <w:rsid w:val="34C58218"/>
    <w:rsid w:val="34E16495"/>
    <w:rsid w:val="35028A05"/>
    <w:rsid w:val="350D69D0"/>
    <w:rsid w:val="35288FCD"/>
    <w:rsid w:val="355F1E4F"/>
    <w:rsid w:val="358E35E4"/>
    <w:rsid w:val="35905605"/>
    <w:rsid w:val="359C6EF8"/>
    <w:rsid w:val="35B89CF5"/>
    <w:rsid w:val="35E94F5E"/>
    <w:rsid w:val="35F4DB7B"/>
    <w:rsid w:val="361615D8"/>
    <w:rsid w:val="361F0561"/>
    <w:rsid w:val="36259DF6"/>
    <w:rsid w:val="362C02ED"/>
    <w:rsid w:val="36429376"/>
    <w:rsid w:val="364EAB51"/>
    <w:rsid w:val="365DA4F9"/>
    <w:rsid w:val="3671141E"/>
    <w:rsid w:val="367F1110"/>
    <w:rsid w:val="3685F183"/>
    <w:rsid w:val="368C6A21"/>
    <w:rsid w:val="36A491C6"/>
    <w:rsid w:val="36D24E9B"/>
    <w:rsid w:val="36E04B2F"/>
    <w:rsid w:val="37161A03"/>
    <w:rsid w:val="3744CD7D"/>
    <w:rsid w:val="3758FE83"/>
    <w:rsid w:val="379471B3"/>
    <w:rsid w:val="37BE717D"/>
    <w:rsid w:val="37DCF86B"/>
    <w:rsid w:val="37EF1331"/>
    <w:rsid w:val="37EFCD80"/>
    <w:rsid w:val="37F34DAC"/>
    <w:rsid w:val="384823AA"/>
    <w:rsid w:val="3864962D"/>
    <w:rsid w:val="387854E6"/>
    <w:rsid w:val="387DB14B"/>
    <w:rsid w:val="387FE8FC"/>
    <w:rsid w:val="38E37B4A"/>
    <w:rsid w:val="38F4082F"/>
    <w:rsid w:val="3908707C"/>
    <w:rsid w:val="39202E87"/>
    <w:rsid w:val="3940E9E3"/>
    <w:rsid w:val="39493795"/>
    <w:rsid w:val="395F2E05"/>
    <w:rsid w:val="39627AB5"/>
    <w:rsid w:val="3968759E"/>
    <w:rsid w:val="39817EBA"/>
    <w:rsid w:val="399969E6"/>
    <w:rsid w:val="39C1D778"/>
    <w:rsid w:val="3A06C9D0"/>
    <w:rsid w:val="3A0CF05C"/>
    <w:rsid w:val="3A135D10"/>
    <w:rsid w:val="3A185AB9"/>
    <w:rsid w:val="3A604251"/>
    <w:rsid w:val="3A80925C"/>
    <w:rsid w:val="3A870186"/>
    <w:rsid w:val="3A9ECC58"/>
    <w:rsid w:val="3ABFD2D3"/>
    <w:rsid w:val="3AC4CED8"/>
    <w:rsid w:val="3AD82F94"/>
    <w:rsid w:val="3AE58F01"/>
    <w:rsid w:val="3AFFF8E3"/>
    <w:rsid w:val="3B01FC1E"/>
    <w:rsid w:val="3B0474E8"/>
    <w:rsid w:val="3B077259"/>
    <w:rsid w:val="3B0EDC52"/>
    <w:rsid w:val="3B13CCBE"/>
    <w:rsid w:val="3B17FECD"/>
    <w:rsid w:val="3B1A1CB2"/>
    <w:rsid w:val="3B2878C5"/>
    <w:rsid w:val="3B50955D"/>
    <w:rsid w:val="3BCAA28E"/>
    <w:rsid w:val="3C37968B"/>
    <w:rsid w:val="3C5C5AA5"/>
    <w:rsid w:val="3CA8F5BB"/>
    <w:rsid w:val="3CD6B553"/>
    <w:rsid w:val="3D0C9CBE"/>
    <w:rsid w:val="3D1FD347"/>
    <w:rsid w:val="3D917FFA"/>
    <w:rsid w:val="3DA2DBBD"/>
    <w:rsid w:val="3DA3910D"/>
    <w:rsid w:val="3DDE6036"/>
    <w:rsid w:val="3DDECE0A"/>
    <w:rsid w:val="3E006C46"/>
    <w:rsid w:val="3E5B5CF4"/>
    <w:rsid w:val="3E79CC3C"/>
    <w:rsid w:val="3EBE12A9"/>
    <w:rsid w:val="3EBF1D25"/>
    <w:rsid w:val="3ED9B6D2"/>
    <w:rsid w:val="3F10C75C"/>
    <w:rsid w:val="3F268EF7"/>
    <w:rsid w:val="3F2C3332"/>
    <w:rsid w:val="3F5B3222"/>
    <w:rsid w:val="3FA74CFD"/>
    <w:rsid w:val="3FC2FDFA"/>
    <w:rsid w:val="4005C637"/>
    <w:rsid w:val="4021519D"/>
    <w:rsid w:val="4025BAB9"/>
    <w:rsid w:val="4038FF91"/>
    <w:rsid w:val="40664C0D"/>
    <w:rsid w:val="4067981F"/>
    <w:rsid w:val="406E43FE"/>
    <w:rsid w:val="407E992D"/>
    <w:rsid w:val="4091880B"/>
    <w:rsid w:val="40BD53F8"/>
    <w:rsid w:val="41281CA8"/>
    <w:rsid w:val="415263CF"/>
    <w:rsid w:val="41685356"/>
    <w:rsid w:val="41761BB3"/>
    <w:rsid w:val="417E4DF6"/>
    <w:rsid w:val="419E169B"/>
    <w:rsid w:val="419ECDE5"/>
    <w:rsid w:val="41B403C1"/>
    <w:rsid w:val="41C695F8"/>
    <w:rsid w:val="41FE0886"/>
    <w:rsid w:val="42468561"/>
    <w:rsid w:val="425D8B63"/>
    <w:rsid w:val="4275B02F"/>
    <w:rsid w:val="4278641C"/>
    <w:rsid w:val="42A943B3"/>
    <w:rsid w:val="42B16101"/>
    <w:rsid w:val="42C00AFC"/>
    <w:rsid w:val="42C61127"/>
    <w:rsid w:val="42FCBE61"/>
    <w:rsid w:val="43007555"/>
    <w:rsid w:val="432FAAF7"/>
    <w:rsid w:val="43302C29"/>
    <w:rsid w:val="433E4869"/>
    <w:rsid w:val="43467996"/>
    <w:rsid w:val="435FD8CD"/>
    <w:rsid w:val="436645B5"/>
    <w:rsid w:val="436D78C6"/>
    <w:rsid w:val="4383E29A"/>
    <w:rsid w:val="43878188"/>
    <w:rsid w:val="43B55CBE"/>
    <w:rsid w:val="43BD3A64"/>
    <w:rsid w:val="43CBB179"/>
    <w:rsid w:val="43EDA3F3"/>
    <w:rsid w:val="43F263DE"/>
    <w:rsid w:val="43F530EB"/>
    <w:rsid w:val="443EAB80"/>
    <w:rsid w:val="44508DEE"/>
    <w:rsid w:val="446A2CF3"/>
    <w:rsid w:val="446E426A"/>
    <w:rsid w:val="446EB83F"/>
    <w:rsid w:val="448F80D6"/>
    <w:rsid w:val="44A400C1"/>
    <w:rsid w:val="44E396F2"/>
    <w:rsid w:val="44F6311F"/>
    <w:rsid w:val="45127ACE"/>
    <w:rsid w:val="4522DCFA"/>
    <w:rsid w:val="456EE8EA"/>
    <w:rsid w:val="45B025D5"/>
    <w:rsid w:val="45B079B3"/>
    <w:rsid w:val="45D624B6"/>
    <w:rsid w:val="45DF2B10"/>
    <w:rsid w:val="465D679F"/>
    <w:rsid w:val="468CB6A4"/>
    <w:rsid w:val="4699AA27"/>
    <w:rsid w:val="46D3CD4A"/>
    <w:rsid w:val="47265C98"/>
    <w:rsid w:val="4731914B"/>
    <w:rsid w:val="4735C5DB"/>
    <w:rsid w:val="4767F251"/>
    <w:rsid w:val="478178D7"/>
    <w:rsid w:val="47977A45"/>
    <w:rsid w:val="479D5520"/>
    <w:rsid w:val="47B45AD7"/>
    <w:rsid w:val="480D0DD8"/>
    <w:rsid w:val="481841C7"/>
    <w:rsid w:val="481F85B6"/>
    <w:rsid w:val="4826C11F"/>
    <w:rsid w:val="485AABC2"/>
    <w:rsid w:val="4870621A"/>
    <w:rsid w:val="488B5A4C"/>
    <w:rsid w:val="489CE7EF"/>
    <w:rsid w:val="489FAE5C"/>
    <w:rsid w:val="48A38741"/>
    <w:rsid w:val="48B69AD1"/>
    <w:rsid w:val="48B9C2FA"/>
    <w:rsid w:val="48D2C55D"/>
    <w:rsid w:val="49018014"/>
    <w:rsid w:val="491BBFDE"/>
    <w:rsid w:val="4928CED6"/>
    <w:rsid w:val="499EFA71"/>
    <w:rsid w:val="49E07F7C"/>
    <w:rsid w:val="49E6C118"/>
    <w:rsid w:val="4A045145"/>
    <w:rsid w:val="4A24FA84"/>
    <w:rsid w:val="4A80B23D"/>
    <w:rsid w:val="4A81C5E8"/>
    <w:rsid w:val="4A8297AD"/>
    <w:rsid w:val="4AB94827"/>
    <w:rsid w:val="4AED6A74"/>
    <w:rsid w:val="4AF3BC99"/>
    <w:rsid w:val="4B052CD4"/>
    <w:rsid w:val="4B6E8E54"/>
    <w:rsid w:val="4BBE6707"/>
    <w:rsid w:val="4BDE1CC5"/>
    <w:rsid w:val="4BEDB794"/>
    <w:rsid w:val="4BEEC678"/>
    <w:rsid w:val="4C0B2DB1"/>
    <w:rsid w:val="4C10E0D6"/>
    <w:rsid w:val="4C161131"/>
    <w:rsid w:val="4C23BAA8"/>
    <w:rsid w:val="4C5419A5"/>
    <w:rsid w:val="4C551906"/>
    <w:rsid w:val="4C98766C"/>
    <w:rsid w:val="4C9E5A3D"/>
    <w:rsid w:val="4CA23056"/>
    <w:rsid w:val="4CB9A794"/>
    <w:rsid w:val="4CB9E496"/>
    <w:rsid w:val="4D0BFA48"/>
    <w:rsid w:val="4D14D2A0"/>
    <w:rsid w:val="4D438406"/>
    <w:rsid w:val="4D4463ED"/>
    <w:rsid w:val="4D8F27A6"/>
    <w:rsid w:val="4DB2F627"/>
    <w:rsid w:val="4DE11065"/>
    <w:rsid w:val="4E1DAC81"/>
    <w:rsid w:val="4E27EEDB"/>
    <w:rsid w:val="4E2DC67E"/>
    <w:rsid w:val="4E5BF64C"/>
    <w:rsid w:val="4E642391"/>
    <w:rsid w:val="4EE7023C"/>
    <w:rsid w:val="4EF6D433"/>
    <w:rsid w:val="4F4390DE"/>
    <w:rsid w:val="4F5FCC3F"/>
    <w:rsid w:val="4F73410F"/>
    <w:rsid w:val="4FB89500"/>
    <w:rsid w:val="4FBD0B54"/>
    <w:rsid w:val="4FC22D0C"/>
    <w:rsid w:val="4FF2659F"/>
    <w:rsid w:val="4FF8F63F"/>
    <w:rsid w:val="50124D44"/>
    <w:rsid w:val="502150E6"/>
    <w:rsid w:val="5022B42B"/>
    <w:rsid w:val="50522760"/>
    <w:rsid w:val="5086B559"/>
    <w:rsid w:val="50A2A08D"/>
    <w:rsid w:val="50A999F8"/>
    <w:rsid w:val="50D748E5"/>
    <w:rsid w:val="51656FF4"/>
    <w:rsid w:val="519B4220"/>
    <w:rsid w:val="51B1906F"/>
    <w:rsid w:val="51D39147"/>
    <w:rsid w:val="51D5ECF0"/>
    <w:rsid w:val="51D7031B"/>
    <w:rsid w:val="51FAF2D3"/>
    <w:rsid w:val="5243570B"/>
    <w:rsid w:val="52867453"/>
    <w:rsid w:val="5287F124"/>
    <w:rsid w:val="52B1E2F6"/>
    <w:rsid w:val="52FE552D"/>
    <w:rsid w:val="5301AFAC"/>
    <w:rsid w:val="5315FD0A"/>
    <w:rsid w:val="53256264"/>
    <w:rsid w:val="5349D631"/>
    <w:rsid w:val="5382C844"/>
    <w:rsid w:val="53895016"/>
    <w:rsid w:val="53A4B76A"/>
    <w:rsid w:val="53D7C5A7"/>
    <w:rsid w:val="543D4423"/>
    <w:rsid w:val="54867967"/>
    <w:rsid w:val="54CACC18"/>
    <w:rsid w:val="54D90833"/>
    <w:rsid w:val="553C8C24"/>
    <w:rsid w:val="555731E5"/>
    <w:rsid w:val="5579A44C"/>
    <w:rsid w:val="557B42A5"/>
    <w:rsid w:val="55CD1FA5"/>
    <w:rsid w:val="55E288F2"/>
    <w:rsid w:val="5606C39C"/>
    <w:rsid w:val="56090659"/>
    <w:rsid w:val="562CFD93"/>
    <w:rsid w:val="568C8A2E"/>
    <w:rsid w:val="573C98D8"/>
    <w:rsid w:val="57638B48"/>
    <w:rsid w:val="57758D28"/>
    <w:rsid w:val="578940BD"/>
    <w:rsid w:val="579CE106"/>
    <w:rsid w:val="57BCE882"/>
    <w:rsid w:val="57DAF479"/>
    <w:rsid w:val="585674AB"/>
    <w:rsid w:val="58750AFD"/>
    <w:rsid w:val="58CBD0BC"/>
    <w:rsid w:val="58CDABE8"/>
    <w:rsid w:val="58D116CD"/>
    <w:rsid w:val="595FB4D8"/>
    <w:rsid w:val="59734CD0"/>
    <w:rsid w:val="59C65480"/>
    <w:rsid w:val="59CB018C"/>
    <w:rsid w:val="59D4E2FC"/>
    <w:rsid w:val="5A6A2020"/>
    <w:rsid w:val="5A6E993D"/>
    <w:rsid w:val="5A901020"/>
    <w:rsid w:val="5A91FAD0"/>
    <w:rsid w:val="5AB7AD06"/>
    <w:rsid w:val="5AC84D2B"/>
    <w:rsid w:val="5ACEAEB1"/>
    <w:rsid w:val="5B279829"/>
    <w:rsid w:val="5B45CBE0"/>
    <w:rsid w:val="5B64142F"/>
    <w:rsid w:val="5BB28355"/>
    <w:rsid w:val="5C05D2F9"/>
    <w:rsid w:val="5C5D14FA"/>
    <w:rsid w:val="5C6D29E5"/>
    <w:rsid w:val="5C71A284"/>
    <w:rsid w:val="5C867CB9"/>
    <w:rsid w:val="5CB70E21"/>
    <w:rsid w:val="5CF58D35"/>
    <w:rsid w:val="5CF6D319"/>
    <w:rsid w:val="5CF9637C"/>
    <w:rsid w:val="5CFC9400"/>
    <w:rsid w:val="5CFE3B57"/>
    <w:rsid w:val="5D31164C"/>
    <w:rsid w:val="5D681B8A"/>
    <w:rsid w:val="5E4359AB"/>
    <w:rsid w:val="5E5A1A14"/>
    <w:rsid w:val="5E86D412"/>
    <w:rsid w:val="5EB18496"/>
    <w:rsid w:val="5ED20668"/>
    <w:rsid w:val="5ED481C7"/>
    <w:rsid w:val="5EF0319E"/>
    <w:rsid w:val="5EF20C76"/>
    <w:rsid w:val="5F04ED19"/>
    <w:rsid w:val="5F0AA517"/>
    <w:rsid w:val="5F303B46"/>
    <w:rsid w:val="5F32D481"/>
    <w:rsid w:val="5F53B4AC"/>
    <w:rsid w:val="5F6FD7B4"/>
    <w:rsid w:val="5F810F06"/>
    <w:rsid w:val="6006475E"/>
    <w:rsid w:val="602069F1"/>
    <w:rsid w:val="6058F538"/>
    <w:rsid w:val="606C225E"/>
    <w:rsid w:val="608B0F15"/>
    <w:rsid w:val="6093195E"/>
    <w:rsid w:val="60EEEE4F"/>
    <w:rsid w:val="6100C5FC"/>
    <w:rsid w:val="6111DB13"/>
    <w:rsid w:val="6148CB31"/>
    <w:rsid w:val="6166907F"/>
    <w:rsid w:val="61A2633D"/>
    <w:rsid w:val="6208D8C3"/>
    <w:rsid w:val="62218BEE"/>
    <w:rsid w:val="623240EF"/>
    <w:rsid w:val="62423FF5"/>
    <w:rsid w:val="62E7C407"/>
    <w:rsid w:val="631BAFC4"/>
    <w:rsid w:val="631FEC12"/>
    <w:rsid w:val="6320DFDA"/>
    <w:rsid w:val="6341894C"/>
    <w:rsid w:val="63B22D1A"/>
    <w:rsid w:val="63D6429C"/>
    <w:rsid w:val="63EFD9F5"/>
    <w:rsid w:val="63FF110B"/>
    <w:rsid w:val="640B7C25"/>
    <w:rsid w:val="6465B919"/>
    <w:rsid w:val="6482CBB7"/>
    <w:rsid w:val="64AE2D2F"/>
    <w:rsid w:val="64D1FECA"/>
    <w:rsid w:val="64EDBB4A"/>
    <w:rsid w:val="652C746D"/>
    <w:rsid w:val="6587EB8A"/>
    <w:rsid w:val="65B2289A"/>
    <w:rsid w:val="65C60A88"/>
    <w:rsid w:val="6617262F"/>
    <w:rsid w:val="664EEF30"/>
    <w:rsid w:val="6666C4FE"/>
    <w:rsid w:val="666D36B8"/>
    <w:rsid w:val="66709293"/>
    <w:rsid w:val="66822B4F"/>
    <w:rsid w:val="66B601D3"/>
    <w:rsid w:val="66D7CB2B"/>
    <w:rsid w:val="66E10F0B"/>
    <w:rsid w:val="66F8E7C1"/>
    <w:rsid w:val="670306DB"/>
    <w:rsid w:val="675DB547"/>
    <w:rsid w:val="676E76B5"/>
    <w:rsid w:val="678B1191"/>
    <w:rsid w:val="6798A9BD"/>
    <w:rsid w:val="6803A6F0"/>
    <w:rsid w:val="6805C2AC"/>
    <w:rsid w:val="6823DD19"/>
    <w:rsid w:val="6836C8C4"/>
    <w:rsid w:val="68718D8D"/>
    <w:rsid w:val="687B25E3"/>
    <w:rsid w:val="689289D6"/>
    <w:rsid w:val="68C444C0"/>
    <w:rsid w:val="68D0AB22"/>
    <w:rsid w:val="68DF087B"/>
    <w:rsid w:val="6920F496"/>
    <w:rsid w:val="69342D92"/>
    <w:rsid w:val="69427237"/>
    <w:rsid w:val="696F8DB6"/>
    <w:rsid w:val="69960066"/>
    <w:rsid w:val="69C66932"/>
    <w:rsid w:val="69C985E6"/>
    <w:rsid w:val="69D85450"/>
    <w:rsid w:val="6A04CE49"/>
    <w:rsid w:val="6A0A2358"/>
    <w:rsid w:val="6A124AA7"/>
    <w:rsid w:val="6A2A4253"/>
    <w:rsid w:val="6A3B15A0"/>
    <w:rsid w:val="6A67E1E2"/>
    <w:rsid w:val="6A6BA681"/>
    <w:rsid w:val="6AA523D8"/>
    <w:rsid w:val="6AC6A39A"/>
    <w:rsid w:val="6AD7903F"/>
    <w:rsid w:val="6ADB74F5"/>
    <w:rsid w:val="6AF4DC78"/>
    <w:rsid w:val="6B20323F"/>
    <w:rsid w:val="6B4CD78D"/>
    <w:rsid w:val="6B81B8DD"/>
    <w:rsid w:val="6B86C8FA"/>
    <w:rsid w:val="6B8989A2"/>
    <w:rsid w:val="6BB4F9EE"/>
    <w:rsid w:val="6C18BD15"/>
    <w:rsid w:val="6C2BA067"/>
    <w:rsid w:val="6C5CD1DB"/>
    <w:rsid w:val="6C63FC6E"/>
    <w:rsid w:val="6C7AED1E"/>
    <w:rsid w:val="6CBBBE3B"/>
    <w:rsid w:val="6CCC0DC5"/>
    <w:rsid w:val="6CDCCC6B"/>
    <w:rsid w:val="6D3F4725"/>
    <w:rsid w:val="6D4E407D"/>
    <w:rsid w:val="6D5F5C3F"/>
    <w:rsid w:val="6D68A6BC"/>
    <w:rsid w:val="6DABC2C4"/>
    <w:rsid w:val="6DBC0A0E"/>
    <w:rsid w:val="6DE80155"/>
    <w:rsid w:val="6E0D788C"/>
    <w:rsid w:val="6E256491"/>
    <w:rsid w:val="6E500261"/>
    <w:rsid w:val="6E5F3063"/>
    <w:rsid w:val="6E9F6EBC"/>
    <w:rsid w:val="6EB3FAF0"/>
    <w:rsid w:val="6EBBA829"/>
    <w:rsid w:val="6ECA72AA"/>
    <w:rsid w:val="6ED232CD"/>
    <w:rsid w:val="6EDF9339"/>
    <w:rsid w:val="6F1D0F2A"/>
    <w:rsid w:val="6F3D805D"/>
    <w:rsid w:val="6F49D4F2"/>
    <w:rsid w:val="6F5A0E21"/>
    <w:rsid w:val="6F5F50E5"/>
    <w:rsid w:val="6FA5D92E"/>
    <w:rsid w:val="6FA6BBB3"/>
    <w:rsid w:val="6FCBA370"/>
    <w:rsid w:val="6FCBE74E"/>
    <w:rsid w:val="6FE1346C"/>
    <w:rsid w:val="701FB11D"/>
    <w:rsid w:val="702565E6"/>
    <w:rsid w:val="709814E4"/>
    <w:rsid w:val="70E6FC05"/>
    <w:rsid w:val="71849F06"/>
    <w:rsid w:val="718BE856"/>
    <w:rsid w:val="718EE3F4"/>
    <w:rsid w:val="71A9C190"/>
    <w:rsid w:val="71B4EBC4"/>
    <w:rsid w:val="71C1D5F9"/>
    <w:rsid w:val="729C6753"/>
    <w:rsid w:val="72A47011"/>
    <w:rsid w:val="72B2DCEF"/>
    <w:rsid w:val="72D0E08B"/>
    <w:rsid w:val="7330D3EF"/>
    <w:rsid w:val="73338F29"/>
    <w:rsid w:val="735B356F"/>
    <w:rsid w:val="735F8CCE"/>
    <w:rsid w:val="73675D6C"/>
    <w:rsid w:val="738519BF"/>
    <w:rsid w:val="73915B35"/>
    <w:rsid w:val="73A0BE53"/>
    <w:rsid w:val="73BA2519"/>
    <w:rsid w:val="73F28BD6"/>
    <w:rsid w:val="745AE2CB"/>
    <w:rsid w:val="745ECA2C"/>
    <w:rsid w:val="74676738"/>
    <w:rsid w:val="748CDEE5"/>
    <w:rsid w:val="748EDD39"/>
    <w:rsid w:val="74B4CF7A"/>
    <w:rsid w:val="74CB484F"/>
    <w:rsid w:val="74D066FE"/>
    <w:rsid w:val="7528CD14"/>
    <w:rsid w:val="75379A99"/>
    <w:rsid w:val="75B1525B"/>
    <w:rsid w:val="75C60956"/>
    <w:rsid w:val="76365086"/>
    <w:rsid w:val="764931FD"/>
    <w:rsid w:val="7663E3A6"/>
    <w:rsid w:val="7687F752"/>
    <w:rsid w:val="76A0B4A2"/>
    <w:rsid w:val="76A72227"/>
    <w:rsid w:val="76A79DE3"/>
    <w:rsid w:val="76D4B460"/>
    <w:rsid w:val="76E2CFF4"/>
    <w:rsid w:val="76E2E1BD"/>
    <w:rsid w:val="76FD0273"/>
    <w:rsid w:val="7724F847"/>
    <w:rsid w:val="7733FC5E"/>
    <w:rsid w:val="7744AD64"/>
    <w:rsid w:val="77483CD0"/>
    <w:rsid w:val="774B2F0E"/>
    <w:rsid w:val="77581E77"/>
    <w:rsid w:val="77604CC4"/>
    <w:rsid w:val="777B8B7B"/>
    <w:rsid w:val="77A506DF"/>
    <w:rsid w:val="77C254DB"/>
    <w:rsid w:val="77F20AD7"/>
    <w:rsid w:val="78130AE0"/>
    <w:rsid w:val="78362848"/>
    <w:rsid w:val="783AA1F1"/>
    <w:rsid w:val="78764787"/>
    <w:rsid w:val="788BA428"/>
    <w:rsid w:val="789530B2"/>
    <w:rsid w:val="78983429"/>
    <w:rsid w:val="78C2B338"/>
    <w:rsid w:val="78C3E6BD"/>
    <w:rsid w:val="78CA1DC4"/>
    <w:rsid w:val="7914BBCE"/>
    <w:rsid w:val="7929C219"/>
    <w:rsid w:val="79446136"/>
    <w:rsid w:val="794EB22C"/>
    <w:rsid w:val="7952D2B8"/>
    <w:rsid w:val="7983BADD"/>
    <w:rsid w:val="79A271F5"/>
    <w:rsid w:val="79CE9BA5"/>
    <w:rsid w:val="7A0E2961"/>
    <w:rsid w:val="7A1F0FAA"/>
    <w:rsid w:val="7A3EF0B3"/>
    <w:rsid w:val="7A69F124"/>
    <w:rsid w:val="7A93C845"/>
    <w:rsid w:val="7A975D56"/>
    <w:rsid w:val="7AE02979"/>
    <w:rsid w:val="7AE06D60"/>
    <w:rsid w:val="7AE16AEC"/>
    <w:rsid w:val="7B11EE7E"/>
    <w:rsid w:val="7B614511"/>
    <w:rsid w:val="7B69201E"/>
    <w:rsid w:val="7B8590A3"/>
    <w:rsid w:val="7BBDEA0B"/>
    <w:rsid w:val="7BD1AD61"/>
    <w:rsid w:val="7C2A8AA5"/>
    <w:rsid w:val="7C3264DA"/>
    <w:rsid w:val="7C36E2BC"/>
    <w:rsid w:val="7C3A3B94"/>
    <w:rsid w:val="7C4715AE"/>
    <w:rsid w:val="7C5CA1A5"/>
    <w:rsid w:val="7C6C9FD1"/>
    <w:rsid w:val="7C85388D"/>
    <w:rsid w:val="7D145939"/>
    <w:rsid w:val="7D2C6BED"/>
    <w:rsid w:val="7D3AA6C7"/>
    <w:rsid w:val="7D47AA1A"/>
    <w:rsid w:val="7D926410"/>
    <w:rsid w:val="7DA04E2B"/>
    <w:rsid w:val="7DACE178"/>
    <w:rsid w:val="7DD6E1B6"/>
    <w:rsid w:val="7DDAF771"/>
    <w:rsid w:val="7DE4A1A0"/>
    <w:rsid w:val="7E1AEB4A"/>
    <w:rsid w:val="7E5B07F4"/>
    <w:rsid w:val="7E7167CB"/>
    <w:rsid w:val="7E758338"/>
    <w:rsid w:val="7ED332B6"/>
    <w:rsid w:val="7ED524E9"/>
    <w:rsid w:val="7F1C9B51"/>
    <w:rsid w:val="7F266CFA"/>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5D1B49E2"/>
  <w14:defaultImageDpi w14:val="0"/>
  <w15:docId w15:val="{52628FB8-BC58-403A-8E69-9A6E53EE5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annotation text" w:uiPriority="99"/>
    <w:lsdException w:name="caption" w:semiHidden="1" w:unhideWhenUsed="1" w:qFormat="1"/>
    <w:lsdException w:name="footnote reference" w:uiPriority="99"/>
    <w:lsdException w:name="annotation reference" w:uiPriority="99"/>
    <w:lsdException w:name="Title" w:qFormat="1"/>
    <w:lsdException w:name="Default Paragraph Font" w:uiPriority="1"/>
    <w:lsdException w:name="Subtitle" w:qFormat="1"/>
    <w:lsdException w:name="Strong" w:uiPriority="22" w:qFormat="1"/>
    <w:lsdException w:name="Emphasis" w:qFormat="1"/>
    <w:lsdException w:name="Normal (Web)" w:uiPriority="99"/>
    <w:lsdException w:name="HTML Variable" w:semiHidden="1" w:unhideWhenUsed="1"/>
    <w:lsdException w:name="Normal Table" w:semiHidden="1" w:unhideWhenUsed="1"/>
    <w:lsdException w:name="No List" w:uiPriority="99"/>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08D9"/>
    <w:rPr>
      <w:rFonts w:ascii="Arial" w:hAnsi="Arial"/>
      <w:sz w:val="24"/>
      <w:szCs w:val="24"/>
      <w:lang w:eastAsia="en-US"/>
    </w:rPr>
  </w:style>
  <w:style w:type="paragraph" w:styleId="Heading1">
    <w:name w:val="heading 1"/>
    <w:basedOn w:val="Normal"/>
    <w:next w:val="Normal"/>
    <w:link w:val="Heading1Char"/>
    <w:qFormat/>
    <w:rsid w:val="00E3545D"/>
    <w:pPr>
      <w:keepNext/>
      <w:tabs>
        <w:tab w:val="right" w:pos="10206"/>
      </w:tabs>
      <w:spacing w:before="240" w:after="60"/>
      <w:outlineLvl w:val="0"/>
    </w:pPr>
    <w:rPr>
      <w:rFonts w:ascii="Arial Bold" w:hAnsi="Arial Bold" w:cs="Arial"/>
      <w:b/>
      <w:bCs/>
      <w:spacing w:val="-4"/>
      <w:kern w:val="32"/>
      <w:sz w:val="32"/>
      <w:szCs w:val="32"/>
    </w:rPr>
  </w:style>
  <w:style w:type="paragraph" w:styleId="Heading2">
    <w:name w:val="heading 2"/>
    <w:aliases w:val="EBHeading1"/>
    <w:basedOn w:val="Normal"/>
    <w:next w:val="EBBodyPara"/>
    <w:link w:val="Heading2Char"/>
    <w:qFormat/>
    <w:rsid w:val="002B7335"/>
    <w:pPr>
      <w:keepNext/>
      <w:keepLines/>
      <w:spacing w:before="480" w:after="240"/>
      <w:outlineLvl w:val="1"/>
    </w:pPr>
    <w:rPr>
      <w:rFonts w:cs="Arial"/>
      <w:bCs/>
      <w:color w:val="000000"/>
      <w:sz w:val="32"/>
      <w:szCs w:val="22"/>
      <w:lang w:eastAsia="en-GB"/>
    </w:rPr>
  </w:style>
  <w:style w:type="paragraph" w:styleId="Heading3">
    <w:name w:val="heading 3"/>
    <w:aliases w:val="EBHeading2"/>
    <w:basedOn w:val="Normal"/>
    <w:next w:val="EBBodyPara"/>
    <w:link w:val="Heading3Char"/>
    <w:qFormat/>
    <w:rsid w:val="002B7335"/>
    <w:pPr>
      <w:keepNext/>
      <w:keepLines/>
      <w:spacing w:before="360" w:after="240"/>
      <w:outlineLvl w:val="2"/>
    </w:pPr>
    <w:rPr>
      <w:rFonts w:cs="Arial"/>
      <w:b/>
      <w:bCs/>
      <w:color w:val="000000"/>
      <w:szCs w:val="22"/>
      <w:lang w:eastAsia="en-GB"/>
    </w:rPr>
  </w:style>
  <w:style w:type="paragraph" w:styleId="Heading4">
    <w:name w:val="heading 4"/>
    <w:aliases w:val="EBHeading3"/>
    <w:basedOn w:val="EBBodyPara"/>
    <w:next w:val="Normal"/>
    <w:link w:val="Heading4Char"/>
    <w:qFormat/>
    <w:rsid w:val="002B7335"/>
    <w:pPr>
      <w:spacing w:before="240"/>
      <w:outlineLvl w:val="3"/>
    </w:pPr>
    <w:rPr>
      <w:b/>
    </w:rPr>
  </w:style>
  <w:style w:type="paragraph" w:styleId="Heading5">
    <w:name w:val="heading 5"/>
    <w:aliases w:val="EBHeading4"/>
    <w:basedOn w:val="Normal"/>
    <w:next w:val="Normal"/>
    <w:link w:val="Heading5Char"/>
    <w:qFormat/>
    <w:rsid w:val="002B7335"/>
    <w:pPr>
      <w:spacing w:before="240" w:after="120"/>
      <w:outlineLvl w:val="4"/>
    </w:pPr>
    <w:rPr>
      <w:bCs/>
      <w:i/>
      <w:iCs/>
      <w:sz w:val="2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lang w:val="x-none" w:eastAsia="en-US"/>
    </w:rPr>
  </w:style>
  <w:style w:type="paragraph" w:customStyle="1" w:styleId="EBBodyPara">
    <w:name w:val="EBBodyPara"/>
    <w:basedOn w:val="BodyText"/>
    <w:rsid w:val="005A2FC0"/>
  </w:style>
  <w:style w:type="paragraph" w:styleId="BodyText">
    <w:name w:val="Body Text"/>
    <w:basedOn w:val="Normal"/>
    <w:link w:val="BodyTextChar"/>
    <w:rsid w:val="003E54B6"/>
    <w:pPr>
      <w:spacing w:after="120"/>
    </w:pPr>
    <w:rPr>
      <w:rFonts w:cs="Arial"/>
      <w:bCs/>
      <w:color w:val="000000"/>
      <w:sz w:val="22"/>
      <w:szCs w:val="22"/>
      <w:lang w:eastAsia="en-GB"/>
    </w:rPr>
  </w:style>
  <w:style w:type="character" w:customStyle="1" w:styleId="BodyTextChar">
    <w:name w:val="Body Text Char"/>
    <w:basedOn w:val="DefaultParagraphFont"/>
    <w:link w:val="BodyText"/>
    <w:locked/>
    <w:rsid w:val="0049416F"/>
    <w:rPr>
      <w:rFonts w:ascii="Arial" w:hAnsi="Arial" w:cs="Times New Roman"/>
      <w:color w:val="000000"/>
      <w:sz w:val="22"/>
      <w:lang w:val="en-GB" w:eastAsia="en-GB"/>
    </w:rPr>
  </w:style>
  <w:style w:type="character" w:customStyle="1" w:styleId="Heading2Char">
    <w:name w:val="Heading 2 Char"/>
    <w:aliases w:val="EBHeading1 Char"/>
    <w:basedOn w:val="DefaultParagraphFont"/>
    <w:link w:val="Heading2"/>
    <w:uiPriority w:val="9"/>
    <w:semiHidden/>
    <w:locked/>
    <w:rPr>
      <w:rFonts w:asciiTheme="majorHAnsi" w:eastAsiaTheme="majorEastAsia" w:hAnsiTheme="majorHAnsi" w:cs="Times New Roman"/>
      <w:b/>
      <w:bCs/>
      <w:i/>
      <w:iCs/>
      <w:sz w:val="28"/>
      <w:szCs w:val="28"/>
      <w:lang w:val="x-none" w:eastAsia="en-US"/>
    </w:rPr>
  </w:style>
  <w:style w:type="character" w:customStyle="1" w:styleId="Heading3Char">
    <w:name w:val="Heading 3 Char"/>
    <w:aliases w:val="EBHeading2 Char"/>
    <w:basedOn w:val="DefaultParagraphFont"/>
    <w:link w:val="Heading3"/>
    <w:uiPriority w:val="9"/>
    <w:semiHidden/>
    <w:locked/>
    <w:rPr>
      <w:rFonts w:asciiTheme="majorHAnsi" w:eastAsiaTheme="majorEastAsia" w:hAnsiTheme="majorHAnsi" w:cs="Times New Roman"/>
      <w:b/>
      <w:bCs/>
      <w:sz w:val="26"/>
      <w:szCs w:val="26"/>
      <w:lang w:val="x-none" w:eastAsia="en-US"/>
    </w:rPr>
  </w:style>
  <w:style w:type="character" w:customStyle="1" w:styleId="Heading4Char">
    <w:name w:val="Heading 4 Char"/>
    <w:aliases w:val="EBHeading3 Char"/>
    <w:basedOn w:val="DefaultParagraphFont"/>
    <w:link w:val="Heading4"/>
    <w:uiPriority w:val="9"/>
    <w:semiHidden/>
    <w:locked/>
    <w:rPr>
      <w:rFonts w:asciiTheme="minorHAnsi" w:eastAsiaTheme="minorEastAsia" w:hAnsiTheme="minorHAnsi" w:cs="Times New Roman"/>
      <w:b/>
      <w:bCs/>
      <w:sz w:val="28"/>
      <w:szCs w:val="28"/>
      <w:lang w:val="x-none" w:eastAsia="en-US"/>
    </w:rPr>
  </w:style>
  <w:style w:type="character" w:customStyle="1" w:styleId="Heading5Char">
    <w:name w:val="Heading 5 Char"/>
    <w:aliases w:val="EBHeading4 Char"/>
    <w:basedOn w:val="DefaultParagraphFont"/>
    <w:link w:val="Heading5"/>
    <w:uiPriority w:val="9"/>
    <w:semiHidden/>
    <w:locked/>
    <w:rPr>
      <w:rFonts w:asciiTheme="minorHAnsi" w:eastAsiaTheme="minorEastAsia" w:hAnsiTheme="minorHAnsi" w:cs="Times New Roman"/>
      <w:b/>
      <w:bCs/>
      <w:i/>
      <w:iCs/>
      <w:sz w:val="26"/>
      <w:szCs w:val="26"/>
      <w:lang w:val="x-none" w:eastAsia="en-US"/>
    </w:rPr>
  </w:style>
  <w:style w:type="paragraph" w:customStyle="1" w:styleId="IATableLabel">
    <w:name w:val="IATableLabel"/>
    <w:basedOn w:val="Normal"/>
    <w:link w:val="IATableLabelCharChar"/>
    <w:rsid w:val="00402E80"/>
    <w:pPr>
      <w:spacing w:before="50" w:after="50"/>
      <w:ind w:left="113" w:right="113"/>
    </w:pPr>
    <w:rPr>
      <w:rFonts w:eastAsia="SimSun"/>
      <w:b/>
      <w:color w:val="000000"/>
      <w:spacing w:val="-5"/>
      <w:sz w:val="20"/>
      <w:szCs w:val="20"/>
      <w:lang w:eastAsia="zh-CN"/>
    </w:rPr>
  </w:style>
  <w:style w:type="character" w:customStyle="1" w:styleId="IATableLabelCharChar">
    <w:name w:val="IATableLabel Char Char"/>
    <w:link w:val="IATableLabel"/>
    <w:locked/>
    <w:rsid w:val="00402E80"/>
    <w:rPr>
      <w:rFonts w:ascii="Arial" w:eastAsia="SimSun" w:hAnsi="Arial"/>
      <w:b/>
      <w:color w:val="000000"/>
      <w:spacing w:val="-5"/>
      <w:lang w:val="en-GB" w:eastAsia="zh-CN"/>
    </w:rPr>
  </w:style>
  <w:style w:type="paragraph" w:customStyle="1" w:styleId="IASpacer">
    <w:name w:val="IASpacer"/>
    <w:basedOn w:val="Normal"/>
    <w:rsid w:val="007208D9"/>
    <w:pPr>
      <w:spacing w:line="80" w:lineRule="exact"/>
    </w:pPr>
    <w:rPr>
      <w:rFonts w:eastAsia="SimSun"/>
      <w:sz w:val="22"/>
      <w:lang w:eastAsia="zh-CN"/>
    </w:rPr>
  </w:style>
  <w:style w:type="paragraph" w:customStyle="1" w:styleId="IATableText">
    <w:name w:val="IATableText"/>
    <w:basedOn w:val="IATableLabel"/>
    <w:link w:val="IATableTextChar"/>
    <w:rsid w:val="00220F29"/>
    <w:rPr>
      <w:b w:val="0"/>
      <w:color w:val="auto"/>
      <w:sz w:val="22"/>
    </w:rPr>
  </w:style>
  <w:style w:type="character" w:customStyle="1" w:styleId="IATableTextChar">
    <w:name w:val="IATableText Char"/>
    <w:link w:val="IATableText"/>
    <w:locked/>
    <w:rsid w:val="00220F29"/>
    <w:rPr>
      <w:rFonts w:ascii="Arial" w:eastAsia="SimSun" w:hAnsi="Arial"/>
      <w:b/>
      <w:color w:val="000000"/>
      <w:spacing w:val="-5"/>
      <w:sz w:val="22"/>
      <w:lang w:val="en-GB" w:eastAsia="zh-CN"/>
    </w:rPr>
  </w:style>
  <w:style w:type="table" w:styleId="TableGrid">
    <w:name w:val="Table Grid"/>
    <w:basedOn w:val="TableNormal"/>
    <w:uiPriority w:val="59"/>
    <w:rsid w:val="000265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7F64C7"/>
    <w:pPr>
      <w:ind w:left="113"/>
      <w:outlineLvl w:val="0"/>
    </w:pPr>
    <w:rPr>
      <w:rFonts w:cs="Arial"/>
      <w:bCs/>
      <w:color w:val="FFFFFF"/>
      <w:kern w:val="28"/>
      <w:sz w:val="32"/>
      <w:szCs w:val="32"/>
    </w:rPr>
  </w:style>
  <w:style w:type="character" w:customStyle="1" w:styleId="TitleChar">
    <w:name w:val="Title Char"/>
    <w:basedOn w:val="DefaultParagraphFont"/>
    <w:link w:val="Title"/>
    <w:locked/>
    <w:rsid w:val="00174C10"/>
    <w:rPr>
      <w:rFonts w:ascii="Arial" w:hAnsi="Arial" w:cs="Times New Roman"/>
      <w:color w:val="FFFFFF"/>
      <w:kern w:val="28"/>
      <w:sz w:val="32"/>
      <w:lang w:val="en-GB" w:eastAsia="en-US"/>
    </w:rPr>
  </w:style>
  <w:style w:type="paragraph" w:customStyle="1" w:styleId="IAHeadDept">
    <w:name w:val="IAHeadDept"/>
    <w:basedOn w:val="IATableText"/>
    <w:link w:val="IAHeadDeptChar"/>
    <w:rsid w:val="00C120C0"/>
    <w:pPr>
      <w:spacing w:after="120"/>
      <w:ind w:left="0" w:right="57"/>
    </w:pPr>
    <w:rPr>
      <w:spacing w:val="-6"/>
      <w:szCs w:val="22"/>
    </w:rPr>
  </w:style>
  <w:style w:type="character" w:customStyle="1" w:styleId="IAHeadDeptChar">
    <w:name w:val="IAHeadDept Char"/>
    <w:link w:val="IAHeadDept"/>
    <w:locked/>
    <w:rsid w:val="008031EC"/>
    <w:rPr>
      <w:rFonts w:ascii="Arial" w:eastAsia="SimSun" w:hAnsi="Arial"/>
      <w:b/>
      <w:color w:val="000000"/>
      <w:spacing w:val="-6"/>
      <w:sz w:val="22"/>
      <w:lang w:val="en-GB" w:eastAsia="zh-CN"/>
    </w:rPr>
  </w:style>
  <w:style w:type="paragraph" w:customStyle="1" w:styleId="IAHeadLabel">
    <w:name w:val="IAHeadLabel"/>
    <w:basedOn w:val="IATableLabel"/>
    <w:link w:val="IAHeadLabelChar"/>
    <w:rsid w:val="00570F8E"/>
    <w:pPr>
      <w:spacing w:before="110"/>
      <w:ind w:left="0" w:right="0"/>
    </w:pPr>
  </w:style>
  <w:style w:type="character" w:customStyle="1" w:styleId="IAHeadLabelChar">
    <w:name w:val="IAHeadLabel Char"/>
    <w:basedOn w:val="IATableLabelCharChar"/>
    <w:link w:val="IAHeadLabel"/>
    <w:locked/>
    <w:rsid w:val="00570F8E"/>
    <w:rPr>
      <w:rFonts w:ascii="Arial" w:eastAsia="SimSun" w:hAnsi="Arial" w:cs="Times New Roman"/>
      <w:b/>
      <w:color w:val="000000"/>
      <w:spacing w:val="-5"/>
      <w:lang w:val="en-GB" w:eastAsia="zh-CN" w:bidi="ar-SA"/>
    </w:rPr>
  </w:style>
  <w:style w:type="table" w:customStyle="1" w:styleId="TableIAHeading">
    <w:name w:val="Table_IAHeading"/>
    <w:basedOn w:val="TableNormal"/>
    <w:semiHidden/>
    <w:rsid w:val="006A5A2E"/>
    <w:rPr>
      <w:rFonts w:eastAsia="SimSun"/>
      <w:color w:val="FFFFFF"/>
    </w:rPr>
    <w:tblPr>
      <w:tblBorders>
        <w:top w:val="single" w:sz="12" w:space="0" w:color="008080"/>
        <w:left w:val="single" w:sz="12" w:space="0" w:color="008080"/>
        <w:bottom w:val="single" w:sz="12" w:space="0" w:color="008080"/>
        <w:right w:val="single" w:sz="12" w:space="0" w:color="008080"/>
        <w:insideH w:val="single" w:sz="12" w:space="0" w:color="008080"/>
      </w:tblBorders>
      <w:tblCellMar>
        <w:left w:w="0" w:type="dxa"/>
        <w:right w:w="0" w:type="dxa"/>
      </w:tblCellMar>
    </w:tblPr>
    <w:tcPr>
      <w:shd w:val="clear" w:color="auto" w:fill="008080"/>
    </w:tcPr>
  </w:style>
  <w:style w:type="paragraph" w:customStyle="1" w:styleId="IATableNotes">
    <w:name w:val="IATableNotes"/>
    <w:basedOn w:val="Normal"/>
    <w:link w:val="IATableNotesChar"/>
    <w:rsid w:val="006A5A2E"/>
    <w:pPr>
      <w:spacing w:before="60" w:after="60"/>
      <w:ind w:left="113" w:right="113"/>
    </w:pPr>
    <w:rPr>
      <w:rFonts w:eastAsia="SimSun"/>
      <w:sz w:val="18"/>
      <w:szCs w:val="20"/>
      <w:lang w:eastAsia="zh-CN"/>
    </w:rPr>
  </w:style>
  <w:style w:type="character" w:customStyle="1" w:styleId="IATableNotesChar">
    <w:name w:val="IATableNotes Char"/>
    <w:link w:val="IATableNotes"/>
    <w:locked/>
    <w:rsid w:val="006A5A2E"/>
    <w:rPr>
      <w:rFonts w:ascii="Arial" w:eastAsia="SimSun" w:hAnsi="Arial"/>
      <w:sz w:val="18"/>
      <w:lang w:val="en-GB" w:eastAsia="zh-CN"/>
    </w:rPr>
  </w:style>
  <w:style w:type="paragraph" w:customStyle="1" w:styleId="IASignOff">
    <w:name w:val="IASignOff"/>
    <w:basedOn w:val="IATableNotes"/>
    <w:next w:val="IATableNotes"/>
    <w:link w:val="IASignOffChar"/>
    <w:semiHidden/>
    <w:rsid w:val="006A5A2E"/>
    <w:pPr>
      <w:spacing w:before="120" w:after="120"/>
      <w:ind w:left="567" w:right="567"/>
    </w:pPr>
    <w:rPr>
      <w:b/>
      <w:bCs/>
      <w:i/>
      <w:iCs/>
    </w:rPr>
  </w:style>
  <w:style w:type="character" w:customStyle="1" w:styleId="IASignOffChar">
    <w:name w:val="IASignOff Char"/>
    <w:link w:val="IASignOff"/>
    <w:locked/>
    <w:rsid w:val="006A5A2E"/>
    <w:rPr>
      <w:rFonts w:ascii="Arial" w:eastAsia="SimSun" w:hAnsi="Arial"/>
      <w:b/>
      <w:i/>
      <w:sz w:val="18"/>
      <w:lang w:val="en-GB" w:eastAsia="zh-CN"/>
    </w:rPr>
  </w:style>
  <w:style w:type="paragraph" w:customStyle="1" w:styleId="IAHeadTitle">
    <w:name w:val="IAHeadTitle"/>
    <w:basedOn w:val="IAHeadDept"/>
    <w:link w:val="IAHeadTitleChar"/>
    <w:rsid w:val="008228A5"/>
    <w:pPr>
      <w:spacing w:before="0" w:after="0"/>
    </w:pPr>
    <w:rPr>
      <w:b/>
      <w:sz w:val="28"/>
      <w:szCs w:val="28"/>
    </w:rPr>
  </w:style>
  <w:style w:type="character" w:customStyle="1" w:styleId="IAHeadTitleChar">
    <w:name w:val="IAHeadTitle Char"/>
    <w:link w:val="IAHeadTitle"/>
    <w:locked/>
    <w:rsid w:val="008031EC"/>
    <w:rPr>
      <w:rFonts w:ascii="Arial" w:eastAsia="SimSun" w:hAnsi="Arial"/>
      <w:b/>
      <w:color w:val="000000"/>
      <w:spacing w:val="-6"/>
      <w:sz w:val="28"/>
      <w:lang w:val="en-GB" w:eastAsia="zh-CN"/>
    </w:rPr>
  </w:style>
  <w:style w:type="paragraph" w:customStyle="1" w:styleId="IASignature">
    <w:name w:val="IA Signature"/>
    <w:basedOn w:val="IATableText"/>
    <w:rsid w:val="00C67CDD"/>
    <w:pPr>
      <w:tabs>
        <w:tab w:val="left" w:leader="dot" w:pos="6804"/>
        <w:tab w:val="right" w:leader="dot" w:pos="10206"/>
      </w:tabs>
      <w:spacing w:before="0" w:after="0"/>
      <w:ind w:left="0"/>
    </w:pPr>
  </w:style>
  <w:style w:type="paragraph" w:customStyle="1" w:styleId="IASign-offlabel">
    <w:name w:val="IA Sign-off label"/>
    <w:basedOn w:val="IAHeadLabel"/>
    <w:link w:val="IASign-offlabelChar"/>
    <w:rsid w:val="00FB5CFE"/>
    <w:pPr>
      <w:spacing w:after="120"/>
    </w:pPr>
    <w:rPr>
      <w:szCs w:val="22"/>
      <w:u w:val="single"/>
    </w:rPr>
  </w:style>
  <w:style w:type="character" w:customStyle="1" w:styleId="IASign-offlabelChar">
    <w:name w:val="IA Sign-off label Char"/>
    <w:link w:val="IASign-offlabel"/>
    <w:locked/>
    <w:rsid w:val="009050B9"/>
    <w:rPr>
      <w:rFonts w:ascii="Arial" w:eastAsia="SimSun" w:hAnsi="Arial"/>
      <w:b/>
      <w:color w:val="000000"/>
      <w:spacing w:val="-5"/>
      <w:sz w:val="22"/>
      <w:u w:val="single"/>
      <w:lang w:val="en-GB" w:eastAsia="zh-CN"/>
    </w:rPr>
  </w:style>
  <w:style w:type="paragraph" w:customStyle="1" w:styleId="IASign-off">
    <w:name w:val="IA Sign-off"/>
    <w:basedOn w:val="IATableText"/>
    <w:rsid w:val="00C67CDD"/>
    <w:pPr>
      <w:spacing w:before="0" w:after="0"/>
      <w:ind w:left="0" w:right="284"/>
    </w:pPr>
    <w:rPr>
      <w:b/>
      <w:i/>
    </w:rPr>
  </w:style>
  <w:style w:type="paragraph" w:customStyle="1" w:styleId="IAHeading2">
    <w:name w:val="IAHeading2"/>
    <w:basedOn w:val="Normal"/>
    <w:semiHidden/>
    <w:rsid w:val="000A79FC"/>
    <w:pPr>
      <w:keepNext/>
      <w:keepLines/>
      <w:spacing w:before="60" w:after="60"/>
      <w:ind w:left="113" w:right="113"/>
    </w:pPr>
    <w:rPr>
      <w:rFonts w:eastAsia="SimSun"/>
      <w:b/>
      <w:sz w:val="20"/>
      <w:lang w:eastAsia="zh-CN"/>
    </w:rPr>
  </w:style>
  <w:style w:type="table" w:customStyle="1" w:styleId="TableIABox">
    <w:name w:val="Table_IABox"/>
    <w:basedOn w:val="TableNormal"/>
    <w:rsid w:val="007777A1"/>
    <w:rPr>
      <w:rFonts w:eastAsia="SimSun"/>
    </w:rPr>
    <w:tblPr>
      <w:tblBorders>
        <w:top w:val="single" w:sz="4" w:space="0" w:color="auto"/>
        <w:left w:val="single" w:sz="4" w:space="0" w:color="auto"/>
        <w:bottom w:val="single" w:sz="4" w:space="0" w:color="auto"/>
        <w:right w:val="single" w:sz="4" w:space="0" w:color="auto"/>
      </w:tblBorders>
      <w:tblCellMar>
        <w:left w:w="0" w:type="dxa"/>
        <w:right w:w="0" w:type="dxa"/>
      </w:tblCellMar>
    </w:tblPr>
  </w:style>
  <w:style w:type="paragraph" w:styleId="Header">
    <w:name w:val="header"/>
    <w:basedOn w:val="Normal"/>
    <w:link w:val="HeaderChar"/>
    <w:rsid w:val="00E96CB5"/>
    <w:pPr>
      <w:jc w:val="center"/>
    </w:pPr>
    <w:rPr>
      <w:caps/>
    </w:rPr>
  </w:style>
  <w:style w:type="character" w:customStyle="1" w:styleId="HeaderChar">
    <w:name w:val="Header Char"/>
    <w:basedOn w:val="DefaultParagraphFont"/>
    <w:link w:val="Header"/>
    <w:uiPriority w:val="99"/>
    <w:semiHidden/>
    <w:locked/>
    <w:rPr>
      <w:rFonts w:ascii="Arial" w:hAnsi="Arial" w:cs="Times New Roman"/>
      <w:sz w:val="24"/>
      <w:szCs w:val="24"/>
      <w:lang w:val="x-none" w:eastAsia="en-US"/>
    </w:rPr>
  </w:style>
  <w:style w:type="paragraph" w:styleId="Footer">
    <w:name w:val="footer"/>
    <w:basedOn w:val="Normal"/>
    <w:link w:val="FooterChar"/>
    <w:rsid w:val="000407D8"/>
    <w:pPr>
      <w:tabs>
        <w:tab w:val="center" w:pos="5132"/>
        <w:tab w:val="right" w:pos="10260"/>
      </w:tabs>
      <w:jc w:val="center"/>
    </w:pPr>
    <w:rPr>
      <w:b/>
      <w:sz w:val="18"/>
    </w:rPr>
  </w:style>
  <w:style w:type="character" w:customStyle="1" w:styleId="FooterChar">
    <w:name w:val="Footer Char"/>
    <w:basedOn w:val="DefaultParagraphFont"/>
    <w:link w:val="Footer"/>
    <w:uiPriority w:val="99"/>
    <w:semiHidden/>
    <w:locked/>
    <w:rPr>
      <w:rFonts w:ascii="Arial" w:hAnsi="Arial" w:cs="Times New Roman"/>
      <w:sz w:val="24"/>
      <w:szCs w:val="24"/>
      <w:lang w:val="x-none" w:eastAsia="en-US"/>
    </w:rPr>
  </w:style>
  <w:style w:type="character" w:styleId="PageNumber">
    <w:name w:val="page number"/>
    <w:basedOn w:val="DefaultParagraphFont"/>
    <w:rsid w:val="00EB43FD"/>
    <w:rPr>
      <w:rFonts w:cs="Times New Roman"/>
    </w:rPr>
  </w:style>
  <w:style w:type="paragraph" w:customStyle="1" w:styleId="IANotes">
    <w:name w:val="IANotes"/>
    <w:basedOn w:val="Normal"/>
    <w:semiHidden/>
    <w:rsid w:val="00650282"/>
    <w:rPr>
      <w:rFonts w:eastAsia="SimSun"/>
      <w:color w:val="008080"/>
      <w:sz w:val="22"/>
      <w:lang w:eastAsia="zh-CN"/>
    </w:rPr>
  </w:style>
  <w:style w:type="paragraph" w:customStyle="1" w:styleId="IATableHeading">
    <w:name w:val="IATableHeading"/>
    <w:basedOn w:val="IATableLabel"/>
    <w:rsid w:val="00716D5C"/>
    <w:rPr>
      <w:sz w:val="22"/>
      <w:szCs w:val="24"/>
    </w:rPr>
  </w:style>
  <w:style w:type="paragraph" w:styleId="FootnoteText">
    <w:name w:val="footnote text"/>
    <w:basedOn w:val="Normal"/>
    <w:link w:val="FootnoteTextChar"/>
    <w:uiPriority w:val="99"/>
    <w:rsid w:val="00490FF7"/>
    <w:rPr>
      <w:rFonts w:eastAsia="SimSun"/>
      <w:sz w:val="16"/>
      <w:szCs w:val="20"/>
      <w:lang w:eastAsia="zh-CN"/>
    </w:rPr>
  </w:style>
  <w:style w:type="character" w:customStyle="1" w:styleId="FootnoteTextChar">
    <w:name w:val="Footnote Text Char"/>
    <w:basedOn w:val="DefaultParagraphFont"/>
    <w:link w:val="FootnoteText"/>
    <w:uiPriority w:val="99"/>
    <w:locked/>
    <w:rPr>
      <w:rFonts w:ascii="Arial" w:hAnsi="Arial" w:cs="Times New Roman"/>
      <w:lang w:val="x-none" w:eastAsia="en-US"/>
    </w:rPr>
  </w:style>
  <w:style w:type="character" w:styleId="FootnoteReference">
    <w:name w:val="footnote reference"/>
    <w:basedOn w:val="DefaultParagraphFont"/>
    <w:uiPriority w:val="99"/>
    <w:rsid w:val="00B84190"/>
    <w:rPr>
      <w:rFonts w:cs="Times New Roman"/>
      <w:sz w:val="22"/>
      <w:vertAlign w:val="superscript"/>
    </w:rPr>
  </w:style>
  <w:style w:type="paragraph" w:styleId="BalloonText">
    <w:name w:val="Balloon Text"/>
    <w:basedOn w:val="Normal"/>
    <w:link w:val="BalloonTextChar"/>
    <w:semiHidden/>
    <w:rsid w:val="00300CED"/>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Segoe UI" w:hAnsi="Segoe UI" w:cs="Segoe UI"/>
      <w:sz w:val="18"/>
      <w:szCs w:val="18"/>
      <w:lang w:val="x-none" w:eastAsia="en-US"/>
    </w:rPr>
  </w:style>
  <w:style w:type="paragraph" w:customStyle="1" w:styleId="EBNumber">
    <w:name w:val="EBNumber"/>
    <w:basedOn w:val="BodyText"/>
    <w:rsid w:val="002B7335"/>
    <w:pPr>
      <w:numPr>
        <w:ilvl w:val="1"/>
        <w:numId w:val="1"/>
      </w:numPr>
    </w:pPr>
  </w:style>
  <w:style w:type="paragraph" w:customStyle="1" w:styleId="EBNumberRestart">
    <w:name w:val="EBNumberRestart"/>
    <w:basedOn w:val="BodyText"/>
    <w:next w:val="EBNumber"/>
    <w:rsid w:val="002B7335"/>
    <w:pPr>
      <w:numPr>
        <w:numId w:val="1"/>
      </w:numPr>
    </w:pPr>
  </w:style>
  <w:style w:type="paragraph" w:customStyle="1" w:styleId="StyleIATableText10ptRight">
    <w:name w:val="Style IATableText + 10 pt Right"/>
    <w:basedOn w:val="IATableText"/>
    <w:rsid w:val="008D39AA"/>
    <w:pPr>
      <w:ind w:left="0" w:right="57"/>
      <w:jc w:val="right"/>
    </w:pPr>
    <w:rPr>
      <w:rFonts w:eastAsia="Times New Roman"/>
      <w:sz w:val="20"/>
    </w:rPr>
  </w:style>
  <w:style w:type="paragraph" w:customStyle="1" w:styleId="SecurityClass">
    <w:name w:val="SecurityClass"/>
    <w:basedOn w:val="Header"/>
    <w:rsid w:val="00AE46AA"/>
  </w:style>
  <w:style w:type="paragraph" w:customStyle="1" w:styleId="IARefNumber">
    <w:name w:val="IARefNumber"/>
    <w:basedOn w:val="IATableText"/>
    <w:rsid w:val="001E152A"/>
    <w:pPr>
      <w:numPr>
        <w:numId w:val="2"/>
      </w:numPr>
    </w:pPr>
  </w:style>
  <w:style w:type="character" w:styleId="Hyperlink">
    <w:name w:val="Hyperlink"/>
    <w:basedOn w:val="DefaultParagraphFont"/>
    <w:rsid w:val="00B4136C"/>
    <w:rPr>
      <w:rFonts w:cs="Times New Roman"/>
      <w:color w:val="auto"/>
      <w:u w:val="single"/>
    </w:rPr>
  </w:style>
  <w:style w:type="paragraph" w:customStyle="1" w:styleId="POPBY">
    <w:name w:val="POPBY"/>
    <w:basedOn w:val="IATableLabel"/>
    <w:rsid w:val="00AB574B"/>
  </w:style>
  <w:style w:type="paragraph" w:customStyle="1" w:styleId="EBBullet">
    <w:name w:val="EBBullet"/>
    <w:basedOn w:val="BodyText"/>
    <w:rsid w:val="002B7335"/>
    <w:pPr>
      <w:numPr>
        <w:numId w:val="3"/>
      </w:numPr>
    </w:pPr>
  </w:style>
  <w:style w:type="paragraph" w:customStyle="1" w:styleId="IAHeadText">
    <w:name w:val="IAHeadText"/>
    <w:basedOn w:val="IATableText"/>
    <w:rsid w:val="00632CB9"/>
    <w:pPr>
      <w:spacing w:before="0" w:after="0"/>
      <w:ind w:left="0" w:right="57"/>
    </w:pPr>
    <w:rPr>
      <w:spacing w:val="-6"/>
    </w:rPr>
  </w:style>
  <w:style w:type="paragraph" w:customStyle="1" w:styleId="IAHeadLabel0">
    <w:name w:val="IAHeadLabel0"/>
    <w:basedOn w:val="IAHeadLabel"/>
    <w:next w:val="IAHeadTitle"/>
    <w:rsid w:val="00632CB9"/>
    <w:pPr>
      <w:spacing w:before="0"/>
    </w:pPr>
  </w:style>
  <w:style w:type="paragraph" w:customStyle="1" w:styleId="IATableLines">
    <w:name w:val="IATableLines"/>
    <w:basedOn w:val="IATableText"/>
    <w:link w:val="IATableLinesChar"/>
    <w:rsid w:val="00E82A56"/>
    <w:pPr>
      <w:spacing w:before="0" w:after="0"/>
    </w:pPr>
  </w:style>
  <w:style w:type="character" w:customStyle="1" w:styleId="IATableLinesChar">
    <w:name w:val="IATableLines Char"/>
    <w:basedOn w:val="IATableTextChar"/>
    <w:link w:val="IATableLines"/>
    <w:locked/>
    <w:rsid w:val="00174C10"/>
    <w:rPr>
      <w:rFonts w:ascii="Arial" w:eastAsia="SimSun" w:hAnsi="Arial" w:cs="Times New Roman"/>
      <w:b/>
      <w:color w:val="000000"/>
      <w:spacing w:val="-5"/>
      <w:sz w:val="22"/>
      <w:lang w:val="en-GB" w:eastAsia="zh-CN" w:bidi="ar-SA"/>
    </w:rPr>
  </w:style>
  <w:style w:type="paragraph" w:customStyle="1" w:styleId="EvidenceHeadPIR">
    <w:name w:val="EvidenceHeadPIR"/>
    <w:rsid w:val="00BE650A"/>
    <w:pPr>
      <w:spacing w:after="120"/>
    </w:pPr>
    <w:rPr>
      <w:rFonts w:ascii="Arial" w:hAnsi="Arial" w:cs="Arial"/>
      <w:bCs/>
      <w:color w:val="000000"/>
      <w:sz w:val="22"/>
      <w:szCs w:val="22"/>
    </w:rPr>
  </w:style>
  <w:style w:type="character" w:styleId="FollowedHyperlink">
    <w:name w:val="FollowedHyperlink"/>
    <w:basedOn w:val="DefaultParagraphFont"/>
    <w:rsid w:val="006D37CF"/>
    <w:rPr>
      <w:rFonts w:cs="Times New Roman"/>
      <w:color w:val="auto"/>
      <w:u w:val="single"/>
    </w:rPr>
  </w:style>
  <w:style w:type="paragraph" w:customStyle="1" w:styleId="IASpacer2">
    <w:name w:val="IASpacer2"/>
    <w:basedOn w:val="IASpacer"/>
    <w:rsid w:val="00311373"/>
    <w:pPr>
      <w:spacing w:line="40" w:lineRule="exact"/>
    </w:pPr>
  </w:style>
  <w:style w:type="paragraph" w:customStyle="1" w:styleId="POPVBY">
    <w:name w:val="POPVBY"/>
    <w:basedOn w:val="IATableLabel"/>
    <w:rsid w:val="00AB574B"/>
  </w:style>
  <w:style w:type="paragraph" w:customStyle="1" w:styleId="POTPY">
    <w:name w:val="POTPY"/>
    <w:basedOn w:val="IATableLabel"/>
    <w:rsid w:val="00F622E8"/>
  </w:style>
  <w:style w:type="paragraph" w:customStyle="1" w:styleId="PONBLow">
    <w:name w:val="PONBLow"/>
    <w:basedOn w:val="IATableLabel"/>
    <w:link w:val="PONBLowCharChar"/>
    <w:rsid w:val="00F622E8"/>
    <w:rPr>
      <w:b w:val="0"/>
      <w:szCs w:val="22"/>
    </w:rPr>
  </w:style>
  <w:style w:type="character" w:customStyle="1" w:styleId="PONBLowCharChar">
    <w:name w:val="PONBLow Char Char"/>
    <w:link w:val="PONBLow"/>
    <w:locked/>
    <w:rsid w:val="00F622E8"/>
    <w:rPr>
      <w:rFonts w:ascii="Arial" w:eastAsia="SimSun" w:hAnsi="Arial"/>
      <w:b/>
      <w:color w:val="000000"/>
      <w:spacing w:val="-5"/>
      <w:sz w:val="22"/>
      <w:lang w:val="en-GB" w:eastAsia="zh-CN"/>
    </w:rPr>
  </w:style>
  <w:style w:type="paragraph" w:customStyle="1" w:styleId="PONBHigh">
    <w:name w:val="PONBHigh"/>
    <w:basedOn w:val="IATableLabel"/>
    <w:link w:val="PONBHighChar"/>
    <w:rsid w:val="00F622E8"/>
    <w:rPr>
      <w:b w:val="0"/>
      <w:szCs w:val="22"/>
    </w:rPr>
  </w:style>
  <w:style w:type="character" w:customStyle="1" w:styleId="PONBHighChar">
    <w:name w:val="PONBHigh Char"/>
    <w:link w:val="PONBHigh"/>
    <w:locked/>
    <w:rsid w:val="00F622E8"/>
    <w:rPr>
      <w:rFonts w:ascii="Arial" w:eastAsia="SimSun" w:hAnsi="Arial"/>
      <w:b/>
      <w:color w:val="000000"/>
      <w:spacing w:val="-5"/>
      <w:sz w:val="22"/>
      <w:lang w:val="en-GB" w:eastAsia="zh-CN"/>
    </w:rPr>
  </w:style>
  <w:style w:type="paragraph" w:customStyle="1" w:styleId="PONBBestEst">
    <w:name w:val="PONBBestEst"/>
    <w:basedOn w:val="IATableLabel"/>
    <w:link w:val="PONBBestEstChar"/>
    <w:rsid w:val="00F622E8"/>
    <w:rPr>
      <w:b w:val="0"/>
      <w:szCs w:val="22"/>
    </w:rPr>
  </w:style>
  <w:style w:type="character" w:customStyle="1" w:styleId="PONBBestEstChar">
    <w:name w:val="PONBBestEst Char"/>
    <w:link w:val="PONBBestEst"/>
    <w:locked/>
    <w:rsid w:val="00F622E8"/>
    <w:rPr>
      <w:rFonts w:ascii="Arial" w:eastAsia="SimSun" w:hAnsi="Arial"/>
      <w:b/>
      <w:color w:val="000000"/>
      <w:spacing w:val="-5"/>
      <w:sz w:val="22"/>
      <w:lang w:val="en-GB" w:eastAsia="zh-CN"/>
    </w:rPr>
  </w:style>
  <w:style w:type="paragraph" w:customStyle="1" w:styleId="POTTCostsHigh">
    <w:name w:val="POTTCostsHigh"/>
    <w:basedOn w:val="IATableText"/>
    <w:rsid w:val="00B318B0"/>
    <w:pPr>
      <w:jc w:val="right"/>
    </w:pPr>
  </w:style>
  <w:style w:type="paragraph" w:customStyle="1" w:styleId="POTTCostsLow">
    <w:name w:val="POTTCostsLow"/>
    <w:basedOn w:val="POTTCostsHigh"/>
    <w:rsid w:val="00B318B0"/>
  </w:style>
  <w:style w:type="paragraph" w:customStyle="1" w:styleId="POTTCostsBest">
    <w:name w:val="POTTCostsBest"/>
    <w:basedOn w:val="IATableText"/>
    <w:rsid w:val="00B318B0"/>
    <w:pPr>
      <w:jc w:val="right"/>
    </w:pPr>
  </w:style>
  <w:style w:type="paragraph" w:customStyle="1" w:styleId="POTTCostsYear">
    <w:name w:val="POTTCostsYear"/>
    <w:basedOn w:val="IATableText"/>
    <w:rsid w:val="00B318B0"/>
    <w:pPr>
      <w:jc w:val="center"/>
    </w:pPr>
    <w:rPr>
      <w:szCs w:val="18"/>
    </w:rPr>
  </w:style>
  <w:style w:type="paragraph" w:customStyle="1" w:styleId="POAACostsLow">
    <w:name w:val="POAACostsLow"/>
    <w:basedOn w:val="IATableText"/>
    <w:rsid w:val="00B318B0"/>
    <w:pPr>
      <w:jc w:val="right"/>
    </w:pPr>
  </w:style>
  <w:style w:type="paragraph" w:customStyle="1" w:styleId="POAACostsHigh">
    <w:name w:val="POAACostsHigh"/>
    <w:basedOn w:val="POAACostsLow"/>
    <w:rsid w:val="00B318B0"/>
  </w:style>
  <w:style w:type="paragraph" w:customStyle="1" w:styleId="POAACostsBest">
    <w:name w:val="POAACostsBest"/>
    <w:basedOn w:val="IATableText"/>
    <w:rsid w:val="00B318B0"/>
    <w:pPr>
      <w:jc w:val="right"/>
    </w:pPr>
  </w:style>
  <w:style w:type="paragraph" w:customStyle="1" w:styleId="POTCCostsLow">
    <w:name w:val="POTCCostsLow"/>
    <w:basedOn w:val="IATableText"/>
    <w:rsid w:val="00B318B0"/>
    <w:pPr>
      <w:jc w:val="right"/>
    </w:pPr>
    <w:rPr>
      <w:b/>
    </w:rPr>
  </w:style>
  <w:style w:type="paragraph" w:customStyle="1" w:styleId="POTCCostsHigh">
    <w:name w:val="POTCCostsHigh"/>
    <w:basedOn w:val="IATableText"/>
    <w:rsid w:val="00B318B0"/>
    <w:pPr>
      <w:jc w:val="right"/>
    </w:pPr>
    <w:rPr>
      <w:b/>
    </w:rPr>
  </w:style>
  <w:style w:type="paragraph" w:customStyle="1" w:styleId="POTCCostsBest">
    <w:name w:val="POTCCostsBest"/>
    <w:basedOn w:val="IATableText"/>
    <w:rsid w:val="00B318B0"/>
    <w:pPr>
      <w:jc w:val="right"/>
    </w:pPr>
    <w:rPr>
      <w:b/>
    </w:rPr>
  </w:style>
  <w:style w:type="paragraph" w:customStyle="1" w:styleId="IAPOQ1">
    <w:name w:val="IAPOQ1"/>
    <w:basedOn w:val="IATableLabel"/>
    <w:rsid w:val="00B006A9"/>
  </w:style>
  <w:style w:type="paragraph" w:customStyle="1" w:styleId="IAPOA1">
    <w:name w:val="IAPOA1"/>
    <w:basedOn w:val="IATableLines"/>
    <w:rsid w:val="00B006A9"/>
  </w:style>
  <w:style w:type="paragraph" w:customStyle="1" w:styleId="IAPOQ2">
    <w:name w:val="IAPOQ2"/>
    <w:basedOn w:val="IATableLabel"/>
    <w:link w:val="IAPOQ2Char"/>
    <w:rsid w:val="00B006A9"/>
  </w:style>
  <w:style w:type="character" w:customStyle="1" w:styleId="IAPOQ2Char">
    <w:name w:val="IAPOQ2 Char"/>
    <w:basedOn w:val="IATableLabelCharChar"/>
    <w:link w:val="IAPOQ2"/>
    <w:locked/>
    <w:rsid w:val="00F1653E"/>
    <w:rPr>
      <w:rFonts w:ascii="Arial" w:eastAsia="SimSun" w:hAnsi="Arial" w:cs="Times New Roman"/>
      <w:b/>
      <w:color w:val="000000"/>
      <w:spacing w:val="-5"/>
      <w:lang w:val="en-GB" w:eastAsia="zh-CN" w:bidi="ar-SA"/>
    </w:rPr>
  </w:style>
  <w:style w:type="paragraph" w:customStyle="1" w:styleId="IAPOA2">
    <w:name w:val="IAPOA2"/>
    <w:basedOn w:val="IATableLines"/>
    <w:rsid w:val="00B006A9"/>
  </w:style>
  <w:style w:type="paragraph" w:customStyle="1" w:styleId="POTTBenLow">
    <w:name w:val="POTTBenLow"/>
    <w:basedOn w:val="POTTCostsLow"/>
    <w:rsid w:val="00B006A9"/>
  </w:style>
  <w:style w:type="paragraph" w:customStyle="1" w:styleId="POTTBenHigh">
    <w:name w:val="POTTBenHigh"/>
    <w:basedOn w:val="POTTCostsHigh"/>
    <w:rsid w:val="00B006A9"/>
  </w:style>
  <w:style w:type="paragraph" w:customStyle="1" w:styleId="POTTBenBest">
    <w:name w:val="POTTBenBest"/>
    <w:basedOn w:val="POTTCostsBest"/>
    <w:rsid w:val="00B006A9"/>
  </w:style>
  <w:style w:type="paragraph" w:customStyle="1" w:styleId="POAABenLow">
    <w:name w:val="POAABenLow"/>
    <w:basedOn w:val="POAACostsLow"/>
    <w:rsid w:val="00B006A9"/>
  </w:style>
  <w:style w:type="paragraph" w:customStyle="1" w:styleId="POAABenHigh">
    <w:name w:val="POAABenHigh"/>
    <w:basedOn w:val="POAABenLow"/>
    <w:rsid w:val="00B006A9"/>
  </w:style>
  <w:style w:type="paragraph" w:customStyle="1" w:styleId="POAABenBest">
    <w:name w:val="POAABenBest"/>
    <w:basedOn w:val="POAABenHigh"/>
    <w:rsid w:val="00B006A9"/>
  </w:style>
  <w:style w:type="paragraph" w:customStyle="1" w:styleId="POTBBenLow">
    <w:name w:val="POTBBenLow"/>
    <w:basedOn w:val="POTCCostsLow"/>
    <w:rsid w:val="00B006A9"/>
  </w:style>
  <w:style w:type="paragraph" w:customStyle="1" w:styleId="POTBBenHigh">
    <w:name w:val="POTBBenHigh"/>
    <w:basedOn w:val="POTBBenLow"/>
    <w:rsid w:val="00B006A9"/>
  </w:style>
  <w:style w:type="paragraph" w:customStyle="1" w:styleId="POTBBenBest">
    <w:name w:val="POTBBenBest"/>
    <w:basedOn w:val="POTBBenHigh"/>
    <w:rsid w:val="00B006A9"/>
  </w:style>
  <w:style w:type="paragraph" w:customStyle="1" w:styleId="IPPOQ3">
    <w:name w:val="IPPOQ3"/>
    <w:basedOn w:val="IAPOQ2"/>
    <w:link w:val="IPPOQ3Char"/>
    <w:rsid w:val="00F1653E"/>
  </w:style>
  <w:style w:type="character" w:customStyle="1" w:styleId="IPPOQ3Char">
    <w:name w:val="IPPOQ3 Char"/>
    <w:basedOn w:val="IAPOQ2Char"/>
    <w:link w:val="IPPOQ3"/>
    <w:locked/>
    <w:rsid w:val="00F1653E"/>
    <w:rPr>
      <w:rFonts w:ascii="Arial" w:eastAsia="SimSun" w:hAnsi="Arial" w:cs="Times New Roman"/>
      <w:b/>
      <w:color w:val="000000"/>
      <w:spacing w:val="-5"/>
      <w:lang w:val="en-GB" w:eastAsia="zh-CN" w:bidi="ar-SA"/>
    </w:rPr>
  </w:style>
  <w:style w:type="paragraph" w:customStyle="1" w:styleId="IAPOQ4">
    <w:name w:val="IAPOQ4"/>
    <w:basedOn w:val="IPPOQ3"/>
    <w:link w:val="IAPOQ4Char"/>
    <w:rsid w:val="00F1653E"/>
  </w:style>
  <w:style w:type="character" w:customStyle="1" w:styleId="IAPOQ4Char">
    <w:name w:val="IAPOQ4 Char"/>
    <w:basedOn w:val="IPPOQ3Char"/>
    <w:link w:val="IAPOQ4"/>
    <w:locked/>
    <w:rsid w:val="00F1653E"/>
    <w:rPr>
      <w:rFonts w:ascii="Arial" w:eastAsia="SimSun" w:hAnsi="Arial" w:cs="Times New Roman"/>
      <w:b/>
      <w:color w:val="000000"/>
      <w:spacing w:val="-5"/>
      <w:lang w:val="en-GB" w:eastAsia="zh-CN" w:bidi="ar-SA"/>
    </w:rPr>
  </w:style>
  <w:style w:type="paragraph" w:customStyle="1" w:styleId="IAPOA3">
    <w:name w:val="IAPOA3"/>
    <w:basedOn w:val="IAPOA2"/>
    <w:rsid w:val="00F1653E"/>
  </w:style>
  <w:style w:type="paragraph" w:customStyle="1" w:styleId="IAPOA4">
    <w:name w:val="IAPOA4"/>
    <w:basedOn w:val="IAPOA3"/>
    <w:rsid w:val="00F1653E"/>
  </w:style>
  <w:style w:type="paragraph" w:customStyle="1" w:styleId="IAPOA5">
    <w:name w:val="IAPOA5"/>
    <w:basedOn w:val="IAPOA4"/>
    <w:rsid w:val="00F1653E"/>
  </w:style>
  <w:style w:type="paragraph" w:customStyle="1" w:styleId="IAPOQ5">
    <w:name w:val="IAPOQ5"/>
    <w:basedOn w:val="IAPOQ4"/>
    <w:link w:val="IAPOQ5Char"/>
    <w:rsid w:val="00F1653E"/>
  </w:style>
  <w:style w:type="character" w:customStyle="1" w:styleId="IAPOQ5Char">
    <w:name w:val="IAPOQ5 Char"/>
    <w:basedOn w:val="IAPOQ4Char"/>
    <w:link w:val="IAPOQ5"/>
    <w:locked/>
    <w:rsid w:val="00F1653E"/>
    <w:rPr>
      <w:rFonts w:ascii="Arial" w:eastAsia="SimSun" w:hAnsi="Arial" w:cs="Times New Roman"/>
      <w:b/>
      <w:color w:val="000000"/>
      <w:spacing w:val="-5"/>
      <w:lang w:val="en-GB" w:eastAsia="zh-CN" w:bidi="ar-SA"/>
    </w:rPr>
  </w:style>
  <w:style w:type="paragraph" w:customStyle="1" w:styleId="IAPODisRate">
    <w:name w:val="IAPODisRate"/>
    <w:basedOn w:val="IATableLabel"/>
    <w:rsid w:val="00F1653E"/>
    <w:pPr>
      <w:ind w:left="0"/>
      <w:jc w:val="center"/>
    </w:pPr>
    <w:rPr>
      <w:b w:val="0"/>
    </w:rPr>
  </w:style>
  <w:style w:type="paragraph" w:customStyle="1" w:styleId="IAPODICost">
    <w:name w:val="IAPODICost"/>
    <w:basedOn w:val="IATableLabel"/>
    <w:link w:val="IAPODICostChar"/>
    <w:rsid w:val="000E3FD7"/>
    <w:rPr>
      <w:b w:val="0"/>
      <w:sz w:val="22"/>
      <w:szCs w:val="22"/>
    </w:rPr>
  </w:style>
  <w:style w:type="character" w:customStyle="1" w:styleId="IAPODICostChar">
    <w:name w:val="IAPODICost Char"/>
    <w:link w:val="IAPODICost"/>
    <w:locked/>
    <w:rsid w:val="000E3FD7"/>
    <w:rPr>
      <w:rFonts w:ascii="Arial" w:eastAsia="SimSun" w:hAnsi="Arial"/>
      <w:b/>
      <w:color w:val="000000"/>
      <w:spacing w:val="-5"/>
      <w:sz w:val="22"/>
      <w:lang w:val="en-GB" w:eastAsia="zh-CN"/>
    </w:rPr>
  </w:style>
  <w:style w:type="paragraph" w:customStyle="1" w:styleId="IAPODIBen">
    <w:name w:val="IAPODIBen"/>
    <w:basedOn w:val="IATableLabel"/>
    <w:link w:val="IAPODIBenChar"/>
    <w:rsid w:val="000E3FD7"/>
    <w:rPr>
      <w:b w:val="0"/>
      <w:sz w:val="22"/>
      <w:szCs w:val="22"/>
    </w:rPr>
  </w:style>
  <w:style w:type="character" w:customStyle="1" w:styleId="IAPODIBenChar">
    <w:name w:val="IAPODIBen Char"/>
    <w:link w:val="IAPODIBen"/>
    <w:locked/>
    <w:rsid w:val="000E3FD7"/>
    <w:rPr>
      <w:rFonts w:ascii="Arial" w:eastAsia="SimSun" w:hAnsi="Arial"/>
      <w:b/>
      <w:color w:val="000000"/>
      <w:spacing w:val="-5"/>
      <w:sz w:val="22"/>
      <w:lang w:val="en-GB" w:eastAsia="zh-CN"/>
    </w:rPr>
  </w:style>
  <w:style w:type="paragraph" w:customStyle="1" w:styleId="IAPODINet">
    <w:name w:val="IAPODINet"/>
    <w:basedOn w:val="IATableLabel"/>
    <w:link w:val="IAPODINetChar"/>
    <w:rsid w:val="000E3FD7"/>
    <w:rPr>
      <w:b w:val="0"/>
      <w:sz w:val="22"/>
      <w:szCs w:val="22"/>
    </w:rPr>
  </w:style>
  <w:style w:type="character" w:customStyle="1" w:styleId="IAPODINetChar">
    <w:name w:val="IAPODINet Char"/>
    <w:link w:val="IAPODINet"/>
    <w:locked/>
    <w:rsid w:val="000E3FD7"/>
    <w:rPr>
      <w:rFonts w:ascii="Arial" w:eastAsia="SimSun" w:hAnsi="Arial"/>
      <w:b/>
      <w:color w:val="000000"/>
      <w:spacing w:val="-5"/>
      <w:sz w:val="22"/>
      <w:lang w:val="en-GB" w:eastAsia="zh-CN"/>
    </w:rPr>
  </w:style>
  <w:style w:type="paragraph" w:customStyle="1" w:styleId="IAPODIOIOO">
    <w:name w:val="IAPODIOIOO"/>
    <w:basedOn w:val="IATableLabel"/>
    <w:rsid w:val="000E3FD7"/>
    <w:rPr>
      <w:b w:val="0"/>
      <w:sz w:val="22"/>
      <w:szCs w:val="22"/>
    </w:rPr>
  </w:style>
  <w:style w:type="paragraph" w:customStyle="1" w:styleId="IAPODIMQ">
    <w:name w:val="IAPODIMQ"/>
    <w:basedOn w:val="IATableText"/>
    <w:rsid w:val="000E3FD7"/>
    <w:rPr>
      <w:color w:val="000000"/>
      <w:sz w:val="20"/>
    </w:rPr>
  </w:style>
  <w:style w:type="paragraph" w:customStyle="1" w:styleId="ebbullet0">
    <w:name w:val="ebbullet"/>
    <w:basedOn w:val="Normal"/>
    <w:rsid w:val="001F5423"/>
    <w:pPr>
      <w:spacing w:before="100" w:beforeAutospacing="1" w:after="100" w:afterAutospacing="1"/>
    </w:pPr>
    <w:rPr>
      <w:rFonts w:ascii="Times New Roman" w:hAnsi="Times New Roman"/>
      <w:lang w:eastAsia="en-GB"/>
    </w:rPr>
  </w:style>
  <w:style w:type="paragraph" w:customStyle="1" w:styleId="IATitle">
    <w:name w:val="IATitle"/>
    <w:basedOn w:val="Normal"/>
    <w:rsid w:val="005F32E7"/>
    <w:pPr>
      <w:ind w:left="113"/>
    </w:pPr>
    <w:rPr>
      <w:rFonts w:eastAsia="SimSun" w:cs="Arial"/>
      <w:sz w:val="20"/>
    </w:rPr>
  </w:style>
  <w:style w:type="paragraph" w:customStyle="1" w:styleId="IANo">
    <w:name w:val="IANo"/>
    <w:basedOn w:val="Normal"/>
    <w:link w:val="IANoChar"/>
    <w:rsid w:val="005F32E7"/>
    <w:pPr>
      <w:ind w:left="113"/>
    </w:pPr>
    <w:rPr>
      <w:sz w:val="20"/>
      <w:szCs w:val="22"/>
    </w:rPr>
  </w:style>
  <w:style w:type="character" w:customStyle="1" w:styleId="IANoChar">
    <w:name w:val="IANo Char"/>
    <w:link w:val="IANo"/>
    <w:locked/>
    <w:rsid w:val="005F32E7"/>
    <w:rPr>
      <w:rFonts w:ascii="Arial" w:eastAsia="SimSun" w:hAnsi="Arial"/>
      <w:b/>
      <w:color w:val="000000"/>
      <w:spacing w:val="-6"/>
      <w:sz w:val="22"/>
      <w:lang w:val="en-GB" w:eastAsia="en-US"/>
    </w:rPr>
  </w:style>
  <w:style w:type="paragraph" w:customStyle="1" w:styleId="IALeadDept">
    <w:name w:val="IALeadDept"/>
    <w:basedOn w:val="Normal"/>
    <w:rsid w:val="005F32E7"/>
    <w:pPr>
      <w:ind w:left="113"/>
    </w:pPr>
    <w:rPr>
      <w:rFonts w:cs="Arial"/>
      <w:noProof/>
      <w:sz w:val="20"/>
    </w:rPr>
  </w:style>
  <w:style w:type="paragraph" w:customStyle="1" w:styleId="IAOtherDepts">
    <w:name w:val="IAOtherDepts"/>
    <w:basedOn w:val="IATableLabel"/>
    <w:rsid w:val="008031EC"/>
    <w:pPr>
      <w:spacing w:after="0"/>
    </w:pPr>
    <w:rPr>
      <w:b w:val="0"/>
    </w:rPr>
  </w:style>
  <w:style w:type="paragraph" w:customStyle="1" w:styleId="IADate">
    <w:name w:val="IADate"/>
    <w:basedOn w:val="IATableLabel"/>
    <w:link w:val="IADateChar"/>
    <w:rsid w:val="008031EC"/>
    <w:rPr>
      <w:b w:val="0"/>
      <w:sz w:val="22"/>
      <w:szCs w:val="22"/>
    </w:rPr>
  </w:style>
  <w:style w:type="character" w:customStyle="1" w:styleId="IADateChar">
    <w:name w:val="IADate Char"/>
    <w:link w:val="IADate"/>
    <w:locked/>
    <w:rsid w:val="00174C10"/>
    <w:rPr>
      <w:rFonts w:ascii="Arial" w:eastAsia="SimSun" w:hAnsi="Arial"/>
      <w:b/>
      <w:color w:val="000000"/>
      <w:spacing w:val="-5"/>
      <w:sz w:val="22"/>
      <w:lang w:val="en-GB" w:eastAsia="zh-CN"/>
    </w:rPr>
  </w:style>
  <w:style w:type="paragraph" w:customStyle="1" w:styleId="IAStage">
    <w:name w:val="IAStage"/>
    <w:basedOn w:val="IATableLabel"/>
    <w:link w:val="IAStageChar"/>
    <w:rsid w:val="008031EC"/>
    <w:rPr>
      <w:b w:val="0"/>
      <w:sz w:val="22"/>
    </w:rPr>
  </w:style>
  <w:style w:type="character" w:customStyle="1" w:styleId="IAStageChar">
    <w:name w:val="IAStage Char"/>
    <w:link w:val="IAStage"/>
    <w:locked/>
    <w:rsid w:val="00174C10"/>
    <w:rPr>
      <w:rFonts w:ascii="Arial" w:eastAsia="SimSun" w:hAnsi="Arial"/>
      <w:b/>
      <w:color w:val="000000"/>
      <w:spacing w:val="-5"/>
      <w:sz w:val="22"/>
      <w:lang w:val="en-GB" w:eastAsia="zh-CN"/>
    </w:rPr>
  </w:style>
  <w:style w:type="paragraph" w:customStyle="1" w:styleId="IASOI">
    <w:name w:val="IASOI"/>
    <w:basedOn w:val="IATableLabel"/>
    <w:link w:val="IASOIChar"/>
    <w:rsid w:val="008031EC"/>
    <w:rPr>
      <w:b w:val="0"/>
      <w:sz w:val="22"/>
    </w:rPr>
  </w:style>
  <w:style w:type="character" w:customStyle="1" w:styleId="IASOIChar">
    <w:name w:val="IASOI Char"/>
    <w:link w:val="IASOI"/>
    <w:locked/>
    <w:rsid w:val="00174C10"/>
    <w:rPr>
      <w:rFonts w:ascii="Arial" w:eastAsia="SimSun" w:hAnsi="Arial"/>
      <w:b/>
      <w:color w:val="000000"/>
      <w:spacing w:val="-5"/>
      <w:sz w:val="22"/>
      <w:lang w:val="en-GB" w:eastAsia="zh-CN"/>
    </w:rPr>
  </w:style>
  <w:style w:type="paragraph" w:customStyle="1" w:styleId="IATOM">
    <w:name w:val="IATOM"/>
    <w:basedOn w:val="IATableLabel"/>
    <w:link w:val="IATOMChar"/>
    <w:rsid w:val="008031EC"/>
    <w:rPr>
      <w:b w:val="0"/>
      <w:sz w:val="22"/>
    </w:rPr>
  </w:style>
  <w:style w:type="character" w:customStyle="1" w:styleId="IATOMChar">
    <w:name w:val="IATOM Char"/>
    <w:link w:val="IATOM"/>
    <w:locked/>
    <w:rsid w:val="00174C10"/>
    <w:rPr>
      <w:rFonts w:ascii="Arial" w:eastAsia="SimSun" w:hAnsi="Arial"/>
      <w:b/>
      <w:color w:val="000000"/>
      <w:spacing w:val="-5"/>
      <w:sz w:val="22"/>
      <w:lang w:val="en-GB" w:eastAsia="zh-CN"/>
    </w:rPr>
  </w:style>
  <w:style w:type="paragraph" w:customStyle="1" w:styleId="IACOE">
    <w:name w:val="IACOE"/>
    <w:basedOn w:val="Normal"/>
    <w:link w:val="IACOEChar"/>
    <w:autoRedefine/>
    <w:rsid w:val="00B225B0"/>
    <w:rPr>
      <w:rFonts w:eastAsia="SimSun"/>
      <w:spacing w:val="-5"/>
      <w:sz w:val="20"/>
      <w:lang w:eastAsia="zh-CN"/>
    </w:rPr>
  </w:style>
  <w:style w:type="character" w:customStyle="1" w:styleId="IACOEChar">
    <w:name w:val="IACOE Char"/>
    <w:link w:val="IACOE"/>
    <w:locked/>
    <w:rsid w:val="00B225B0"/>
    <w:rPr>
      <w:rFonts w:ascii="Arial" w:eastAsia="SimSun" w:hAnsi="Arial"/>
      <w:b/>
      <w:color w:val="000000"/>
      <w:spacing w:val="-5"/>
      <w:sz w:val="24"/>
      <w:lang w:val="en-GB" w:eastAsia="zh-CN"/>
    </w:rPr>
  </w:style>
  <w:style w:type="paragraph" w:customStyle="1" w:styleId="IARPC">
    <w:name w:val="IARPC"/>
    <w:basedOn w:val="Title"/>
    <w:link w:val="IARPCChar"/>
    <w:rsid w:val="00174C10"/>
    <w:rPr>
      <w:rFonts w:eastAsia="SimSun"/>
      <w:color w:val="000000"/>
      <w:sz w:val="24"/>
      <w:szCs w:val="24"/>
    </w:rPr>
  </w:style>
  <w:style w:type="character" w:customStyle="1" w:styleId="IARPCChar">
    <w:name w:val="IARPC Char"/>
    <w:link w:val="IARPC"/>
    <w:locked/>
    <w:rsid w:val="00174C10"/>
    <w:rPr>
      <w:rFonts w:ascii="Arial" w:eastAsia="SimSun" w:hAnsi="Arial"/>
      <w:color w:val="000000"/>
      <w:kern w:val="28"/>
      <w:sz w:val="24"/>
      <w:lang w:val="en-GB" w:eastAsia="en-US"/>
    </w:rPr>
  </w:style>
  <w:style w:type="paragraph" w:customStyle="1" w:styleId="IAIIOTNPV">
    <w:name w:val="IAIIOTNPV"/>
    <w:basedOn w:val="IATableLabel"/>
    <w:rsid w:val="008031EC"/>
    <w:pPr>
      <w:spacing w:before="0" w:after="0"/>
      <w:jc w:val="both"/>
    </w:pPr>
    <w:rPr>
      <w:b w:val="0"/>
      <w:sz w:val="22"/>
      <w:szCs w:val="22"/>
    </w:rPr>
  </w:style>
  <w:style w:type="paragraph" w:customStyle="1" w:styleId="IAIOBNPV">
    <w:name w:val="IAIOBNPV"/>
    <w:basedOn w:val="IATableLabel"/>
    <w:rsid w:val="008031EC"/>
    <w:pPr>
      <w:spacing w:before="0" w:after="0"/>
    </w:pPr>
    <w:rPr>
      <w:b w:val="0"/>
      <w:sz w:val="22"/>
      <w:szCs w:val="22"/>
    </w:rPr>
  </w:style>
  <w:style w:type="paragraph" w:customStyle="1" w:styleId="IAIONCTBPY">
    <w:name w:val="IAIONCTBPY"/>
    <w:basedOn w:val="IATableLabel"/>
    <w:rsid w:val="008031EC"/>
    <w:pPr>
      <w:spacing w:before="0" w:after="0"/>
    </w:pPr>
    <w:rPr>
      <w:b w:val="0"/>
      <w:sz w:val="22"/>
      <w:szCs w:val="22"/>
    </w:rPr>
  </w:style>
  <w:style w:type="paragraph" w:customStyle="1" w:styleId="IAIOInScopeInOut">
    <w:name w:val="IAIOInScopeInOut"/>
    <w:basedOn w:val="IATableLabel"/>
    <w:rsid w:val="008369A3"/>
    <w:pPr>
      <w:spacing w:before="0" w:after="0"/>
    </w:pPr>
    <w:rPr>
      <w:b w:val="0"/>
      <w:sz w:val="22"/>
      <w:szCs w:val="22"/>
    </w:rPr>
  </w:style>
  <w:style w:type="paragraph" w:customStyle="1" w:styleId="IAIOPrefMQ">
    <w:name w:val="IAIOPrefMQ"/>
    <w:basedOn w:val="IATableText"/>
    <w:rsid w:val="008369A3"/>
    <w:pPr>
      <w:spacing w:before="0" w:after="0"/>
    </w:pPr>
    <w:rPr>
      <w:color w:val="000000"/>
      <w:szCs w:val="22"/>
    </w:rPr>
  </w:style>
  <w:style w:type="paragraph" w:customStyle="1" w:styleId="IAIOQ1">
    <w:name w:val="IAIOQ1"/>
    <w:basedOn w:val="IATableLabel"/>
    <w:rsid w:val="008369A3"/>
  </w:style>
  <w:style w:type="paragraph" w:customStyle="1" w:styleId="IAIOA1">
    <w:name w:val="IAIOA1"/>
    <w:basedOn w:val="IATableLines"/>
    <w:rsid w:val="008369A3"/>
  </w:style>
  <w:style w:type="paragraph" w:customStyle="1" w:styleId="IAIOQ2">
    <w:name w:val="IAIOQ2"/>
    <w:basedOn w:val="IATableLabel"/>
    <w:rsid w:val="008369A3"/>
  </w:style>
  <w:style w:type="paragraph" w:customStyle="1" w:styleId="IAIOA2">
    <w:name w:val="IAIOA2"/>
    <w:basedOn w:val="IATableLines"/>
    <w:rsid w:val="008369A3"/>
  </w:style>
  <w:style w:type="paragraph" w:customStyle="1" w:styleId="IAIOQ3">
    <w:name w:val="IAIOQ3"/>
    <w:basedOn w:val="IATableLabel"/>
    <w:rsid w:val="008369A3"/>
  </w:style>
  <w:style w:type="paragraph" w:customStyle="1" w:styleId="IAIOA3">
    <w:name w:val="IAIOA3"/>
    <w:basedOn w:val="IATableLines"/>
    <w:rsid w:val="008369A3"/>
  </w:style>
  <w:style w:type="paragraph" w:customStyle="1" w:styleId="IAIOPolicyReview">
    <w:name w:val="IAIOPolicyReview"/>
    <w:basedOn w:val="IATableLabel"/>
    <w:link w:val="IAIOPolicyReviewChar"/>
    <w:rsid w:val="00F91F5A"/>
    <w:rPr>
      <w:b w:val="0"/>
      <w:sz w:val="22"/>
      <w:szCs w:val="22"/>
    </w:rPr>
  </w:style>
  <w:style w:type="character" w:customStyle="1" w:styleId="IAIOPolicyReviewChar">
    <w:name w:val="IAIOPolicyReview Char"/>
    <w:link w:val="IAIOPolicyReview"/>
    <w:locked/>
    <w:rsid w:val="00F91F5A"/>
    <w:rPr>
      <w:rFonts w:ascii="Arial" w:eastAsia="SimSun" w:hAnsi="Arial"/>
      <w:b/>
      <w:color w:val="000000"/>
      <w:spacing w:val="-5"/>
      <w:sz w:val="22"/>
      <w:lang w:val="en-GB" w:eastAsia="zh-CN"/>
    </w:rPr>
  </w:style>
  <w:style w:type="paragraph" w:customStyle="1" w:styleId="IAIOReviewMonth">
    <w:name w:val="IAIOReviewMonth"/>
    <w:basedOn w:val="IATableLabel"/>
    <w:link w:val="IAIOReviewMonthChar"/>
    <w:rsid w:val="00F91F5A"/>
    <w:rPr>
      <w:b w:val="0"/>
      <w:sz w:val="22"/>
      <w:szCs w:val="22"/>
    </w:rPr>
  </w:style>
  <w:style w:type="character" w:customStyle="1" w:styleId="IAIOReviewMonthChar">
    <w:name w:val="IAIOReviewMonth Char"/>
    <w:link w:val="IAIOReviewMonth"/>
    <w:locked/>
    <w:rsid w:val="00F91F5A"/>
    <w:rPr>
      <w:rFonts w:ascii="Arial" w:eastAsia="SimSun" w:hAnsi="Arial"/>
      <w:b/>
      <w:color w:val="000000"/>
      <w:spacing w:val="-5"/>
      <w:sz w:val="22"/>
      <w:lang w:val="en-GB" w:eastAsia="zh-CN"/>
    </w:rPr>
  </w:style>
  <w:style w:type="paragraph" w:customStyle="1" w:styleId="IAIOReviewYear">
    <w:name w:val="IAIOReviewYear"/>
    <w:basedOn w:val="IATableLabel"/>
    <w:link w:val="IAIOReviewYearChar"/>
    <w:rsid w:val="00F91F5A"/>
    <w:rPr>
      <w:b w:val="0"/>
      <w:sz w:val="22"/>
      <w:szCs w:val="22"/>
    </w:rPr>
  </w:style>
  <w:style w:type="character" w:customStyle="1" w:styleId="IAIOReviewYearChar">
    <w:name w:val="IAIOReviewYear Char"/>
    <w:link w:val="IAIOReviewYear"/>
    <w:locked/>
    <w:rsid w:val="00F91F5A"/>
    <w:rPr>
      <w:rFonts w:ascii="Arial" w:eastAsia="SimSun" w:hAnsi="Arial"/>
      <w:b/>
      <w:color w:val="000000"/>
      <w:spacing w:val="-5"/>
      <w:sz w:val="22"/>
      <w:lang w:val="en-GB" w:eastAsia="zh-CN"/>
    </w:rPr>
  </w:style>
  <w:style w:type="paragraph" w:customStyle="1" w:styleId="IAIOCheckEU">
    <w:name w:val="IAIOCheckEU"/>
    <w:basedOn w:val="IATableText"/>
    <w:rsid w:val="00F91F5A"/>
    <w:pPr>
      <w:spacing w:before="0" w:after="0"/>
    </w:pPr>
    <w:rPr>
      <w:sz w:val="20"/>
    </w:rPr>
  </w:style>
  <w:style w:type="paragraph" w:customStyle="1" w:styleId="IAIOCheckMicro">
    <w:name w:val="IAIOCheckMicro"/>
    <w:basedOn w:val="IATableLines"/>
    <w:link w:val="IAIOCheckMicroChar"/>
    <w:rsid w:val="00F91F5A"/>
    <w:rPr>
      <w:sz w:val="20"/>
    </w:rPr>
  </w:style>
  <w:style w:type="character" w:customStyle="1" w:styleId="IAIOCheckMicroChar">
    <w:name w:val="IAIOCheckMicro Char"/>
    <w:basedOn w:val="IATableLinesChar"/>
    <w:link w:val="IAIOCheckMicro"/>
    <w:locked/>
    <w:rsid w:val="00D478C9"/>
    <w:rPr>
      <w:rFonts w:ascii="Arial" w:eastAsia="SimSun" w:hAnsi="Arial" w:cs="Times New Roman"/>
      <w:b/>
      <w:color w:val="000000"/>
      <w:spacing w:val="-5"/>
      <w:sz w:val="22"/>
      <w:lang w:val="en-GB" w:eastAsia="zh-CN" w:bidi="ar-SA"/>
    </w:rPr>
  </w:style>
  <w:style w:type="paragraph" w:customStyle="1" w:styleId="IAIOCheck20">
    <w:name w:val="IAIOCheck20"/>
    <w:basedOn w:val="IATableLines"/>
    <w:rsid w:val="00F91F5A"/>
    <w:rPr>
      <w:sz w:val="20"/>
    </w:rPr>
  </w:style>
  <w:style w:type="paragraph" w:customStyle="1" w:styleId="IAIOCheckSmall">
    <w:name w:val="IAIOCheckSmall"/>
    <w:basedOn w:val="IATableLines"/>
    <w:link w:val="IAIOCheckSmallChar"/>
    <w:rsid w:val="00F91F5A"/>
    <w:rPr>
      <w:sz w:val="20"/>
    </w:rPr>
  </w:style>
  <w:style w:type="character" w:customStyle="1" w:styleId="IAIOCheckSmallChar">
    <w:name w:val="IAIOCheckSmall Char"/>
    <w:basedOn w:val="IATableLinesChar"/>
    <w:link w:val="IAIOCheckSmall"/>
    <w:locked/>
    <w:rsid w:val="00D478C9"/>
    <w:rPr>
      <w:rFonts w:ascii="Arial" w:eastAsia="SimSun" w:hAnsi="Arial" w:cs="Times New Roman"/>
      <w:b/>
      <w:color w:val="000000"/>
      <w:spacing w:val="-5"/>
      <w:sz w:val="22"/>
      <w:lang w:val="en-GB" w:eastAsia="zh-CN" w:bidi="ar-SA"/>
    </w:rPr>
  </w:style>
  <w:style w:type="paragraph" w:customStyle="1" w:styleId="IAIOCheckMedium">
    <w:name w:val="IAIOCheckMedium"/>
    <w:basedOn w:val="IATableLines"/>
    <w:link w:val="IAIOCheckMediumChar"/>
    <w:rsid w:val="00F91F5A"/>
    <w:rPr>
      <w:sz w:val="20"/>
    </w:rPr>
  </w:style>
  <w:style w:type="character" w:customStyle="1" w:styleId="IAIOCheckMediumChar">
    <w:name w:val="IAIOCheckMedium Char"/>
    <w:basedOn w:val="IATableLinesChar"/>
    <w:link w:val="IAIOCheckMedium"/>
    <w:locked/>
    <w:rsid w:val="00D478C9"/>
    <w:rPr>
      <w:rFonts w:ascii="Arial" w:eastAsia="SimSun" w:hAnsi="Arial" w:cs="Times New Roman"/>
      <w:b/>
      <w:color w:val="000000"/>
      <w:spacing w:val="-5"/>
      <w:sz w:val="22"/>
      <w:lang w:val="en-GB" w:eastAsia="zh-CN" w:bidi="ar-SA"/>
    </w:rPr>
  </w:style>
  <w:style w:type="paragraph" w:customStyle="1" w:styleId="IAIOCheckLarge">
    <w:name w:val="IAIOCheckLarge"/>
    <w:basedOn w:val="IATableLines"/>
    <w:link w:val="IAIOCheckLargeChar"/>
    <w:rsid w:val="00F91F5A"/>
    <w:rPr>
      <w:sz w:val="20"/>
    </w:rPr>
  </w:style>
  <w:style w:type="character" w:customStyle="1" w:styleId="IAIOCheckLargeChar">
    <w:name w:val="IAIOCheckLarge Char"/>
    <w:basedOn w:val="IATableLinesChar"/>
    <w:link w:val="IAIOCheckLarge"/>
    <w:locked/>
    <w:rsid w:val="00D478C9"/>
    <w:rPr>
      <w:rFonts w:ascii="Arial" w:eastAsia="SimSun" w:hAnsi="Arial" w:cs="Times New Roman"/>
      <w:b/>
      <w:color w:val="000000"/>
      <w:spacing w:val="-5"/>
      <w:sz w:val="22"/>
      <w:lang w:val="en-GB" w:eastAsia="zh-CN" w:bidi="ar-SA"/>
    </w:rPr>
  </w:style>
  <w:style w:type="paragraph" w:customStyle="1" w:styleId="IAIOCO2Traded">
    <w:name w:val="IAIOCO2Traded"/>
    <w:basedOn w:val="IATableLabel"/>
    <w:link w:val="IAIOCO2TradedChar"/>
    <w:rsid w:val="00F91F5A"/>
    <w:rPr>
      <w:b w:val="0"/>
      <w:sz w:val="22"/>
    </w:rPr>
  </w:style>
  <w:style w:type="character" w:customStyle="1" w:styleId="IAIOCO2TradedChar">
    <w:name w:val="IAIOCO2Traded Char"/>
    <w:link w:val="IAIOCO2Traded"/>
    <w:locked/>
    <w:rsid w:val="00D478C9"/>
    <w:rPr>
      <w:rFonts w:ascii="Arial" w:eastAsia="SimSun" w:hAnsi="Arial"/>
      <w:b/>
      <w:color w:val="000000"/>
      <w:spacing w:val="-5"/>
      <w:sz w:val="22"/>
      <w:lang w:val="en-GB" w:eastAsia="zh-CN"/>
    </w:rPr>
  </w:style>
  <w:style w:type="paragraph" w:customStyle="1" w:styleId="IAIOCO2NonTraded">
    <w:name w:val="IAIOCO2NonTraded"/>
    <w:basedOn w:val="IAIOCO2Traded"/>
    <w:rsid w:val="008155E3"/>
    <w:rPr>
      <w:sz w:val="20"/>
    </w:rPr>
  </w:style>
  <w:style w:type="paragraph" w:customStyle="1" w:styleId="IAIOtextSign">
    <w:name w:val="IAIOtextSign"/>
    <w:basedOn w:val="Normal"/>
    <w:rsid w:val="00F91F5A"/>
    <w:pPr>
      <w:jc w:val="center"/>
    </w:pPr>
  </w:style>
  <w:style w:type="paragraph" w:customStyle="1" w:styleId="IAIOSigDate">
    <w:name w:val="IAIOSigDate"/>
    <w:basedOn w:val="Normal"/>
    <w:rsid w:val="00F91F5A"/>
    <w:pPr>
      <w:jc w:val="center"/>
    </w:pPr>
    <w:rPr>
      <w:sz w:val="22"/>
      <w:szCs w:val="22"/>
    </w:rPr>
  </w:style>
  <w:style w:type="paragraph" w:customStyle="1" w:styleId="IAPODescription">
    <w:name w:val="IAPODescription"/>
    <w:basedOn w:val="IAHeadLabel"/>
    <w:link w:val="IAPODescriptionCharChar"/>
    <w:rsid w:val="00D00846"/>
    <w:pPr>
      <w:spacing w:before="50"/>
    </w:pPr>
    <w:rPr>
      <w:b w:val="0"/>
    </w:rPr>
  </w:style>
  <w:style w:type="character" w:customStyle="1" w:styleId="IAPODescriptionCharChar">
    <w:name w:val="IAPODescription Char Char"/>
    <w:basedOn w:val="IAHeadLabelChar"/>
    <w:link w:val="IAPODescription"/>
    <w:locked/>
    <w:rsid w:val="00D00846"/>
    <w:rPr>
      <w:rFonts w:ascii="Arial" w:eastAsia="SimSun" w:hAnsi="Arial" w:cs="Times New Roman"/>
      <w:b/>
      <w:color w:val="000000"/>
      <w:spacing w:val="-5"/>
      <w:lang w:val="en-GB" w:eastAsia="zh-CN" w:bidi="ar-SA"/>
    </w:rPr>
  </w:style>
  <w:style w:type="character" w:customStyle="1" w:styleId="IALabel">
    <w:name w:val="IALabel"/>
    <w:rsid w:val="009F6692"/>
    <w:rPr>
      <w:color w:val="000000"/>
      <w:sz w:val="20"/>
    </w:rPr>
  </w:style>
  <w:style w:type="character" w:styleId="CommentReference">
    <w:name w:val="annotation reference"/>
    <w:basedOn w:val="DefaultParagraphFont"/>
    <w:uiPriority w:val="99"/>
    <w:rsid w:val="00850CD9"/>
    <w:rPr>
      <w:sz w:val="16"/>
      <w:szCs w:val="16"/>
    </w:rPr>
  </w:style>
  <w:style w:type="paragraph" w:styleId="CommentText">
    <w:name w:val="annotation text"/>
    <w:basedOn w:val="Normal"/>
    <w:link w:val="CommentTextChar"/>
    <w:uiPriority w:val="99"/>
    <w:rsid w:val="00850CD9"/>
    <w:rPr>
      <w:sz w:val="20"/>
      <w:szCs w:val="20"/>
    </w:rPr>
  </w:style>
  <w:style w:type="character" w:customStyle="1" w:styleId="CommentTextChar">
    <w:name w:val="Comment Text Char"/>
    <w:basedOn w:val="DefaultParagraphFont"/>
    <w:link w:val="CommentText"/>
    <w:uiPriority w:val="99"/>
    <w:rsid w:val="00850CD9"/>
    <w:rPr>
      <w:rFonts w:ascii="Arial" w:hAnsi="Arial"/>
      <w:lang w:eastAsia="en-US"/>
    </w:rPr>
  </w:style>
  <w:style w:type="paragraph" w:styleId="CommentSubject">
    <w:name w:val="annotation subject"/>
    <w:basedOn w:val="CommentText"/>
    <w:next w:val="CommentText"/>
    <w:link w:val="CommentSubjectChar"/>
    <w:rsid w:val="00850CD9"/>
    <w:rPr>
      <w:b/>
      <w:bCs/>
    </w:rPr>
  </w:style>
  <w:style w:type="character" w:customStyle="1" w:styleId="CommentSubjectChar">
    <w:name w:val="Comment Subject Char"/>
    <w:basedOn w:val="CommentTextChar"/>
    <w:link w:val="CommentSubject"/>
    <w:rsid w:val="00850CD9"/>
    <w:rPr>
      <w:rFonts w:ascii="Arial" w:hAnsi="Arial"/>
      <w:b/>
      <w:bCs/>
      <w:lang w:eastAsia="en-US"/>
    </w:rPr>
  </w:style>
  <w:style w:type="paragraph" w:styleId="ListParagraph">
    <w:name w:val="List Paragraph"/>
    <w:aliases w:val="No Spacing,Colorful List - Accent 11,Bullet 1,List Paragrap,Colorful List - Accent 12,Bullet Styl,Bullet,No Spacing11,L,Párrafo de lista,Recommendation,Recommendati,Recommendatio,List Paragraph3,List Paragra,Maire,Dot pt,F5 List Paragraph"/>
    <w:basedOn w:val="Normal"/>
    <w:link w:val="ListParagraphChar"/>
    <w:uiPriority w:val="34"/>
    <w:qFormat/>
    <w:rsid w:val="002E1DFA"/>
    <w:pPr>
      <w:ind w:left="720"/>
    </w:pPr>
  </w:style>
  <w:style w:type="character" w:customStyle="1" w:styleId="ListParagraphChar">
    <w:name w:val="List Paragraph Char"/>
    <w:aliases w:val="No Spacing Char,Colorful List - Accent 11 Char,Bullet 1 Char,List Paragrap Char,Colorful List - Accent 12 Char,Bullet Styl Char,Bullet Char,No Spacing11 Char,L Char,Párrafo de lista Char,Recommendation Char,Recommendati Char"/>
    <w:link w:val="ListParagraph"/>
    <w:uiPriority w:val="34"/>
    <w:qFormat/>
    <w:locked/>
    <w:rsid w:val="002E1DFA"/>
    <w:rPr>
      <w:rFonts w:ascii="Arial" w:hAnsi="Arial"/>
      <w:sz w:val="24"/>
      <w:szCs w:val="24"/>
      <w:lang w:eastAsia="en-US"/>
    </w:rPr>
  </w:style>
  <w:style w:type="paragraph" w:customStyle="1" w:styleId="BodyText1">
    <w:name w:val="Body Text1"/>
    <w:link w:val="bodytextChar0"/>
    <w:autoRedefine/>
    <w:qFormat/>
    <w:rsid w:val="00B03932"/>
    <w:pPr>
      <w:widowControl w:val="0"/>
      <w:ind w:left="720"/>
    </w:pPr>
    <w:rPr>
      <w:rFonts w:ascii="Arial" w:eastAsiaTheme="minorEastAsia" w:hAnsi="Arial" w:cs="Arial"/>
      <w:color w:val="000000"/>
      <w:sz w:val="22"/>
      <w:szCs w:val="22"/>
    </w:rPr>
  </w:style>
  <w:style w:type="character" w:customStyle="1" w:styleId="bodytextChar0">
    <w:name w:val="body text Char"/>
    <w:link w:val="BodyText1"/>
    <w:rsid w:val="00020B04"/>
    <w:rPr>
      <w:rFonts w:ascii="Arial" w:eastAsiaTheme="minorEastAsia" w:hAnsi="Arial" w:cs="Arial"/>
      <w:color w:val="000000"/>
      <w:sz w:val="22"/>
      <w:szCs w:val="22"/>
    </w:rPr>
  </w:style>
  <w:style w:type="paragraph" w:customStyle="1" w:styleId="Default">
    <w:name w:val="Default"/>
    <w:rsid w:val="002E1DFA"/>
    <w:pPr>
      <w:autoSpaceDE w:val="0"/>
      <w:autoSpaceDN w:val="0"/>
      <w:adjustRightInd w:val="0"/>
    </w:pPr>
    <w:rPr>
      <w:rFonts w:ascii="Arial" w:hAnsi="Arial" w:cs="Arial"/>
      <w:color w:val="000000"/>
      <w:sz w:val="24"/>
      <w:szCs w:val="24"/>
    </w:rPr>
  </w:style>
  <w:style w:type="character" w:styleId="UnresolvedMention">
    <w:name w:val="Unresolved Mention"/>
    <w:basedOn w:val="DefaultParagraphFont"/>
    <w:uiPriority w:val="99"/>
    <w:semiHidden/>
    <w:unhideWhenUsed/>
    <w:rsid w:val="002E1DFA"/>
    <w:rPr>
      <w:color w:val="605E5C"/>
      <w:shd w:val="clear" w:color="auto" w:fill="E1DFDD"/>
    </w:rPr>
  </w:style>
  <w:style w:type="character" w:styleId="PlaceholderText">
    <w:name w:val="Placeholder Text"/>
    <w:basedOn w:val="DefaultParagraphFont"/>
    <w:uiPriority w:val="99"/>
    <w:semiHidden/>
    <w:rsid w:val="002E1DFA"/>
    <w:rPr>
      <w:color w:val="808080"/>
    </w:rPr>
  </w:style>
  <w:style w:type="character" w:styleId="Strong">
    <w:name w:val="Strong"/>
    <w:basedOn w:val="DefaultParagraphFont"/>
    <w:uiPriority w:val="22"/>
    <w:qFormat/>
    <w:rsid w:val="002E1DFA"/>
    <w:rPr>
      <w:b/>
      <w:bCs/>
    </w:rPr>
  </w:style>
  <w:style w:type="character" w:customStyle="1" w:styleId="normaltextrun">
    <w:name w:val="normaltextrun"/>
    <w:basedOn w:val="DefaultParagraphFont"/>
    <w:rsid w:val="002E1DFA"/>
  </w:style>
  <w:style w:type="character" w:customStyle="1" w:styleId="eop">
    <w:name w:val="eop"/>
    <w:basedOn w:val="DefaultParagraphFont"/>
    <w:rsid w:val="002E1DFA"/>
  </w:style>
  <w:style w:type="paragraph" w:customStyle="1" w:styleId="NormalB">
    <w:name w:val="Normal B"/>
    <w:basedOn w:val="ListParagraph"/>
    <w:link w:val="NormalBChar"/>
    <w:qFormat/>
    <w:rsid w:val="002D7D99"/>
    <w:pPr>
      <w:numPr>
        <w:numId w:val="6"/>
      </w:numPr>
      <w:spacing w:after="200" w:line="276" w:lineRule="auto"/>
      <w:jc w:val="both"/>
    </w:pPr>
    <w:rPr>
      <w:sz w:val="22"/>
    </w:rPr>
  </w:style>
  <w:style w:type="character" w:customStyle="1" w:styleId="NormalBChar">
    <w:name w:val="Normal B Char"/>
    <w:basedOn w:val="DefaultParagraphFont"/>
    <w:link w:val="NormalB"/>
    <w:rsid w:val="002D7D99"/>
    <w:rPr>
      <w:rFonts w:ascii="Arial" w:hAnsi="Arial"/>
      <w:sz w:val="22"/>
      <w:szCs w:val="24"/>
      <w:lang w:eastAsia="en-US"/>
    </w:rPr>
  </w:style>
  <w:style w:type="paragraph" w:styleId="Revision">
    <w:name w:val="Revision"/>
    <w:hidden/>
    <w:uiPriority w:val="99"/>
    <w:semiHidden/>
    <w:rsid w:val="00D023CF"/>
    <w:rPr>
      <w:rFonts w:ascii="Arial" w:hAnsi="Arial"/>
      <w:sz w:val="24"/>
      <w:szCs w:val="24"/>
      <w:lang w:eastAsia="en-US"/>
    </w:rPr>
  </w:style>
  <w:style w:type="character" w:customStyle="1" w:styleId="cf01">
    <w:name w:val="cf01"/>
    <w:basedOn w:val="DefaultParagraphFont"/>
    <w:rsid w:val="00386DB1"/>
    <w:rPr>
      <w:rFonts w:ascii="Segoe UI" w:hAnsi="Segoe UI" w:cs="Segoe UI" w:hint="default"/>
      <w:sz w:val="18"/>
      <w:szCs w:val="18"/>
    </w:rPr>
  </w:style>
  <w:style w:type="character" w:styleId="Mention">
    <w:name w:val="Mention"/>
    <w:basedOn w:val="DefaultParagraphFont"/>
    <w:uiPriority w:val="99"/>
    <w:unhideWhenUsed/>
    <w:rsid w:val="005A5B98"/>
    <w:rPr>
      <w:color w:val="2B579A"/>
      <w:shd w:val="clear" w:color="auto" w:fill="E1DFDD"/>
    </w:rPr>
  </w:style>
  <w:style w:type="paragraph" w:customStyle="1" w:styleId="pf0">
    <w:name w:val="pf0"/>
    <w:basedOn w:val="Normal"/>
    <w:rsid w:val="00326C23"/>
    <w:pPr>
      <w:spacing w:before="100" w:beforeAutospacing="1" w:after="100" w:afterAutospacing="1"/>
    </w:pPr>
    <w:rPr>
      <w:rFonts w:ascii="Times New Roman" w:hAnsi="Times New Roman"/>
      <w:lang w:eastAsia="en-GB"/>
    </w:rPr>
  </w:style>
  <w:style w:type="paragraph" w:customStyle="1" w:styleId="paragraph">
    <w:name w:val="paragraph"/>
    <w:basedOn w:val="Normal"/>
    <w:rsid w:val="009B34A9"/>
    <w:pPr>
      <w:spacing w:before="100" w:beforeAutospacing="1" w:after="100" w:afterAutospacing="1"/>
    </w:pPr>
    <w:rPr>
      <w:rFonts w:ascii="Times New Roman" w:hAnsi="Times New Roman"/>
      <w:lang w:eastAsia="en-GB"/>
    </w:rPr>
  </w:style>
  <w:style w:type="paragraph" w:customStyle="1" w:styleId="msonormal0">
    <w:name w:val="msonormal"/>
    <w:basedOn w:val="Normal"/>
    <w:rsid w:val="009F208C"/>
    <w:pPr>
      <w:spacing w:before="100" w:beforeAutospacing="1" w:after="100" w:afterAutospacing="1"/>
    </w:pPr>
    <w:rPr>
      <w:rFonts w:ascii="Times New Roman" w:hAnsi="Times New Roman"/>
      <w:lang w:eastAsia="en-GB"/>
    </w:rPr>
  </w:style>
  <w:style w:type="paragraph" w:customStyle="1" w:styleId="outlineelement">
    <w:name w:val="outlineelement"/>
    <w:basedOn w:val="Normal"/>
    <w:rsid w:val="009F208C"/>
    <w:pPr>
      <w:spacing w:before="100" w:beforeAutospacing="1" w:after="100" w:afterAutospacing="1"/>
    </w:pPr>
    <w:rPr>
      <w:rFonts w:ascii="Times New Roman" w:hAnsi="Times New Roman"/>
      <w:lang w:eastAsia="en-GB"/>
    </w:rPr>
  </w:style>
  <w:style w:type="character" w:customStyle="1" w:styleId="superscript">
    <w:name w:val="superscript"/>
    <w:basedOn w:val="DefaultParagraphFont"/>
    <w:rsid w:val="009F208C"/>
  </w:style>
  <w:style w:type="character" w:customStyle="1" w:styleId="scxw167855819">
    <w:name w:val="scxw167855819"/>
    <w:basedOn w:val="DefaultParagraphFont"/>
    <w:rsid w:val="009F208C"/>
  </w:style>
  <w:style w:type="character" w:customStyle="1" w:styleId="pagebreaktextspan">
    <w:name w:val="pagebreaktextspan"/>
    <w:basedOn w:val="DefaultParagraphFont"/>
    <w:rsid w:val="009F208C"/>
  </w:style>
  <w:style w:type="character" w:customStyle="1" w:styleId="cf11">
    <w:name w:val="cf11"/>
    <w:basedOn w:val="DefaultParagraphFont"/>
    <w:rsid w:val="001C235F"/>
    <w:rPr>
      <w:rFonts w:ascii="Segoe UI" w:hAnsi="Segoe UI" w:cs="Segoe UI" w:hint="default"/>
      <w:sz w:val="18"/>
      <w:szCs w:val="18"/>
    </w:rPr>
  </w:style>
  <w:style w:type="paragraph" w:styleId="NormalWeb">
    <w:name w:val="Normal (Web)"/>
    <w:basedOn w:val="Normal"/>
    <w:uiPriority w:val="99"/>
    <w:unhideWhenUsed/>
    <w:rsid w:val="00DA2CDF"/>
    <w:pPr>
      <w:spacing w:before="100" w:beforeAutospacing="1" w:after="100" w:afterAutospacing="1"/>
    </w:pPr>
    <w:rPr>
      <w:rFonts w:ascii="Times New Roman" w:hAnsi="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56056">
      <w:bodyDiv w:val="1"/>
      <w:marLeft w:val="0"/>
      <w:marRight w:val="0"/>
      <w:marTop w:val="0"/>
      <w:marBottom w:val="0"/>
      <w:divBdr>
        <w:top w:val="none" w:sz="0" w:space="0" w:color="auto"/>
        <w:left w:val="none" w:sz="0" w:space="0" w:color="auto"/>
        <w:bottom w:val="none" w:sz="0" w:space="0" w:color="auto"/>
        <w:right w:val="none" w:sz="0" w:space="0" w:color="auto"/>
      </w:divBdr>
    </w:div>
    <w:div w:id="221521518">
      <w:bodyDiv w:val="1"/>
      <w:marLeft w:val="0"/>
      <w:marRight w:val="0"/>
      <w:marTop w:val="0"/>
      <w:marBottom w:val="0"/>
      <w:divBdr>
        <w:top w:val="none" w:sz="0" w:space="0" w:color="auto"/>
        <w:left w:val="none" w:sz="0" w:space="0" w:color="auto"/>
        <w:bottom w:val="none" w:sz="0" w:space="0" w:color="auto"/>
        <w:right w:val="none" w:sz="0" w:space="0" w:color="auto"/>
      </w:divBdr>
    </w:div>
    <w:div w:id="331639393">
      <w:bodyDiv w:val="1"/>
      <w:marLeft w:val="0"/>
      <w:marRight w:val="0"/>
      <w:marTop w:val="0"/>
      <w:marBottom w:val="0"/>
      <w:divBdr>
        <w:top w:val="none" w:sz="0" w:space="0" w:color="auto"/>
        <w:left w:val="none" w:sz="0" w:space="0" w:color="auto"/>
        <w:bottom w:val="none" w:sz="0" w:space="0" w:color="auto"/>
        <w:right w:val="none" w:sz="0" w:space="0" w:color="auto"/>
      </w:divBdr>
      <w:divsChild>
        <w:div w:id="45108029">
          <w:marLeft w:val="0"/>
          <w:marRight w:val="0"/>
          <w:marTop w:val="0"/>
          <w:marBottom w:val="0"/>
          <w:divBdr>
            <w:top w:val="none" w:sz="0" w:space="0" w:color="auto"/>
            <w:left w:val="none" w:sz="0" w:space="0" w:color="auto"/>
            <w:bottom w:val="none" w:sz="0" w:space="0" w:color="auto"/>
            <w:right w:val="none" w:sz="0" w:space="0" w:color="auto"/>
          </w:divBdr>
          <w:divsChild>
            <w:div w:id="1629388759">
              <w:marLeft w:val="0"/>
              <w:marRight w:val="0"/>
              <w:marTop w:val="0"/>
              <w:marBottom w:val="0"/>
              <w:divBdr>
                <w:top w:val="none" w:sz="0" w:space="0" w:color="auto"/>
                <w:left w:val="none" w:sz="0" w:space="0" w:color="auto"/>
                <w:bottom w:val="none" w:sz="0" w:space="0" w:color="auto"/>
                <w:right w:val="none" w:sz="0" w:space="0" w:color="auto"/>
              </w:divBdr>
            </w:div>
          </w:divsChild>
        </w:div>
        <w:div w:id="56444618">
          <w:marLeft w:val="0"/>
          <w:marRight w:val="0"/>
          <w:marTop w:val="0"/>
          <w:marBottom w:val="0"/>
          <w:divBdr>
            <w:top w:val="none" w:sz="0" w:space="0" w:color="auto"/>
            <w:left w:val="none" w:sz="0" w:space="0" w:color="auto"/>
            <w:bottom w:val="none" w:sz="0" w:space="0" w:color="auto"/>
            <w:right w:val="none" w:sz="0" w:space="0" w:color="auto"/>
          </w:divBdr>
          <w:divsChild>
            <w:div w:id="101268928">
              <w:marLeft w:val="0"/>
              <w:marRight w:val="0"/>
              <w:marTop w:val="0"/>
              <w:marBottom w:val="0"/>
              <w:divBdr>
                <w:top w:val="none" w:sz="0" w:space="0" w:color="auto"/>
                <w:left w:val="none" w:sz="0" w:space="0" w:color="auto"/>
                <w:bottom w:val="none" w:sz="0" w:space="0" w:color="auto"/>
                <w:right w:val="none" w:sz="0" w:space="0" w:color="auto"/>
              </w:divBdr>
            </w:div>
          </w:divsChild>
        </w:div>
        <w:div w:id="163858097">
          <w:marLeft w:val="0"/>
          <w:marRight w:val="0"/>
          <w:marTop w:val="0"/>
          <w:marBottom w:val="0"/>
          <w:divBdr>
            <w:top w:val="none" w:sz="0" w:space="0" w:color="auto"/>
            <w:left w:val="none" w:sz="0" w:space="0" w:color="auto"/>
            <w:bottom w:val="none" w:sz="0" w:space="0" w:color="auto"/>
            <w:right w:val="none" w:sz="0" w:space="0" w:color="auto"/>
          </w:divBdr>
          <w:divsChild>
            <w:div w:id="1857845183">
              <w:marLeft w:val="0"/>
              <w:marRight w:val="0"/>
              <w:marTop w:val="0"/>
              <w:marBottom w:val="0"/>
              <w:divBdr>
                <w:top w:val="none" w:sz="0" w:space="0" w:color="auto"/>
                <w:left w:val="none" w:sz="0" w:space="0" w:color="auto"/>
                <w:bottom w:val="none" w:sz="0" w:space="0" w:color="auto"/>
                <w:right w:val="none" w:sz="0" w:space="0" w:color="auto"/>
              </w:divBdr>
            </w:div>
          </w:divsChild>
        </w:div>
        <w:div w:id="236788757">
          <w:marLeft w:val="0"/>
          <w:marRight w:val="0"/>
          <w:marTop w:val="0"/>
          <w:marBottom w:val="0"/>
          <w:divBdr>
            <w:top w:val="none" w:sz="0" w:space="0" w:color="auto"/>
            <w:left w:val="none" w:sz="0" w:space="0" w:color="auto"/>
            <w:bottom w:val="none" w:sz="0" w:space="0" w:color="auto"/>
            <w:right w:val="none" w:sz="0" w:space="0" w:color="auto"/>
          </w:divBdr>
          <w:divsChild>
            <w:div w:id="229120402">
              <w:marLeft w:val="0"/>
              <w:marRight w:val="0"/>
              <w:marTop w:val="0"/>
              <w:marBottom w:val="0"/>
              <w:divBdr>
                <w:top w:val="none" w:sz="0" w:space="0" w:color="auto"/>
                <w:left w:val="none" w:sz="0" w:space="0" w:color="auto"/>
                <w:bottom w:val="none" w:sz="0" w:space="0" w:color="auto"/>
                <w:right w:val="none" w:sz="0" w:space="0" w:color="auto"/>
              </w:divBdr>
            </w:div>
            <w:div w:id="385566832">
              <w:marLeft w:val="0"/>
              <w:marRight w:val="0"/>
              <w:marTop w:val="0"/>
              <w:marBottom w:val="0"/>
              <w:divBdr>
                <w:top w:val="none" w:sz="0" w:space="0" w:color="auto"/>
                <w:left w:val="none" w:sz="0" w:space="0" w:color="auto"/>
                <w:bottom w:val="none" w:sz="0" w:space="0" w:color="auto"/>
                <w:right w:val="none" w:sz="0" w:space="0" w:color="auto"/>
              </w:divBdr>
            </w:div>
          </w:divsChild>
        </w:div>
        <w:div w:id="283078047">
          <w:marLeft w:val="0"/>
          <w:marRight w:val="0"/>
          <w:marTop w:val="0"/>
          <w:marBottom w:val="0"/>
          <w:divBdr>
            <w:top w:val="none" w:sz="0" w:space="0" w:color="auto"/>
            <w:left w:val="none" w:sz="0" w:space="0" w:color="auto"/>
            <w:bottom w:val="none" w:sz="0" w:space="0" w:color="auto"/>
            <w:right w:val="none" w:sz="0" w:space="0" w:color="auto"/>
          </w:divBdr>
          <w:divsChild>
            <w:div w:id="1637951478">
              <w:marLeft w:val="0"/>
              <w:marRight w:val="0"/>
              <w:marTop w:val="0"/>
              <w:marBottom w:val="0"/>
              <w:divBdr>
                <w:top w:val="none" w:sz="0" w:space="0" w:color="auto"/>
                <w:left w:val="none" w:sz="0" w:space="0" w:color="auto"/>
                <w:bottom w:val="none" w:sz="0" w:space="0" w:color="auto"/>
                <w:right w:val="none" w:sz="0" w:space="0" w:color="auto"/>
              </w:divBdr>
            </w:div>
          </w:divsChild>
        </w:div>
        <w:div w:id="290746945">
          <w:marLeft w:val="0"/>
          <w:marRight w:val="0"/>
          <w:marTop w:val="0"/>
          <w:marBottom w:val="0"/>
          <w:divBdr>
            <w:top w:val="none" w:sz="0" w:space="0" w:color="auto"/>
            <w:left w:val="none" w:sz="0" w:space="0" w:color="auto"/>
            <w:bottom w:val="none" w:sz="0" w:space="0" w:color="auto"/>
            <w:right w:val="none" w:sz="0" w:space="0" w:color="auto"/>
          </w:divBdr>
          <w:divsChild>
            <w:div w:id="1574972596">
              <w:marLeft w:val="0"/>
              <w:marRight w:val="0"/>
              <w:marTop w:val="0"/>
              <w:marBottom w:val="0"/>
              <w:divBdr>
                <w:top w:val="none" w:sz="0" w:space="0" w:color="auto"/>
                <w:left w:val="none" w:sz="0" w:space="0" w:color="auto"/>
                <w:bottom w:val="none" w:sz="0" w:space="0" w:color="auto"/>
                <w:right w:val="none" w:sz="0" w:space="0" w:color="auto"/>
              </w:divBdr>
            </w:div>
          </w:divsChild>
        </w:div>
        <w:div w:id="318197487">
          <w:marLeft w:val="0"/>
          <w:marRight w:val="0"/>
          <w:marTop w:val="0"/>
          <w:marBottom w:val="0"/>
          <w:divBdr>
            <w:top w:val="none" w:sz="0" w:space="0" w:color="auto"/>
            <w:left w:val="none" w:sz="0" w:space="0" w:color="auto"/>
            <w:bottom w:val="none" w:sz="0" w:space="0" w:color="auto"/>
            <w:right w:val="none" w:sz="0" w:space="0" w:color="auto"/>
          </w:divBdr>
          <w:divsChild>
            <w:div w:id="1712807299">
              <w:marLeft w:val="0"/>
              <w:marRight w:val="0"/>
              <w:marTop w:val="0"/>
              <w:marBottom w:val="0"/>
              <w:divBdr>
                <w:top w:val="none" w:sz="0" w:space="0" w:color="auto"/>
                <w:left w:val="none" w:sz="0" w:space="0" w:color="auto"/>
                <w:bottom w:val="none" w:sz="0" w:space="0" w:color="auto"/>
                <w:right w:val="none" w:sz="0" w:space="0" w:color="auto"/>
              </w:divBdr>
            </w:div>
          </w:divsChild>
        </w:div>
        <w:div w:id="346489062">
          <w:marLeft w:val="0"/>
          <w:marRight w:val="0"/>
          <w:marTop w:val="0"/>
          <w:marBottom w:val="0"/>
          <w:divBdr>
            <w:top w:val="none" w:sz="0" w:space="0" w:color="auto"/>
            <w:left w:val="none" w:sz="0" w:space="0" w:color="auto"/>
            <w:bottom w:val="none" w:sz="0" w:space="0" w:color="auto"/>
            <w:right w:val="none" w:sz="0" w:space="0" w:color="auto"/>
          </w:divBdr>
          <w:divsChild>
            <w:div w:id="378281766">
              <w:marLeft w:val="0"/>
              <w:marRight w:val="0"/>
              <w:marTop w:val="0"/>
              <w:marBottom w:val="0"/>
              <w:divBdr>
                <w:top w:val="none" w:sz="0" w:space="0" w:color="auto"/>
                <w:left w:val="none" w:sz="0" w:space="0" w:color="auto"/>
                <w:bottom w:val="none" w:sz="0" w:space="0" w:color="auto"/>
                <w:right w:val="none" w:sz="0" w:space="0" w:color="auto"/>
              </w:divBdr>
            </w:div>
          </w:divsChild>
        </w:div>
        <w:div w:id="347294647">
          <w:marLeft w:val="0"/>
          <w:marRight w:val="0"/>
          <w:marTop w:val="0"/>
          <w:marBottom w:val="0"/>
          <w:divBdr>
            <w:top w:val="none" w:sz="0" w:space="0" w:color="auto"/>
            <w:left w:val="none" w:sz="0" w:space="0" w:color="auto"/>
            <w:bottom w:val="none" w:sz="0" w:space="0" w:color="auto"/>
            <w:right w:val="none" w:sz="0" w:space="0" w:color="auto"/>
          </w:divBdr>
          <w:divsChild>
            <w:div w:id="1436293883">
              <w:marLeft w:val="0"/>
              <w:marRight w:val="0"/>
              <w:marTop w:val="0"/>
              <w:marBottom w:val="0"/>
              <w:divBdr>
                <w:top w:val="none" w:sz="0" w:space="0" w:color="auto"/>
                <w:left w:val="none" w:sz="0" w:space="0" w:color="auto"/>
                <w:bottom w:val="none" w:sz="0" w:space="0" w:color="auto"/>
                <w:right w:val="none" w:sz="0" w:space="0" w:color="auto"/>
              </w:divBdr>
            </w:div>
          </w:divsChild>
        </w:div>
        <w:div w:id="505021378">
          <w:marLeft w:val="0"/>
          <w:marRight w:val="0"/>
          <w:marTop w:val="0"/>
          <w:marBottom w:val="0"/>
          <w:divBdr>
            <w:top w:val="none" w:sz="0" w:space="0" w:color="auto"/>
            <w:left w:val="none" w:sz="0" w:space="0" w:color="auto"/>
            <w:bottom w:val="none" w:sz="0" w:space="0" w:color="auto"/>
            <w:right w:val="none" w:sz="0" w:space="0" w:color="auto"/>
          </w:divBdr>
          <w:divsChild>
            <w:div w:id="1202521339">
              <w:marLeft w:val="0"/>
              <w:marRight w:val="0"/>
              <w:marTop w:val="0"/>
              <w:marBottom w:val="0"/>
              <w:divBdr>
                <w:top w:val="none" w:sz="0" w:space="0" w:color="auto"/>
                <w:left w:val="none" w:sz="0" w:space="0" w:color="auto"/>
                <w:bottom w:val="none" w:sz="0" w:space="0" w:color="auto"/>
                <w:right w:val="none" w:sz="0" w:space="0" w:color="auto"/>
              </w:divBdr>
            </w:div>
          </w:divsChild>
        </w:div>
        <w:div w:id="688147476">
          <w:marLeft w:val="0"/>
          <w:marRight w:val="0"/>
          <w:marTop w:val="0"/>
          <w:marBottom w:val="0"/>
          <w:divBdr>
            <w:top w:val="none" w:sz="0" w:space="0" w:color="auto"/>
            <w:left w:val="none" w:sz="0" w:space="0" w:color="auto"/>
            <w:bottom w:val="none" w:sz="0" w:space="0" w:color="auto"/>
            <w:right w:val="none" w:sz="0" w:space="0" w:color="auto"/>
          </w:divBdr>
          <w:divsChild>
            <w:div w:id="1151362626">
              <w:marLeft w:val="0"/>
              <w:marRight w:val="0"/>
              <w:marTop w:val="0"/>
              <w:marBottom w:val="0"/>
              <w:divBdr>
                <w:top w:val="none" w:sz="0" w:space="0" w:color="auto"/>
                <w:left w:val="none" w:sz="0" w:space="0" w:color="auto"/>
                <w:bottom w:val="none" w:sz="0" w:space="0" w:color="auto"/>
                <w:right w:val="none" w:sz="0" w:space="0" w:color="auto"/>
              </w:divBdr>
            </w:div>
          </w:divsChild>
        </w:div>
        <w:div w:id="759833234">
          <w:marLeft w:val="0"/>
          <w:marRight w:val="0"/>
          <w:marTop w:val="0"/>
          <w:marBottom w:val="0"/>
          <w:divBdr>
            <w:top w:val="none" w:sz="0" w:space="0" w:color="auto"/>
            <w:left w:val="none" w:sz="0" w:space="0" w:color="auto"/>
            <w:bottom w:val="none" w:sz="0" w:space="0" w:color="auto"/>
            <w:right w:val="none" w:sz="0" w:space="0" w:color="auto"/>
          </w:divBdr>
          <w:divsChild>
            <w:div w:id="835803303">
              <w:marLeft w:val="0"/>
              <w:marRight w:val="0"/>
              <w:marTop w:val="0"/>
              <w:marBottom w:val="0"/>
              <w:divBdr>
                <w:top w:val="none" w:sz="0" w:space="0" w:color="auto"/>
                <w:left w:val="none" w:sz="0" w:space="0" w:color="auto"/>
                <w:bottom w:val="none" w:sz="0" w:space="0" w:color="auto"/>
                <w:right w:val="none" w:sz="0" w:space="0" w:color="auto"/>
              </w:divBdr>
            </w:div>
          </w:divsChild>
        </w:div>
        <w:div w:id="1006784404">
          <w:marLeft w:val="0"/>
          <w:marRight w:val="0"/>
          <w:marTop w:val="0"/>
          <w:marBottom w:val="0"/>
          <w:divBdr>
            <w:top w:val="none" w:sz="0" w:space="0" w:color="auto"/>
            <w:left w:val="none" w:sz="0" w:space="0" w:color="auto"/>
            <w:bottom w:val="none" w:sz="0" w:space="0" w:color="auto"/>
            <w:right w:val="none" w:sz="0" w:space="0" w:color="auto"/>
          </w:divBdr>
          <w:divsChild>
            <w:div w:id="1502887028">
              <w:marLeft w:val="0"/>
              <w:marRight w:val="0"/>
              <w:marTop w:val="0"/>
              <w:marBottom w:val="0"/>
              <w:divBdr>
                <w:top w:val="none" w:sz="0" w:space="0" w:color="auto"/>
                <w:left w:val="none" w:sz="0" w:space="0" w:color="auto"/>
                <w:bottom w:val="none" w:sz="0" w:space="0" w:color="auto"/>
                <w:right w:val="none" w:sz="0" w:space="0" w:color="auto"/>
              </w:divBdr>
            </w:div>
          </w:divsChild>
        </w:div>
        <w:div w:id="1123308319">
          <w:marLeft w:val="0"/>
          <w:marRight w:val="0"/>
          <w:marTop w:val="0"/>
          <w:marBottom w:val="0"/>
          <w:divBdr>
            <w:top w:val="none" w:sz="0" w:space="0" w:color="auto"/>
            <w:left w:val="none" w:sz="0" w:space="0" w:color="auto"/>
            <w:bottom w:val="none" w:sz="0" w:space="0" w:color="auto"/>
            <w:right w:val="none" w:sz="0" w:space="0" w:color="auto"/>
          </w:divBdr>
          <w:divsChild>
            <w:div w:id="373887446">
              <w:marLeft w:val="0"/>
              <w:marRight w:val="0"/>
              <w:marTop w:val="0"/>
              <w:marBottom w:val="0"/>
              <w:divBdr>
                <w:top w:val="none" w:sz="0" w:space="0" w:color="auto"/>
                <w:left w:val="none" w:sz="0" w:space="0" w:color="auto"/>
                <w:bottom w:val="none" w:sz="0" w:space="0" w:color="auto"/>
                <w:right w:val="none" w:sz="0" w:space="0" w:color="auto"/>
              </w:divBdr>
            </w:div>
            <w:div w:id="552740501">
              <w:marLeft w:val="0"/>
              <w:marRight w:val="0"/>
              <w:marTop w:val="0"/>
              <w:marBottom w:val="0"/>
              <w:divBdr>
                <w:top w:val="none" w:sz="0" w:space="0" w:color="auto"/>
                <w:left w:val="none" w:sz="0" w:space="0" w:color="auto"/>
                <w:bottom w:val="none" w:sz="0" w:space="0" w:color="auto"/>
                <w:right w:val="none" w:sz="0" w:space="0" w:color="auto"/>
              </w:divBdr>
            </w:div>
            <w:div w:id="895626985">
              <w:marLeft w:val="0"/>
              <w:marRight w:val="0"/>
              <w:marTop w:val="0"/>
              <w:marBottom w:val="0"/>
              <w:divBdr>
                <w:top w:val="none" w:sz="0" w:space="0" w:color="auto"/>
                <w:left w:val="none" w:sz="0" w:space="0" w:color="auto"/>
                <w:bottom w:val="none" w:sz="0" w:space="0" w:color="auto"/>
                <w:right w:val="none" w:sz="0" w:space="0" w:color="auto"/>
              </w:divBdr>
            </w:div>
          </w:divsChild>
        </w:div>
        <w:div w:id="1129935299">
          <w:marLeft w:val="0"/>
          <w:marRight w:val="0"/>
          <w:marTop w:val="0"/>
          <w:marBottom w:val="0"/>
          <w:divBdr>
            <w:top w:val="none" w:sz="0" w:space="0" w:color="auto"/>
            <w:left w:val="none" w:sz="0" w:space="0" w:color="auto"/>
            <w:bottom w:val="none" w:sz="0" w:space="0" w:color="auto"/>
            <w:right w:val="none" w:sz="0" w:space="0" w:color="auto"/>
          </w:divBdr>
          <w:divsChild>
            <w:div w:id="1897858143">
              <w:marLeft w:val="0"/>
              <w:marRight w:val="0"/>
              <w:marTop w:val="0"/>
              <w:marBottom w:val="0"/>
              <w:divBdr>
                <w:top w:val="none" w:sz="0" w:space="0" w:color="auto"/>
                <w:left w:val="none" w:sz="0" w:space="0" w:color="auto"/>
                <w:bottom w:val="none" w:sz="0" w:space="0" w:color="auto"/>
                <w:right w:val="none" w:sz="0" w:space="0" w:color="auto"/>
              </w:divBdr>
            </w:div>
          </w:divsChild>
        </w:div>
        <w:div w:id="1297682419">
          <w:marLeft w:val="0"/>
          <w:marRight w:val="0"/>
          <w:marTop w:val="0"/>
          <w:marBottom w:val="0"/>
          <w:divBdr>
            <w:top w:val="none" w:sz="0" w:space="0" w:color="auto"/>
            <w:left w:val="none" w:sz="0" w:space="0" w:color="auto"/>
            <w:bottom w:val="none" w:sz="0" w:space="0" w:color="auto"/>
            <w:right w:val="none" w:sz="0" w:space="0" w:color="auto"/>
          </w:divBdr>
          <w:divsChild>
            <w:div w:id="2133134622">
              <w:marLeft w:val="0"/>
              <w:marRight w:val="0"/>
              <w:marTop w:val="0"/>
              <w:marBottom w:val="0"/>
              <w:divBdr>
                <w:top w:val="none" w:sz="0" w:space="0" w:color="auto"/>
                <w:left w:val="none" w:sz="0" w:space="0" w:color="auto"/>
                <w:bottom w:val="none" w:sz="0" w:space="0" w:color="auto"/>
                <w:right w:val="none" w:sz="0" w:space="0" w:color="auto"/>
              </w:divBdr>
            </w:div>
          </w:divsChild>
        </w:div>
        <w:div w:id="1547063728">
          <w:marLeft w:val="0"/>
          <w:marRight w:val="0"/>
          <w:marTop w:val="0"/>
          <w:marBottom w:val="0"/>
          <w:divBdr>
            <w:top w:val="none" w:sz="0" w:space="0" w:color="auto"/>
            <w:left w:val="none" w:sz="0" w:space="0" w:color="auto"/>
            <w:bottom w:val="none" w:sz="0" w:space="0" w:color="auto"/>
            <w:right w:val="none" w:sz="0" w:space="0" w:color="auto"/>
          </w:divBdr>
          <w:divsChild>
            <w:div w:id="79718333">
              <w:marLeft w:val="0"/>
              <w:marRight w:val="0"/>
              <w:marTop w:val="0"/>
              <w:marBottom w:val="0"/>
              <w:divBdr>
                <w:top w:val="none" w:sz="0" w:space="0" w:color="auto"/>
                <w:left w:val="none" w:sz="0" w:space="0" w:color="auto"/>
                <w:bottom w:val="none" w:sz="0" w:space="0" w:color="auto"/>
                <w:right w:val="none" w:sz="0" w:space="0" w:color="auto"/>
              </w:divBdr>
            </w:div>
            <w:div w:id="1325863189">
              <w:marLeft w:val="0"/>
              <w:marRight w:val="0"/>
              <w:marTop w:val="0"/>
              <w:marBottom w:val="0"/>
              <w:divBdr>
                <w:top w:val="none" w:sz="0" w:space="0" w:color="auto"/>
                <w:left w:val="none" w:sz="0" w:space="0" w:color="auto"/>
                <w:bottom w:val="none" w:sz="0" w:space="0" w:color="auto"/>
                <w:right w:val="none" w:sz="0" w:space="0" w:color="auto"/>
              </w:divBdr>
            </w:div>
          </w:divsChild>
        </w:div>
        <w:div w:id="1648628608">
          <w:marLeft w:val="0"/>
          <w:marRight w:val="0"/>
          <w:marTop w:val="0"/>
          <w:marBottom w:val="0"/>
          <w:divBdr>
            <w:top w:val="none" w:sz="0" w:space="0" w:color="auto"/>
            <w:left w:val="none" w:sz="0" w:space="0" w:color="auto"/>
            <w:bottom w:val="none" w:sz="0" w:space="0" w:color="auto"/>
            <w:right w:val="none" w:sz="0" w:space="0" w:color="auto"/>
          </w:divBdr>
          <w:divsChild>
            <w:div w:id="1043864151">
              <w:marLeft w:val="0"/>
              <w:marRight w:val="0"/>
              <w:marTop w:val="0"/>
              <w:marBottom w:val="0"/>
              <w:divBdr>
                <w:top w:val="none" w:sz="0" w:space="0" w:color="auto"/>
                <w:left w:val="none" w:sz="0" w:space="0" w:color="auto"/>
                <w:bottom w:val="none" w:sz="0" w:space="0" w:color="auto"/>
                <w:right w:val="none" w:sz="0" w:space="0" w:color="auto"/>
              </w:divBdr>
            </w:div>
            <w:div w:id="2113742089">
              <w:marLeft w:val="0"/>
              <w:marRight w:val="0"/>
              <w:marTop w:val="0"/>
              <w:marBottom w:val="0"/>
              <w:divBdr>
                <w:top w:val="none" w:sz="0" w:space="0" w:color="auto"/>
                <w:left w:val="none" w:sz="0" w:space="0" w:color="auto"/>
                <w:bottom w:val="none" w:sz="0" w:space="0" w:color="auto"/>
                <w:right w:val="none" w:sz="0" w:space="0" w:color="auto"/>
              </w:divBdr>
            </w:div>
          </w:divsChild>
        </w:div>
        <w:div w:id="1718384791">
          <w:marLeft w:val="0"/>
          <w:marRight w:val="0"/>
          <w:marTop w:val="0"/>
          <w:marBottom w:val="0"/>
          <w:divBdr>
            <w:top w:val="none" w:sz="0" w:space="0" w:color="auto"/>
            <w:left w:val="none" w:sz="0" w:space="0" w:color="auto"/>
            <w:bottom w:val="none" w:sz="0" w:space="0" w:color="auto"/>
            <w:right w:val="none" w:sz="0" w:space="0" w:color="auto"/>
          </w:divBdr>
          <w:divsChild>
            <w:div w:id="1163011477">
              <w:marLeft w:val="0"/>
              <w:marRight w:val="0"/>
              <w:marTop w:val="0"/>
              <w:marBottom w:val="0"/>
              <w:divBdr>
                <w:top w:val="none" w:sz="0" w:space="0" w:color="auto"/>
                <w:left w:val="none" w:sz="0" w:space="0" w:color="auto"/>
                <w:bottom w:val="none" w:sz="0" w:space="0" w:color="auto"/>
                <w:right w:val="none" w:sz="0" w:space="0" w:color="auto"/>
              </w:divBdr>
            </w:div>
          </w:divsChild>
        </w:div>
        <w:div w:id="1917782027">
          <w:marLeft w:val="0"/>
          <w:marRight w:val="0"/>
          <w:marTop w:val="0"/>
          <w:marBottom w:val="0"/>
          <w:divBdr>
            <w:top w:val="none" w:sz="0" w:space="0" w:color="auto"/>
            <w:left w:val="none" w:sz="0" w:space="0" w:color="auto"/>
            <w:bottom w:val="none" w:sz="0" w:space="0" w:color="auto"/>
            <w:right w:val="none" w:sz="0" w:space="0" w:color="auto"/>
          </w:divBdr>
          <w:divsChild>
            <w:div w:id="1902447406">
              <w:marLeft w:val="0"/>
              <w:marRight w:val="0"/>
              <w:marTop w:val="0"/>
              <w:marBottom w:val="0"/>
              <w:divBdr>
                <w:top w:val="none" w:sz="0" w:space="0" w:color="auto"/>
                <w:left w:val="none" w:sz="0" w:space="0" w:color="auto"/>
                <w:bottom w:val="none" w:sz="0" w:space="0" w:color="auto"/>
                <w:right w:val="none" w:sz="0" w:space="0" w:color="auto"/>
              </w:divBdr>
            </w:div>
          </w:divsChild>
        </w:div>
        <w:div w:id="2041080548">
          <w:marLeft w:val="0"/>
          <w:marRight w:val="0"/>
          <w:marTop w:val="0"/>
          <w:marBottom w:val="0"/>
          <w:divBdr>
            <w:top w:val="none" w:sz="0" w:space="0" w:color="auto"/>
            <w:left w:val="none" w:sz="0" w:space="0" w:color="auto"/>
            <w:bottom w:val="none" w:sz="0" w:space="0" w:color="auto"/>
            <w:right w:val="none" w:sz="0" w:space="0" w:color="auto"/>
          </w:divBdr>
          <w:divsChild>
            <w:div w:id="426847658">
              <w:marLeft w:val="0"/>
              <w:marRight w:val="0"/>
              <w:marTop w:val="0"/>
              <w:marBottom w:val="0"/>
              <w:divBdr>
                <w:top w:val="none" w:sz="0" w:space="0" w:color="auto"/>
                <w:left w:val="none" w:sz="0" w:space="0" w:color="auto"/>
                <w:bottom w:val="none" w:sz="0" w:space="0" w:color="auto"/>
                <w:right w:val="none" w:sz="0" w:space="0" w:color="auto"/>
              </w:divBdr>
            </w:div>
          </w:divsChild>
        </w:div>
        <w:div w:id="2056616732">
          <w:marLeft w:val="0"/>
          <w:marRight w:val="0"/>
          <w:marTop w:val="0"/>
          <w:marBottom w:val="0"/>
          <w:divBdr>
            <w:top w:val="none" w:sz="0" w:space="0" w:color="auto"/>
            <w:left w:val="none" w:sz="0" w:space="0" w:color="auto"/>
            <w:bottom w:val="none" w:sz="0" w:space="0" w:color="auto"/>
            <w:right w:val="none" w:sz="0" w:space="0" w:color="auto"/>
          </w:divBdr>
          <w:divsChild>
            <w:div w:id="11743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781915">
      <w:bodyDiv w:val="1"/>
      <w:marLeft w:val="0"/>
      <w:marRight w:val="0"/>
      <w:marTop w:val="0"/>
      <w:marBottom w:val="0"/>
      <w:divBdr>
        <w:top w:val="none" w:sz="0" w:space="0" w:color="auto"/>
        <w:left w:val="none" w:sz="0" w:space="0" w:color="auto"/>
        <w:bottom w:val="none" w:sz="0" w:space="0" w:color="auto"/>
        <w:right w:val="none" w:sz="0" w:space="0" w:color="auto"/>
      </w:divBdr>
    </w:div>
    <w:div w:id="529145620">
      <w:bodyDiv w:val="1"/>
      <w:marLeft w:val="0"/>
      <w:marRight w:val="0"/>
      <w:marTop w:val="0"/>
      <w:marBottom w:val="0"/>
      <w:divBdr>
        <w:top w:val="none" w:sz="0" w:space="0" w:color="auto"/>
        <w:left w:val="none" w:sz="0" w:space="0" w:color="auto"/>
        <w:bottom w:val="none" w:sz="0" w:space="0" w:color="auto"/>
        <w:right w:val="none" w:sz="0" w:space="0" w:color="auto"/>
      </w:divBdr>
      <w:divsChild>
        <w:div w:id="1378773123">
          <w:marLeft w:val="0"/>
          <w:marRight w:val="0"/>
          <w:marTop w:val="0"/>
          <w:marBottom w:val="0"/>
          <w:divBdr>
            <w:top w:val="none" w:sz="0" w:space="0" w:color="auto"/>
            <w:left w:val="none" w:sz="0" w:space="0" w:color="auto"/>
            <w:bottom w:val="none" w:sz="0" w:space="0" w:color="auto"/>
            <w:right w:val="none" w:sz="0" w:space="0" w:color="auto"/>
          </w:divBdr>
        </w:div>
      </w:divsChild>
    </w:div>
    <w:div w:id="612522432">
      <w:bodyDiv w:val="1"/>
      <w:marLeft w:val="0"/>
      <w:marRight w:val="0"/>
      <w:marTop w:val="0"/>
      <w:marBottom w:val="0"/>
      <w:divBdr>
        <w:top w:val="none" w:sz="0" w:space="0" w:color="auto"/>
        <w:left w:val="none" w:sz="0" w:space="0" w:color="auto"/>
        <w:bottom w:val="none" w:sz="0" w:space="0" w:color="auto"/>
        <w:right w:val="none" w:sz="0" w:space="0" w:color="auto"/>
      </w:divBdr>
    </w:div>
    <w:div w:id="906845230">
      <w:bodyDiv w:val="1"/>
      <w:marLeft w:val="0"/>
      <w:marRight w:val="0"/>
      <w:marTop w:val="0"/>
      <w:marBottom w:val="0"/>
      <w:divBdr>
        <w:top w:val="none" w:sz="0" w:space="0" w:color="auto"/>
        <w:left w:val="none" w:sz="0" w:space="0" w:color="auto"/>
        <w:bottom w:val="none" w:sz="0" w:space="0" w:color="auto"/>
        <w:right w:val="none" w:sz="0" w:space="0" w:color="auto"/>
      </w:divBdr>
    </w:div>
    <w:div w:id="997268834">
      <w:bodyDiv w:val="1"/>
      <w:marLeft w:val="0"/>
      <w:marRight w:val="0"/>
      <w:marTop w:val="0"/>
      <w:marBottom w:val="0"/>
      <w:divBdr>
        <w:top w:val="none" w:sz="0" w:space="0" w:color="auto"/>
        <w:left w:val="none" w:sz="0" w:space="0" w:color="auto"/>
        <w:bottom w:val="none" w:sz="0" w:space="0" w:color="auto"/>
        <w:right w:val="none" w:sz="0" w:space="0" w:color="auto"/>
      </w:divBdr>
      <w:divsChild>
        <w:div w:id="11340111">
          <w:marLeft w:val="0"/>
          <w:marRight w:val="0"/>
          <w:marTop w:val="0"/>
          <w:marBottom w:val="0"/>
          <w:divBdr>
            <w:top w:val="none" w:sz="0" w:space="0" w:color="auto"/>
            <w:left w:val="none" w:sz="0" w:space="0" w:color="auto"/>
            <w:bottom w:val="none" w:sz="0" w:space="0" w:color="auto"/>
            <w:right w:val="none" w:sz="0" w:space="0" w:color="auto"/>
          </w:divBdr>
        </w:div>
        <w:div w:id="34963149">
          <w:marLeft w:val="0"/>
          <w:marRight w:val="0"/>
          <w:marTop w:val="0"/>
          <w:marBottom w:val="0"/>
          <w:divBdr>
            <w:top w:val="none" w:sz="0" w:space="0" w:color="auto"/>
            <w:left w:val="none" w:sz="0" w:space="0" w:color="auto"/>
            <w:bottom w:val="none" w:sz="0" w:space="0" w:color="auto"/>
            <w:right w:val="none" w:sz="0" w:space="0" w:color="auto"/>
          </w:divBdr>
        </w:div>
        <w:div w:id="37441405">
          <w:marLeft w:val="0"/>
          <w:marRight w:val="0"/>
          <w:marTop w:val="0"/>
          <w:marBottom w:val="0"/>
          <w:divBdr>
            <w:top w:val="none" w:sz="0" w:space="0" w:color="auto"/>
            <w:left w:val="none" w:sz="0" w:space="0" w:color="auto"/>
            <w:bottom w:val="none" w:sz="0" w:space="0" w:color="auto"/>
            <w:right w:val="none" w:sz="0" w:space="0" w:color="auto"/>
          </w:divBdr>
          <w:divsChild>
            <w:div w:id="794954824">
              <w:marLeft w:val="0"/>
              <w:marRight w:val="0"/>
              <w:marTop w:val="0"/>
              <w:marBottom w:val="0"/>
              <w:divBdr>
                <w:top w:val="none" w:sz="0" w:space="0" w:color="auto"/>
                <w:left w:val="none" w:sz="0" w:space="0" w:color="auto"/>
                <w:bottom w:val="none" w:sz="0" w:space="0" w:color="auto"/>
                <w:right w:val="none" w:sz="0" w:space="0" w:color="auto"/>
              </w:divBdr>
            </w:div>
            <w:div w:id="841744843">
              <w:marLeft w:val="0"/>
              <w:marRight w:val="0"/>
              <w:marTop w:val="0"/>
              <w:marBottom w:val="0"/>
              <w:divBdr>
                <w:top w:val="none" w:sz="0" w:space="0" w:color="auto"/>
                <w:left w:val="none" w:sz="0" w:space="0" w:color="auto"/>
                <w:bottom w:val="none" w:sz="0" w:space="0" w:color="auto"/>
                <w:right w:val="none" w:sz="0" w:space="0" w:color="auto"/>
              </w:divBdr>
            </w:div>
            <w:div w:id="1171094670">
              <w:marLeft w:val="0"/>
              <w:marRight w:val="0"/>
              <w:marTop w:val="0"/>
              <w:marBottom w:val="0"/>
              <w:divBdr>
                <w:top w:val="none" w:sz="0" w:space="0" w:color="auto"/>
                <w:left w:val="none" w:sz="0" w:space="0" w:color="auto"/>
                <w:bottom w:val="none" w:sz="0" w:space="0" w:color="auto"/>
                <w:right w:val="none" w:sz="0" w:space="0" w:color="auto"/>
              </w:divBdr>
            </w:div>
            <w:div w:id="1979189695">
              <w:marLeft w:val="0"/>
              <w:marRight w:val="0"/>
              <w:marTop w:val="0"/>
              <w:marBottom w:val="0"/>
              <w:divBdr>
                <w:top w:val="none" w:sz="0" w:space="0" w:color="auto"/>
                <w:left w:val="none" w:sz="0" w:space="0" w:color="auto"/>
                <w:bottom w:val="none" w:sz="0" w:space="0" w:color="auto"/>
                <w:right w:val="none" w:sz="0" w:space="0" w:color="auto"/>
              </w:divBdr>
            </w:div>
            <w:div w:id="2056813578">
              <w:marLeft w:val="0"/>
              <w:marRight w:val="0"/>
              <w:marTop w:val="0"/>
              <w:marBottom w:val="0"/>
              <w:divBdr>
                <w:top w:val="none" w:sz="0" w:space="0" w:color="auto"/>
                <w:left w:val="none" w:sz="0" w:space="0" w:color="auto"/>
                <w:bottom w:val="none" w:sz="0" w:space="0" w:color="auto"/>
                <w:right w:val="none" w:sz="0" w:space="0" w:color="auto"/>
              </w:divBdr>
            </w:div>
          </w:divsChild>
        </w:div>
        <w:div w:id="37776982">
          <w:marLeft w:val="0"/>
          <w:marRight w:val="0"/>
          <w:marTop w:val="0"/>
          <w:marBottom w:val="0"/>
          <w:divBdr>
            <w:top w:val="none" w:sz="0" w:space="0" w:color="auto"/>
            <w:left w:val="none" w:sz="0" w:space="0" w:color="auto"/>
            <w:bottom w:val="none" w:sz="0" w:space="0" w:color="auto"/>
            <w:right w:val="none" w:sz="0" w:space="0" w:color="auto"/>
          </w:divBdr>
        </w:div>
        <w:div w:id="46345790">
          <w:marLeft w:val="0"/>
          <w:marRight w:val="0"/>
          <w:marTop w:val="0"/>
          <w:marBottom w:val="0"/>
          <w:divBdr>
            <w:top w:val="none" w:sz="0" w:space="0" w:color="auto"/>
            <w:left w:val="none" w:sz="0" w:space="0" w:color="auto"/>
            <w:bottom w:val="none" w:sz="0" w:space="0" w:color="auto"/>
            <w:right w:val="none" w:sz="0" w:space="0" w:color="auto"/>
          </w:divBdr>
        </w:div>
        <w:div w:id="48384032">
          <w:marLeft w:val="0"/>
          <w:marRight w:val="0"/>
          <w:marTop w:val="0"/>
          <w:marBottom w:val="0"/>
          <w:divBdr>
            <w:top w:val="none" w:sz="0" w:space="0" w:color="auto"/>
            <w:left w:val="none" w:sz="0" w:space="0" w:color="auto"/>
            <w:bottom w:val="none" w:sz="0" w:space="0" w:color="auto"/>
            <w:right w:val="none" w:sz="0" w:space="0" w:color="auto"/>
          </w:divBdr>
        </w:div>
        <w:div w:id="57048101">
          <w:marLeft w:val="0"/>
          <w:marRight w:val="0"/>
          <w:marTop w:val="0"/>
          <w:marBottom w:val="0"/>
          <w:divBdr>
            <w:top w:val="none" w:sz="0" w:space="0" w:color="auto"/>
            <w:left w:val="none" w:sz="0" w:space="0" w:color="auto"/>
            <w:bottom w:val="none" w:sz="0" w:space="0" w:color="auto"/>
            <w:right w:val="none" w:sz="0" w:space="0" w:color="auto"/>
          </w:divBdr>
        </w:div>
        <w:div w:id="58018353">
          <w:marLeft w:val="0"/>
          <w:marRight w:val="0"/>
          <w:marTop w:val="0"/>
          <w:marBottom w:val="0"/>
          <w:divBdr>
            <w:top w:val="none" w:sz="0" w:space="0" w:color="auto"/>
            <w:left w:val="none" w:sz="0" w:space="0" w:color="auto"/>
            <w:bottom w:val="none" w:sz="0" w:space="0" w:color="auto"/>
            <w:right w:val="none" w:sz="0" w:space="0" w:color="auto"/>
          </w:divBdr>
        </w:div>
        <w:div w:id="68695947">
          <w:marLeft w:val="0"/>
          <w:marRight w:val="0"/>
          <w:marTop w:val="0"/>
          <w:marBottom w:val="0"/>
          <w:divBdr>
            <w:top w:val="none" w:sz="0" w:space="0" w:color="auto"/>
            <w:left w:val="none" w:sz="0" w:space="0" w:color="auto"/>
            <w:bottom w:val="none" w:sz="0" w:space="0" w:color="auto"/>
            <w:right w:val="none" w:sz="0" w:space="0" w:color="auto"/>
          </w:divBdr>
        </w:div>
        <w:div w:id="83305354">
          <w:marLeft w:val="0"/>
          <w:marRight w:val="0"/>
          <w:marTop w:val="0"/>
          <w:marBottom w:val="0"/>
          <w:divBdr>
            <w:top w:val="none" w:sz="0" w:space="0" w:color="auto"/>
            <w:left w:val="none" w:sz="0" w:space="0" w:color="auto"/>
            <w:bottom w:val="none" w:sz="0" w:space="0" w:color="auto"/>
            <w:right w:val="none" w:sz="0" w:space="0" w:color="auto"/>
          </w:divBdr>
        </w:div>
        <w:div w:id="89743001">
          <w:marLeft w:val="0"/>
          <w:marRight w:val="0"/>
          <w:marTop w:val="0"/>
          <w:marBottom w:val="0"/>
          <w:divBdr>
            <w:top w:val="none" w:sz="0" w:space="0" w:color="auto"/>
            <w:left w:val="none" w:sz="0" w:space="0" w:color="auto"/>
            <w:bottom w:val="none" w:sz="0" w:space="0" w:color="auto"/>
            <w:right w:val="none" w:sz="0" w:space="0" w:color="auto"/>
          </w:divBdr>
        </w:div>
        <w:div w:id="91898041">
          <w:marLeft w:val="0"/>
          <w:marRight w:val="0"/>
          <w:marTop w:val="0"/>
          <w:marBottom w:val="0"/>
          <w:divBdr>
            <w:top w:val="none" w:sz="0" w:space="0" w:color="auto"/>
            <w:left w:val="none" w:sz="0" w:space="0" w:color="auto"/>
            <w:bottom w:val="none" w:sz="0" w:space="0" w:color="auto"/>
            <w:right w:val="none" w:sz="0" w:space="0" w:color="auto"/>
          </w:divBdr>
          <w:divsChild>
            <w:div w:id="257907746">
              <w:marLeft w:val="0"/>
              <w:marRight w:val="0"/>
              <w:marTop w:val="0"/>
              <w:marBottom w:val="0"/>
              <w:divBdr>
                <w:top w:val="none" w:sz="0" w:space="0" w:color="auto"/>
                <w:left w:val="none" w:sz="0" w:space="0" w:color="auto"/>
                <w:bottom w:val="none" w:sz="0" w:space="0" w:color="auto"/>
                <w:right w:val="none" w:sz="0" w:space="0" w:color="auto"/>
              </w:divBdr>
            </w:div>
            <w:div w:id="424694442">
              <w:marLeft w:val="0"/>
              <w:marRight w:val="0"/>
              <w:marTop w:val="0"/>
              <w:marBottom w:val="0"/>
              <w:divBdr>
                <w:top w:val="none" w:sz="0" w:space="0" w:color="auto"/>
                <w:left w:val="none" w:sz="0" w:space="0" w:color="auto"/>
                <w:bottom w:val="none" w:sz="0" w:space="0" w:color="auto"/>
                <w:right w:val="none" w:sz="0" w:space="0" w:color="auto"/>
              </w:divBdr>
            </w:div>
            <w:div w:id="629870077">
              <w:marLeft w:val="0"/>
              <w:marRight w:val="0"/>
              <w:marTop w:val="0"/>
              <w:marBottom w:val="0"/>
              <w:divBdr>
                <w:top w:val="none" w:sz="0" w:space="0" w:color="auto"/>
                <w:left w:val="none" w:sz="0" w:space="0" w:color="auto"/>
                <w:bottom w:val="none" w:sz="0" w:space="0" w:color="auto"/>
                <w:right w:val="none" w:sz="0" w:space="0" w:color="auto"/>
              </w:divBdr>
            </w:div>
            <w:div w:id="888568407">
              <w:marLeft w:val="0"/>
              <w:marRight w:val="0"/>
              <w:marTop w:val="0"/>
              <w:marBottom w:val="0"/>
              <w:divBdr>
                <w:top w:val="none" w:sz="0" w:space="0" w:color="auto"/>
                <w:left w:val="none" w:sz="0" w:space="0" w:color="auto"/>
                <w:bottom w:val="none" w:sz="0" w:space="0" w:color="auto"/>
                <w:right w:val="none" w:sz="0" w:space="0" w:color="auto"/>
              </w:divBdr>
            </w:div>
            <w:div w:id="1661274301">
              <w:marLeft w:val="0"/>
              <w:marRight w:val="0"/>
              <w:marTop w:val="0"/>
              <w:marBottom w:val="0"/>
              <w:divBdr>
                <w:top w:val="none" w:sz="0" w:space="0" w:color="auto"/>
                <w:left w:val="none" w:sz="0" w:space="0" w:color="auto"/>
                <w:bottom w:val="none" w:sz="0" w:space="0" w:color="auto"/>
                <w:right w:val="none" w:sz="0" w:space="0" w:color="auto"/>
              </w:divBdr>
            </w:div>
          </w:divsChild>
        </w:div>
        <w:div w:id="115031297">
          <w:marLeft w:val="0"/>
          <w:marRight w:val="0"/>
          <w:marTop w:val="0"/>
          <w:marBottom w:val="0"/>
          <w:divBdr>
            <w:top w:val="none" w:sz="0" w:space="0" w:color="auto"/>
            <w:left w:val="none" w:sz="0" w:space="0" w:color="auto"/>
            <w:bottom w:val="none" w:sz="0" w:space="0" w:color="auto"/>
            <w:right w:val="none" w:sz="0" w:space="0" w:color="auto"/>
          </w:divBdr>
          <w:divsChild>
            <w:div w:id="106898221">
              <w:marLeft w:val="-75"/>
              <w:marRight w:val="0"/>
              <w:marTop w:val="30"/>
              <w:marBottom w:val="30"/>
              <w:divBdr>
                <w:top w:val="none" w:sz="0" w:space="0" w:color="auto"/>
                <w:left w:val="none" w:sz="0" w:space="0" w:color="auto"/>
                <w:bottom w:val="none" w:sz="0" w:space="0" w:color="auto"/>
                <w:right w:val="none" w:sz="0" w:space="0" w:color="auto"/>
              </w:divBdr>
              <w:divsChild>
                <w:div w:id="106781675">
                  <w:marLeft w:val="0"/>
                  <w:marRight w:val="0"/>
                  <w:marTop w:val="0"/>
                  <w:marBottom w:val="0"/>
                  <w:divBdr>
                    <w:top w:val="none" w:sz="0" w:space="0" w:color="auto"/>
                    <w:left w:val="none" w:sz="0" w:space="0" w:color="auto"/>
                    <w:bottom w:val="none" w:sz="0" w:space="0" w:color="auto"/>
                    <w:right w:val="none" w:sz="0" w:space="0" w:color="auto"/>
                  </w:divBdr>
                  <w:divsChild>
                    <w:div w:id="1044716840">
                      <w:marLeft w:val="0"/>
                      <w:marRight w:val="0"/>
                      <w:marTop w:val="0"/>
                      <w:marBottom w:val="0"/>
                      <w:divBdr>
                        <w:top w:val="none" w:sz="0" w:space="0" w:color="auto"/>
                        <w:left w:val="none" w:sz="0" w:space="0" w:color="auto"/>
                        <w:bottom w:val="none" w:sz="0" w:space="0" w:color="auto"/>
                        <w:right w:val="none" w:sz="0" w:space="0" w:color="auto"/>
                      </w:divBdr>
                    </w:div>
                  </w:divsChild>
                </w:div>
                <w:div w:id="162360582">
                  <w:marLeft w:val="0"/>
                  <w:marRight w:val="0"/>
                  <w:marTop w:val="0"/>
                  <w:marBottom w:val="0"/>
                  <w:divBdr>
                    <w:top w:val="none" w:sz="0" w:space="0" w:color="auto"/>
                    <w:left w:val="none" w:sz="0" w:space="0" w:color="auto"/>
                    <w:bottom w:val="none" w:sz="0" w:space="0" w:color="auto"/>
                    <w:right w:val="none" w:sz="0" w:space="0" w:color="auto"/>
                  </w:divBdr>
                  <w:divsChild>
                    <w:div w:id="1968848340">
                      <w:marLeft w:val="0"/>
                      <w:marRight w:val="0"/>
                      <w:marTop w:val="0"/>
                      <w:marBottom w:val="0"/>
                      <w:divBdr>
                        <w:top w:val="none" w:sz="0" w:space="0" w:color="auto"/>
                        <w:left w:val="none" w:sz="0" w:space="0" w:color="auto"/>
                        <w:bottom w:val="none" w:sz="0" w:space="0" w:color="auto"/>
                        <w:right w:val="none" w:sz="0" w:space="0" w:color="auto"/>
                      </w:divBdr>
                    </w:div>
                  </w:divsChild>
                </w:div>
                <w:div w:id="172696256">
                  <w:marLeft w:val="0"/>
                  <w:marRight w:val="0"/>
                  <w:marTop w:val="0"/>
                  <w:marBottom w:val="0"/>
                  <w:divBdr>
                    <w:top w:val="none" w:sz="0" w:space="0" w:color="auto"/>
                    <w:left w:val="none" w:sz="0" w:space="0" w:color="auto"/>
                    <w:bottom w:val="none" w:sz="0" w:space="0" w:color="auto"/>
                    <w:right w:val="none" w:sz="0" w:space="0" w:color="auto"/>
                  </w:divBdr>
                  <w:divsChild>
                    <w:div w:id="1955942412">
                      <w:marLeft w:val="0"/>
                      <w:marRight w:val="0"/>
                      <w:marTop w:val="0"/>
                      <w:marBottom w:val="0"/>
                      <w:divBdr>
                        <w:top w:val="none" w:sz="0" w:space="0" w:color="auto"/>
                        <w:left w:val="none" w:sz="0" w:space="0" w:color="auto"/>
                        <w:bottom w:val="none" w:sz="0" w:space="0" w:color="auto"/>
                        <w:right w:val="none" w:sz="0" w:space="0" w:color="auto"/>
                      </w:divBdr>
                    </w:div>
                  </w:divsChild>
                </w:div>
                <w:div w:id="213809884">
                  <w:marLeft w:val="0"/>
                  <w:marRight w:val="0"/>
                  <w:marTop w:val="0"/>
                  <w:marBottom w:val="0"/>
                  <w:divBdr>
                    <w:top w:val="none" w:sz="0" w:space="0" w:color="auto"/>
                    <w:left w:val="none" w:sz="0" w:space="0" w:color="auto"/>
                    <w:bottom w:val="none" w:sz="0" w:space="0" w:color="auto"/>
                    <w:right w:val="none" w:sz="0" w:space="0" w:color="auto"/>
                  </w:divBdr>
                  <w:divsChild>
                    <w:div w:id="1006400070">
                      <w:marLeft w:val="0"/>
                      <w:marRight w:val="0"/>
                      <w:marTop w:val="0"/>
                      <w:marBottom w:val="0"/>
                      <w:divBdr>
                        <w:top w:val="none" w:sz="0" w:space="0" w:color="auto"/>
                        <w:left w:val="none" w:sz="0" w:space="0" w:color="auto"/>
                        <w:bottom w:val="none" w:sz="0" w:space="0" w:color="auto"/>
                        <w:right w:val="none" w:sz="0" w:space="0" w:color="auto"/>
                      </w:divBdr>
                    </w:div>
                  </w:divsChild>
                </w:div>
                <w:div w:id="264658626">
                  <w:marLeft w:val="0"/>
                  <w:marRight w:val="0"/>
                  <w:marTop w:val="0"/>
                  <w:marBottom w:val="0"/>
                  <w:divBdr>
                    <w:top w:val="none" w:sz="0" w:space="0" w:color="auto"/>
                    <w:left w:val="none" w:sz="0" w:space="0" w:color="auto"/>
                    <w:bottom w:val="none" w:sz="0" w:space="0" w:color="auto"/>
                    <w:right w:val="none" w:sz="0" w:space="0" w:color="auto"/>
                  </w:divBdr>
                  <w:divsChild>
                    <w:div w:id="205140766">
                      <w:marLeft w:val="0"/>
                      <w:marRight w:val="0"/>
                      <w:marTop w:val="0"/>
                      <w:marBottom w:val="0"/>
                      <w:divBdr>
                        <w:top w:val="none" w:sz="0" w:space="0" w:color="auto"/>
                        <w:left w:val="none" w:sz="0" w:space="0" w:color="auto"/>
                        <w:bottom w:val="none" w:sz="0" w:space="0" w:color="auto"/>
                        <w:right w:val="none" w:sz="0" w:space="0" w:color="auto"/>
                      </w:divBdr>
                    </w:div>
                  </w:divsChild>
                </w:div>
                <w:div w:id="276104184">
                  <w:marLeft w:val="0"/>
                  <w:marRight w:val="0"/>
                  <w:marTop w:val="0"/>
                  <w:marBottom w:val="0"/>
                  <w:divBdr>
                    <w:top w:val="none" w:sz="0" w:space="0" w:color="auto"/>
                    <w:left w:val="none" w:sz="0" w:space="0" w:color="auto"/>
                    <w:bottom w:val="none" w:sz="0" w:space="0" w:color="auto"/>
                    <w:right w:val="none" w:sz="0" w:space="0" w:color="auto"/>
                  </w:divBdr>
                  <w:divsChild>
                    <w:div w:id="1014265388">
                      <w:marLeft w:val="0"/>
                      <w:marRight w:val="0"/>
                      <w:marTop w:val="0"/>
                      <w:marBottom w:val="0"/>
                      <w:divBdr>
                        <w:top w:val="none" w:sz="0" w:space="0" w:color="auto"/>
                        <w:left w:val="none" w:sz="0" w:space="0" w:color="auto"/>
                        <w:bottom w:val="none" w:sz="0" w:space="0" w:color="auto"/>
                        <w:right w:val="none" w:sz="0" w:space="0" w:color="auto"/>
                      </w:divBdr>
                    </w:div>
                  </w:divsChild>
                </w:div>
                <w:div w:id="371728430">
                  <w:marLeft w:val="0"/>
                  <w:marRight w:val="0"/>
                  <w:marTop w:val="0"/>
                  <w:marBottom w:val="0"/>
                  <w:divBdr>
                    <w:top w:val="none" w:sz="0" w:space="0" w:color="auto"/>
                    <w:left w:val="none" w:sz="0" w:space="0" w:color="auto"/>
                    <w:bottom w:val="none" w:sz="0" w:space="0" w:color="auto"/>
                    <w:right w:val="none" w:sz="0" w:space="0" w:color="auto"/>
                  </w:divBdr>
                  <w:divsChild>
                    <w:div w:id="686062855">
                      <w:marLeft w:val="0"/>
                      <w:marRight w:val="0"/>
                      <w:marTop w:val="0"/>
                      <w:marBottom w:val="0"/>
                      <w:divBdr>
                        <w:top w:val="none" w:sz="0" w:space="0" w:color="auto"/>
                        <w:left w:val="none" w:sz="0" w:space="0" w:color="auto"/>
                        <w:bottom w:val="none" w:sz="0" w:space="0" w:color="auto"/>
                        <w:right w:val="none" w:sz="0" w:space="0" w:color="auto"/>
                      </w:divBdr>
                    </w:div>
                  </w:divsChild>
                </w:div>
                <w:div w:id="403265647">
                  <w:marLeft w:val="0"/>
                  <w:marRight w:val="0"/>
                  <w:marTop w:val="0"/>
                  <w:marBottom w:val="0"/>
                  <w:divBdr>
                    <w:top w:val="none" w:sz="0" w:space="0" w:color="auto"/>
                    <w:left w:val="none" w:sz="0" w:space="0" w:color="auto"/>
                    <w:bottom w:val="none" w:sz="0" w:space="0" w:color="auto"/>
                    <w:right w:val="none" w:sz="0" w:space="0" w:color="auto"/>
                  </w:divBdr>
                  <w:divsChild>
                    <w:div w:id="1292980420">
                      <w:marLeft w:val="0"/>
                      <w:marRight w:val="0"/>
                      <w:marTop w:val="0"/>
                      <w:marBottom w:val="0"/>
                      <w:divBdr>
                        <w:top w:val="none" w:sz="0" w:space="0" w:color="auto"/>
                        <w:left w:val="none" w:sz="0" w:space="0" w:color="auto"/>
                        <w:bottom w:val="none" w:sz="0" w:space="0" w:color="auto"/>
                        <w:right w:val="none" w:sz="0" w:space="0" w:color="auto"/>
                      </w:divBdr>
                    </w:div>
                  </w:divsChild>
                </w:div>
                <w:div w:id="450899631">
                  <w:marLeft w:val="0"/>
                  <w:marRight w:val="0"/>
                  <w:marTop w:val="0"/>
                  <w:marBottom w:val="0"/>
                  <w:divBdr>
                    <w:top w:val="none" w:sz="0" w:space="0" w:color="auto"/>
                    <w:left w:val="none" w:sz="0" w:space="0" w:color="auto"/>
                    <w:bottom w:val="none" w:sz="0" w:space="0" w:color="auto"/>
                    <w:right w:val="none" w:sz="0" w:space="0" w:color="auto"/>
                  </w:divBdr>
                  <w:divsChild>
                    <w:div w:id="948702676">
                      <w:marLeft w:val="0"/>
                      <w:marRight w:val="0"/>
                      <w:marTop w:val="0"/>
                      <w:marBottom w:val="0"/>
                      <w:divBdr>
                        <w:top w:val="none" w:sz="0" w:space="0" w:color="auto"/>
                        <w:left w:val="none" w:sz="0" w:space="0" w:color="auto"/>
                        <w:bottom w:val="none" w:sz="0" w:space="0" w:color="auto"/>
                        <w:right w:val="none" w:sz="0" w:space="0" w:color="auto"/>
                      </w:divBdr>
                    </w:div>
                  </w:divsChild>
                </w:div>
                <w:div w:id="480774980">
                  <w:marLeft w:val="0"/>
                  <w:marRight w:val="0"/>
                  <w:marTop w:val="0"/>
                  <w:marBottom w:val="0"/>
                  <w:divBdr>
                    <w:top w:val="none" w:sz="0" w:space="0" w:color="auto"/>
                    <w:left w:val="none" w:sz="0" w:space="0" w:color="auto"/>
                    <w:bottom w:val="none" w:sz="0" w:space="0" w:color="auto"/>
                    <w:right w:val="none" w:sz="0" w:space="0" w:color="auto"/>
                  </w:divBdr>
                  <w:divsChild>
                    <w:div w:id="1664233252">
                      <w:marLeft w:val="0"/>
                      <w:marRight w:val="0"/>
                      <w:marTop w:val="0"/>
                      <w:marBottom w:val="0"/>
                      <w:divBdr>
                        <w:top w:val="none" w:sz="0" w:space="0" w:color="auto"/>
                        <w:left w:val="none" w:sz="0" w:space="0" w:color="auto"/>
                        <w:bottom w:val="none" w:sz="0" w:space="0" w:color="auto"/>
                        <w:right w:val="none" w:sz="0" w:space="0" w:color="auto"/>
                      </w:divBdr>
                    </w:div>
                  </w:divsChild>
                </w:div>
                <w:div w:id="499006647">
                  <w:marLeft w:val="0"/>
                  <w:marRight w:val="0"/>
                  <w:marTop w:val="0"/>
                  <w:marBottom w:val="0"/>
                  <w:divBdr>
                    <w:top w:val="none" w:sz="0" w:space="0" w:color="auto"/>
                    <w:left w:val="none" w:sz="0" w:space="0" w:color="auto"/>
                    <w:bottom w:val="none" w:sz="0" w:space="0" w:color="auto"/>
                    <w:right w:val="none" w:sz="0" w:space="0" w:color="auto"/>
                  </w:divBdr>
                  <w:divsChild>
                    <w:div w:id="717167418">
                      <w:marLeft w:val="0"/>
                      <w:marRight w:val="0"/>
                      <w:marTop w:val="0"/>
                      <w:marBottom w:val="0"/>
                      <w:divBdr>
                        <w:top w:val="none" w:sz="0" w:space="0" w:color="auto"/>
                        <w:left w:val="none" w:sz="0" w:space="0" w:color="auto"/>
                        <w:bottom w:val="none" w:sz="0" w:space="0" w:color="auto"/>
                        <w:right w:val="none" w:sz="0" w:space="0" w:color="auto"/>
                      </w:divBdr>
                    </w:div>
                  </w:divsChild>
                </w:div>
                <w:div w:id="512499105">
                  <w:marLeft w:val="0"/>
                  <w:marRight w:val="0"/>
                  <w:marTop w:val="0"/>
                  <w:marBottom w:val="0"/>
                  <w:divBdr>
                    <w:top w:val="none" w:sz="0" w:space="0" w:color="auto"/>
                    <w:left w:val="none" w:sz="0" w:space="0" w:color="auto"/>
                    <w:bottom w:val="none" w:sz="0" w:space="0" w:color="auto"/>
                    <w:right w:val="none" w:sz="0" w:space="0" w:color="auto"/>
                  </w:divBdr>
                  <w:divsChild>
                    <w:div w:id="635182536">
                      <w:marLeft w:val="0"/>
                      <w:marRight w:val="0"/>
                      <w:marTop w:val="0"/>
                      <w:marBottom w:val="0"/>
                      <w:divBdr>
                        <w:top w:val="none" w:sz="0" w:space="0" w:color="auto"/>
                        <w:left w:val="none" w:sz="0" w:space="0" w:color="auto"/>
                        <w:bottom w:val="none" w:sz="0" w:space="0" w:color="auto"/>
                        <w:right w:val="none" w:sz="0" w:space="0" w:color="auto"/>
                      </w:divBdr>
                    </w:div>
                  </w:divsChild>
                </w:div>
                <w:div w:id="539249879">
                  <w:marLeft w:val="0"/>
                  <w:marRight w:val="0"/>
                  <w:marTop w:val="0"/>
                  <w:marBottom w:val="0"/>
                  <w:divBdr>
                    <w:top w:val="none" w:sz="0" w:space="0" w:color="auto"/>
                    <w:left w:val="none" w:sz="0" w:space="0" w:color="auto"/>
                    <w:bottom w:val="none" w:sz="0" w:space="0" w:color="auto"/>
                    <w:right w:val="none" w:sz="0" w:space="0" w:color="auto"/>
                  </w:divBdr>
                  <w:divsChild>
                    <w:div w:id="832837237">
                      <w:marLeft w:val="0"/>
                      <w:marRight w:val="0"/>
                      <w:marTop w:val="0"/>
                      <w:marBottom w:val="0"/>
                      <w:divBdr>
                        <w:top w:val="none" w:sz="0" w:space="0" w:color="auto"/>
                        <w:left w:val="none" w:sz="0" w:space="0" w:color="auto"/>
                        <w:bottom w:val="none" w:sz="0" w:space="0" w:color="auto"/>
                        <w:right w:val="none" w:sz="0" w:space="0" w:color="auto"/>
                      </w:divBdr>
                    </w:div>
                  </w:divsChild>
                </w:div>
                <w:div w:id="569006205">
                  <w:marLeft w:val="0"/>
                  <w:marRight w:val="0"/>
                  <w:marTop w:val="0"/>
                  <w:marBottom w:val="0"/>
                  <w:divBdr>
                    <w:top w:val="none" w:sz="0" w:space="0" w:color="auto"/>
                    <w:left w:val="none" w:sz="0" w:space="0" w:color="auto"/>
                    <w:bottom w:val="none" w:sz="0" w:space="0" w:color="auto"/>
                    <w:right w:val="none" w:sz="0" w:space="0" w:color="auto"/>
                  </w:divBdr>
                  <w:divsChild>
                    <w:div w:id="1920603288">
                      <w:marLeft w:val="0"/>
                      <w:marRight w:val="0"/>
                      <w:marTop w:val="0"/>
                      <w:marBottom w:val="0"/>
                      <w:divBdr>
                        <w:top w:val="none" w:sz="0" w:space="0" w:color="auto"/>
                        <w:left w:val="none" w:sz="0" w:space="0" w:color="auto"/>
                        <w:bottom w:val="none" w:sz="0" w:space="0" w:color="auto"/>
                        <w:right w:val="none" w:sz="0" w:space="0" w:color="auto"/>
                      </w:divBdr>
                    </w:div>
                  </w:divsChild>
                </w:div>
                <w:div w:id="768278750">
                  <w:marLeft w:val="0"/>
                  <w:marRight w:val="0"/>
                  <w:marTop w:val="0"/>
                  <w:marBottom w:val="0"/>
                  <w:divBdr>
                    <w:top w:val="none" w:sz="0" w:space="0" w:color="auto"/>
                    <w:left w:val="none" w:sz="0" w:space="0" w:color="auto"/>
                    <w:bottom w:val="none" w:sz="0" w:space="0" w:color="auto"/>
                    <w:right w:val="none" w:sz="0" w:space="0" w:color="auto"/>
                  </w:divBdr>
                  <w:divsChild>
                    <w:div w:id="2133788043">
                      <w:marLeft w:val="0"/>
                      <w:marRight w:val="0"/>
                      <w:marTop w:val="0"/>
                      <w:marBottom w:val="0"/>
                      <w:divBdr>
                        <w:top w:val="none" w:sz="0" w:space="0" w:color="auto"/>
                        <w:left w:val="none" w:sz="0" w:space="0" w:color="auto"/>
                        <w:bottom w:val="none" w:sz="0" w:space="0" w:color="auto"/>
                        <w:right w:val="none" w:sz="0" w:space="0" w:color="auto"/>
                      </w:divBdr>
                    </w:div>
                  </w:divsChild>
                </w:div>
                <w:div w:id="841312212">
                  <w:marLeft w:val="0"/>
                  <w:marRight w:val="0"/>
                  <w:marTop w:val="0"/>
                  <w:marBottom w:val="0"/>
                  <w:divBdr>
                    <w:top w:val="none" w:sz="0" w:space="0" w:color="auto"/>
                    <w:left w:val="none" w:sz="0" w:space="0" w:color="auto"/>
                    <w:bottom w:val="none" w:sz="0" w:space="0" w:color="auto"/>
                    <w:right w:val="none" w:sz="0" w:space="0" w:color="auto"/>
                  </w:divBdr>
                  <w:divsChild>
                    <w:div w:id="680476971">
                      <w:marLeft w:val="0"/>
                      <w:marRight w:val="0"/>
                      <w:marTop w:val="0"/>
                      <w:marBottom w:val="0"/>
                      <w:divBdr>
                        <w:top w:val="none" w:sz="0" w:space="0" w:color="auto"/>
                        <w:left w:val="none" w:sz="0" w:space="0" w:color="auto"/>
                        <w:bottom w:val="none" w:sz="0" w:space="0" w:color="auto"/>
                        <w:right w:val="none" w:sz="0" w:space="0" w:color="auto"/>
                      </w:divBdr>
                    </w:div>
                  </w:divsChild>
                </w:div>
                <w:div w:id="1364095364">
                  <w:marLeft w:val="0"/>
                  <w:marRight w:val="0"/>
                  <w:marTop w:val="0"/>
                  <w:marBottom w:val="0"/>
                  <w:divBdr>
                    <w:top w:val="none" w:sz="0" w:space="0" w:color="auto"/>
                    <w:left w:val="none" w:sz="0" w:space="0" w:color="auto"/>
                    <w:bottom w:val="none" w:sz="0" w:space="0" w:color="auto"/>
                    <w:right w:val="none" w:sz="0" w:space="0" w:color="auto"/>
                  </w:divBdr>
                  <w:divsChild>
                    <w:div w:id="777523186">
                      <w:marLeft w:val="0"/>
                      <w:marRight w:val="0"/>
                      <w:marTop w:val="0"/>
                      <w:marBottom w:val="0"/>
                      <w:divBdr>
                        <w:top w:val="none" w:sz="0" w:space="0" w:color="auto"/>
                        <w:left w:val="none" w:sz="0" w:space="0" w:color="auto"/>
                        <w:bottom w:val="none" w:sz="0" w:space="0" w:color="auto"/>
                        <w:right w:val="none" w:sz="0" w:space="0" w:color="auto"/>
                      </w:divBdr>
                    </w:div>
                  </w:divsChild>
                </w:div>
                <w:div w:id="1757242587">
                  <w:marLeft w:val="0"/>
                  <w:marRight w:val="0"/>
                  <w:marTop w:val="0"/>
                  <w:marBottom w:val="0"/>
                  <w:divBdr>
                    <w:top w:val="none" w:sz="0" w:space="0" w:color="auto"/>
                    <w:left w:val="none" w:sz="0" w:space="0" w:color="auto"/>
                    <w:bottom w:val="none" w:sz="0" w:space="0" w:color="auto"/>
                    <w:right w:val="none" w:sz="0" w:space="0" w:color="auto"/>
                  </w:divBdr>
                  <w:divsChild>
                    <w:div w:id="383604268">
                      <w:marLeft w:val="0"/>
                      <w:marRight w:val="0"/>
                      <w:marTop w:val="0"/>
                      <w:marBottom w:val="0"/>
                      <w:divBdr>
                        <w:top w:val="none" w:sz="0" w:space="0" w:color="auto"/>
                        <w:left w:val="none" w:sz="0" w:space="0" w:color="auto"/>
                        <w:bottom w:val="none" w:sz="0" w:space="0" w:color="auto"/>
                        <w:right w:val="none" w:sz="0" w:space="0" w:color="auto"/>
                      </w:divBdr>
                    </w:div>
                  </w:divsChild>
                </w:div>
                <w:div w:id="1907035378">
                  <w:marLeft w:val="0"/>
                  <w:marRight w:val="0"/>
                  <w:marTop w:val="0"/>
                  <w:marBottom w:val="0"/>
                  <w:divBdr>
                    <w:top w:val="none" w:sz="0" w:space="0" w:color="auto"/>
                    <w:left w:val="none" w:sz="0" w:space="0" w:color="auto"/>
                    <w:bottom w:val="none" w:sz="0" w:space="0" w:color="auto"/>
                    <w:right w:val="none" w:sz="0" w:space="0" w:color="auto"/>
                  </w:divBdr>
                  <w:divsChild>
                    <w:div w:id="1329016641">
                      <w:marLeft w:val="0"/>
                      <w:marRight w:val="0"/>
                      <w:marTop w:val="0"/>
                      <w:marBottom w:val="0"/>
                      <w:divBdr>
                        <w:top w:val="none" w:sz="0" w:space="0" w:color="auto"/>
                        <w:left w:val="none" w:sz="0" w:space="0" w:color="auto"/>
                        <w:bottom w:val="none" w:sz="0" w:space="0" w:color="auto"/>
                        <w:right w:val="none" w:sz="0" w:space="0" w:color="auto"/>
                      </w:divBdr>
                    </w:div>
                  </w:divsChild>
                </w:div>
                <w:div w:id="1964379093">
                  <w:marLeft w:val="0"/>
                  <w:marRight w:val="0"/>
                  <w:marTop w:val="0"/>
                  <w:marBottom w:val="0"/>
                  <w:divBdr>
                    <w:top w:val="none" w:sz="0" w:space="0" w:color="auto"/>
                    <w:left w:val="none" w:sz="0" w:space="0" w:color="auto"/>
                    <w:bottom w:val="none" w:sz="0" w:space="0" w:color="auto"/>
                    <w:right w:val="none" w:sz="0" w:space="0" w:color="auto"/>
                  </w:divBdr>
                  <w:divsChild>
                    <w:div w:id="1734886234">
                      <w:marLeft w:val="0"/>
                      <w:marRight w:val="0"/>
                      <w:marTop w:val="0"/>
                      <w:marBottom w:val="0"/>
                      <w:divBdr>
                        <w:top w:val="none" w:sz="0" w:space="0" w:color="auto"/>
                        <w:left w:val="none" w:sz="0" w:space="0" w:color="auto"/>
                        <w:bottom w:val="none" w:sz="0" w:space="0" w:color="auto"/>
                        <w:right w:val="none" w:sz="0" w:space="0" w:color="auto"/>
                      </w:divBdr>
                    </w:div>
                  </w:divsChild>
                </w:div>
                <w:div w:id="1973290756">
                  <w:marLeft w:val="0"/>
                  <w:marRight w:val="0"/>
                  <w:marTop w:val="0"/>
                  <w:marBottom w:val="0"/>
                  <w:divBdr>
                    <w:top w:val="none" w:sz="0" w:space="0" w:color="auto"/>
                    <w:left w:val="none" w:sz="0" w:space="0" w:color="auto"/>
                    <w:bottom w:val="none" w:sz="0" w:space="0" w:color="auto"/>
                    <w:right w:val="none" w:sz="0" w:space="0" w:color="auto"/>
                  </w:divBdr>
                  <w:divsChild>
                    <w:div w:id="127042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57578">
          <w:marLeft w:val="0"/>
          <w:marRight w:val="0"/>
          <w:marTop w:val="0"/>
          <w:marBottom w:val="0"/>
          <w:divBdr>
            <w:top w:val="none" w:sz="0" w:space="0" w:color="auto"/>
            <w:left w:val="none" w:sz="0" w:space="0" w:color="auto"/>
            <w:bottom w:val="none" w:sz="0" w:space="0" w:color="auto"/>
            <w:right w:val="none" w:sz="0" w:space="0" w:color="auto"/>
          </w:divBdr>
        </w:div>
        <w:div w:id="139465542">
          <w:marLeft w:val="0"/>
          <w:marRight w:val="0"/>
          <w:marTop w:val="0"/>
          <w:marBottom w:val="0"/>
          <w:divBdr>
            <w:top w:val="none" w:sz="0" w:space="0" w:color="auto"/>
            <w:left w:val="none" w:sz="0" w:space="0" w:color="auto"/>
            <w:bottom w:val="none" w:sz="0" w:space="0" w:color="auto"/>
            <w:right w:val="none" w:sz="0" w:space="0" w:color="auto"/>
          </w:divBdr>
          <w:divsChild>
            <w:div w:id="174803565">
              <w:marLeft w:val="0"/>
              <w:marRight w:val="0"/>
              <w:marTop w:val="0"/>
              <w:marBottom w:val="0"/>
              <w:divBdr>
                <w:top w:val="none" w:sz="0" w:space="0" w:color="auto"/>
                <w:left w:val="none" w:sz="0" w:space="0" w:color="auto"/>
                <w:bottom w:val="none" w:sz="0" w:space="0" w:color="auto"/>
                <w:right w:val="none" w:sz="0" w:space="0" w:color="auto"/>
              </w:divBdr>
            </w:div>
            <w:div w:id="1345012751">
              <w:marLeft w:val="0"/>
              <w:marRight w:val="0"/>
              <w:marTop w:val="0"/>
              <w:marBottom w:val="0"/>
              <w:divBdr>
                <w:top w:val="none" w:sz="0" w:space="0" w:color="auto"/>
                <w:left w:val="none" w:sz="0" w:space="0" w:color="auto"/>
                <w:bottom w:val="none" w:sz="0" w:space="0" w:color="auto"/>
                <w:right w:val="none" w:sz="0" w:space="0" w:color="auto"/>
              </w:divBdr>
            </w:div>
            <w:div w:id="1962609378">
              <w:marLeft w:val="0"/>
              <w:marRight w:val="0"/>
              <w:marTop w:val="0"/>
              <w:marBottom w:val="0"/>
              <w:divBdr>
                <w:top w:val="none" w:sz="0" w:space="0" w:color="auto"/>
                <w:left w:val="none" w:sz="0" w:space="0" w:color="auto"/>
                <w:bottom w:val="none" w:sz="0" w:space="0" w:color="auto"/>
                <w:right w:val="none" w:sz="0" w:space="0" w:color="auto"/>
              </w:divBdr>
            </w:div>
          </w:divsChild>
        </w:div>
        <w:div w:id="140394611">
          <w:marLeft w:val="0"/>
          <w:marRight w:val="0"/>
          <w:marTop w:val="0"/>
          <w:marBottom w:val="0"/>
          <w:divBdr>
            <w:top w:val="none" w:sz="0" w:space="0" w:color="auto"/>
            <w:left w:val="none" w:sz="0" w:space="0" w:color="auto"/>
            <w:bottom w:val="none" w:sz="0" w:space="0" w:color="auto"/>
            <w:right w:val="none" w:sz="0" w:space="0" w:color="auto"/>
          </w:divBdr>
          <w:divsChild>
            <w:div w:id="1229151899">
              <w:marLeft w:val="-75"/>
              <w:marRight w:val="0"/>
              <w:marTop w:val="30"/>
              <w:marBottom w:val="30"/>
              <w:divBdr>
                <w:top w:val="none" w:sz="0" w:space="0" w:color="auto"/>
                <w:left w:val="none" w:sz="0" w:space="0" w:color="auto"/>
                <w:bottom w:val="none" w:sz="0" w:space="0" w:color="auto"/>
                <w:right w:val="none" w:sz="0" w:space="0" w:color="auto"/>
              </w:divBdr>
              <w:divsChild>
                <w:div w:id="60254169">
                  <w:marLeft w:val="0"/>
                  <w:marRight w:val="0"/>
                  <w:marTop w:val="0"/>
                  <w:marBottom w:val="0"/>
                  <w:divBdr>
                    <w:top w:val="none" w:sz="0" w:space="0" w:color="auto"/>
                    <w:left w:val="none" w:sz="0" w:space="0" w:color="auto"/>
                    <w:bottom w:val="none" w:sz="0" w:space="0" w:color="auto"/>
                    <w:right w:val="none" w:sz="0" w:space="0" w:color="auto"/>
                  </w:divBdr>
                  <w:divsChild>
                    <w:div w:id="1231500375">
                      <w:marLeft w:val="0"/>
                      <w:marRight w:val="0"/>
                      <w:marTop w:val="0"/>
                      <w:marBottom w:val="0"/>
                      <w:divBdr>
                        <w:top w:val="none" w:sz="0" w:space="0" w:color="auto"/>
                        <w:left w:val="none" w:sz="0" w:space="0" w:color="auto"/>
                        <w:bottom w:val="none" w:sz="0" w:space="0" w:color="auto"/>
                        <w:right w:val="none" w:sz="0" w:space="0" w:color="auto"/>
                      </w:divBdr>
                    </w:div>
                  </w:divsChild>
                </w:div>
                <w:div w:id="167255428">
                  <w:marLeft w:val="0"/>
                  <w:marRight w:val="0"/>
                  <w:marTop w:val="0"/>
                  <w:marBottom w:val="0"/>
                  <w:divBdr>
                    <w:top w:val="none" w:sz="0" w:space="0" w:color="auto"/>
                    <w:left w:val="none" w:sz="0" w:space="0" w:color="auto"/>
                    <w:bottom w:val="none" w:sz="0" w:space="0" w:color="auto"/>
                    <w:right w:val="none" w:sz="0" w:space="0" w:color="auto"/>
                  </w:divBdr>
                  <w:divsChild>
                    <w:div w:id="1815639028">
                      <w:marLeft w:val="0"/>
                      <w:marRight w:val="0"/>
                      <w:marTop w:val="0"/>
                      <w:marBottom w:val="0"/>
                      <w:divBdr>
                        <w:top w:val="none" w:sz="0" w:space="0" w:color="auto"/>
                        <w:left w:val="none" w:sz="0" w:space="0" w:color="auto"/>
                        <w:bottom w:val="none" w:sz="0" w:space="0" w:color="auto"/>
                        <w:right w:val="none" w:sz="0" w:space="0" w:color="auto"/>
                      </w:divBdr>
                    </w:div>
                  </w:divsChild>
                </w:div>
                <w:div w:id="174267706">
                  <w:marLeft w:val="0"/>
                  <w:marRight w:val="0"/>
                  <w:marTop w:val="0"/>
                  <w:marBottom w:val="0"/>
                  <w:divBdr>
                    <w:top w:val="none" w:sz="0" w:space="0" w:color="auto"/>
                    <w:left w:val="none" w:sz="0" w:space="0" w:color="auto"/>
                    <w:bottom w:val="none" w:sz="0" w:space="0" w:color="auto"/>
                    <w:right w:val="none" w:sz="0" w:space="0" w:color="auto"/>
                  </w:divBdr>
                  <w:divsChild>
                    <w:div w:id="137648288">
                      <w:marLeft w:val="0"/>
                      <w:marRight w:val="0"/>
                      <w:marTop w:val="0"/>
                      <w:marBottom w:val="0"/>
                      <w:divBdr>
                        <w:top w:val="none" w:sz="0" w:space="0" w:color="auto"/>
                        <w:left w:val="none" w:sz="0" w:space="0" w:color="auto"/>
                        <w:bottom w:val="none" w:sz="0" w:space="0" w:color="auto"/>
                        <w:right w:val="none" w:sz="0" w:space="0" w:color="auto"/>
                      </w:divBdr>
                    </w:div>
                  </w:divsChild>
                </w:div>
                <w:div w:id="247689698">
                  <w:marLeft w:val="0"/>
                  <w:marRight w:val="0"/>
                  <w:marTop w:val="0"/>
                  <w:marBottom w:val="0"/>
                  <w:divBdr>
                    <w:top w:val="none" w:sz="0" w:space="0" w:color="auto"/>
                    <w:left w:val="none" w:sz="0" w:space="0" w:color="auto"/>
                    <w:bottom w:val="none" w:sz="0" w:space="0" w:color="auto"/>
                    <w:right w:val="none" w:sz="0" w:space="0" w:color="auto"/>
                  </w:divBdr>
                  <w:divsChild>
                    <w:div w:id="1376738017">
                      <w:marLeft w:val="0"/>
                      <w:marRight w:val="0"/>
                      <w:marTop w:val="0"/>
                      <w:marBottom w:val="0"/>
                      <w:divBdr>
                        <w:top w:val="none" w:sz="0" w:space="0" w:color="auto"/>
                        <w:left w:val="none" w:sz="0" w:space="0" w:color="auto"/>
                        <w:bottom w:val="none" w:sz="0" w:space="0" w:color="auto"/>
                        <w:right w:val="none" w:sz="0" w:space="0" w:color="auto"/>
                      </w:divBdr>
                    </w:div>
                  </w:divsChild>
                </w:div>
                <w:div w:id="305937895">
                  <w:marLeft w:val="0"/>
                  <w:marRight w:val="0"/>
                  <w:marTop w:val="0"/>
                  <w:marBottom w:val="0"/>
                  <w:divBdr>
                    <w:top w:val="none" w:sz="0" w:space="0" w:color="auto"/>
                    <w:left w:val="none" w:sz="0" w:space="0" w:color="auto"/>
                    <w:bottom w:val="none" w:sz="0" w:space="0" w:color="auto"/>
                    <w:right w:val="none" w:sz="0" w:space="0" w:color="auto"/>
                  </w:divBdr>
                  <w:divsChild>
                    <w:div w:id="466822928">
                      <w:marLeft w:val="0"/>
                      <w:marRight w:val="0"/>
                      <w:marTop w:val="0"/>
                      <w:marBottom w:val="0"/>
                      <w:divBdr>
                        <w:top w:val="none" w:sz="0" w:space="0" w:color="auto"/>
                        <w:left w:val="none" w:sz="0" w:space="0" w:color="auto"/>
                        <w:bottom w:val="none" w:sz="0" w:space="0" w:color="auto"/>
                        <w:right w:val="none" w:sz="0" w:space="0" w:color="auto"/>
                      </w:divBdr>
                    </w:div>
                  </w:divsChild>
                </w:div>
                <w:div w:id="398599049">
                  <w:marLeft w:val="0"/>
                  <w:marRight w:val="0"/>
                  <w:marTop w:val="0"/>
                  <w:marBottom w:val="0"/>
                  <w:divBdr>
                    <w:top w:val="none" w:sz="0" w:space="0" w:color="auto"/>
                    <w:left w:val="none" w:sz="0" w:space="0" w:color="auto"/>
                    <w:bottom w:val="none" w:sz="0" w:space="0" w:color="auto"/>
                    <w:right w:val="none" w:sz="0" w:space="0" w:color="auto"/>
                  </w:divBdr>
                  <w:divsChild>
                    <w:div w:id="1834833733">
                      <w:marLeft w:val="0"/>
                      <w:marRight w:val="0"/>
                      <w:marTop w:val="0"/>
                      <w:marBottom w:val="0"/>
                      <w:divBdr>
                        <w:top w:val="none" w:sz="0" w:space="0" w:color="auto"/>
                        <w:left w:val="none" w:sz="0" w:space="0" w:color="auto"/>
                        <w:bottom w:val="none" w:sz="0" w:space="0" w:color="auto"/>
                        <w:right w:val="none" w:sz="0" w:space="0" w:color="auto"/>
                      </w:divBdr>
                    </w:div>
                  </w:divsChild>
                </w:div>
                <w:div w:id="589654035">
                  <w:marLeft w:val="0"/>
                  <w:marRight w:val="0"/>
                  <w:marTop w:val="0"/>
                  <w:marBottom w:val="0"/>
                  <w:divBdr>
                    <w:top w:val="none" w:sz="0" w:space="0" w:color="auto"/>
                    <w:left w:val="none" w:sz="0" w:space="0" w:color="auto"/>
                    <w:bottom w:val="none" w:sz="0" w:space="0" w:color="auto"/>
                    <w:right w:val="none" w:sz="0" w:space="0" w:color="auto"/>
                  </w:divBdr>
                  <w:divsChild>
                    <w:div w:id="1316179951">
                      <w:marLeft w:val="0"/>
                      <w:marRight w:val="0"/>
                      <w:marTop w:val="0"/>
                      <w:marBottom w:val="0"/>
                      <w:divBdr>
                        <w:top w:val="none" w:sz="0" w:space="0" w:color="auto"/>
                        <w:left w:val="none" w:sz="0" w:space="0" w:color="auto"/>
                        <w:bottom w:val="none" w:sz="0" w:space="0" w:color="auto"/>
                        <w:right w:val="none" w:sz="0" w:space="0" w:color="auto"/>
                      </w:divBdr>
                    </w:div>
                  </w:divsChild>
                </w:div>
                <w:div w:id="606276643">
                  <w:marLeft w:val="0"/>
                  <w:marRight w:val="0"/>
                  <w:marTop w:val="0"/>
                  <w:marBottom w:val="0"/>
                  <w:divBdr>
                    <w:top w:val="none" w:sz="0" w:space="0" w:color="auto"/>
                    <w:left w:val="none" w:sz="0" w:space="0" w:color="auto"/>
                    <w:bottom w:val="none" w:sz="0" w:space="0" w:color="auto"/>
                    <w:right w:val="none" w:sz="0" w:space="0" w:color="auto"/>
                  </w:divBdr>
                  <w:divsChild>
                    <w:div w:id="688727397">
                      <w:marLeft w:val="0"/>
                      <w:marRight w:val="0"/>
                      <w:marTop w:val="0"/>
                      <w:marBottom w:val="0"/>
                      <w:divBdr>
                        <w:top w:val="none" w:sz="0" w:space="0" w:color="auto"/>
                        <w:left w:val="none" w:sz="0" w:space="0" w:color="auto"/>
                        <w:bottom w:val="none" w:sz="0" w:space="0" w:color="auto"/>
                        <w:right w:val="none" w:sz="0" w:space="0" w:color="auto"/>
                      </w:divBdr>
                    </w:div>
                  </w:divsChild>
                </w:div>
                <w:div w:id="883829855">
                  <w:marLeft w:val="0"/>
                  <w:marRight w:val="0"/>
                  <w:marTop w:val="0"/>
                  <w:marBottom w:val="0"/>
                  <w:divBdr>
                    <w:top w:val="none" w:sz="0" w:space="0" w:color="auto"/>
                    <w:left w:val="none" w:sz="0" w:space="0" w:color="auto"/>
                    <w:bottom w:val="none" w:sz="0" w:space="0" w:color="auto"/>
                    <w:right w:val="none" w:sz="0" w:space="0" w:color="auto"/>
                  </w:divBdr>
                  <w:divsChild>
                    <w:div w:id="1740710272">
                      <w:marLeft w:val="0"/>
                      <w:marRight w:val="0"/>
                      <w:marTop w:val="0"/>
                      <w:marBottom w:val="0"/>
                      <w:divBdr>
                        <w:top w:val="none" w:sz="0" w:space="0" w:color="auto"/>
                        <w:left w:val="none" w:sz="0" w:space="0" w:color="auto"/>
                        <w:bottom w:val="none" w:sz="0" w:space="0" w:color="auto"/>
                        <w:right w:val="none" w:sz="0" w:space="0" w:color="auto"/>
                      </w:divBdr>
                    </w:div>
                  </w:divsChild>
                </w:div>
                <w:div w:id="906114446">
                  <w:marLeft w:val="0"/>
                  <w:marRight w:val="0"/>
                  <w:marTop w:val="0"/>
                  <w:marBottom w:val="0"/>
                  <w:divBdr>
                    <w:top w:val="none" w:sz="0" w:space="0" w:color="auto"/>
                    <w:left w:val="none" w:sz="0" w:space="0" w:color="auto"/>
                    <w:bottom w:val="none" w:sz="0" w:space="0" w:color="auto"/>
                    <w:right w:val="none" w:sz="0" w:space="0" w:color="auto"/>
                  </w:divBdr>
                  <w:divsChild>
                    <w:div w:id="472017595">
                      <w:marLeft w:val="0"/>
                      <w:marRight w:val="0"/>
                      <w:marTop w:val="0"/>
                      <w:marBottom w:val="0"/>
                      <w:divBdr>
                        <w:top w:val="none" w:sz="0" w:space="0" w:color="auto"/>
                        <w:left w:val="none" w:sz="0" w:space="0" w:color="auto"/>
                        <w:bottom w:val="none" w:sz="0" w:space="0" w:color="auto"/>
                        <w:right w:val="none" w:sz="0" w:space="0" w:color="auto"/>
                      </w:divBdr>
                    </w:div>
                  </w:divsChild>
                </w:div>
                <w:div w:id="914559020">
                  <w:marLeft w:val="0"/>
                  <w:marRight w:val="0"/>
                  <w:marTop w:val="0"/>
                  <w:marBottom w:val="0"/>
                  <w:divBdr>
                    <w:top w:val="none" w:sz="0" w:space="0" w:color="auto"/>
                    <w:left w:val="none" w:sz="0" w:space="0" w:color="auto"/>
                    <w:bottom w:val="none" w:sz="0" w:space="0" w:color="auto"/>
                    <w:right w:val="none" w:sz="0" w:space="0" w:color="auto"/>
                  </w:divBdr>
                  <w:divsChild>
                    <w:div w:id="1292907468">
                      <w:marLeft w:val="0"/>
                      <w:marRight w:val="0"/>
                      <w:marTop w:val="0"/>
                      <w:marBottom w:val="0"/>
                      <w:divBdr>
                        <w:top w:val="none" w:sz="0" w:space="0" w:color="auto"/>
                        <w:left w:val="none" w:sz="0" w:space="0" w:color="auto"/>
                        <w:bottom w:val="none" w:sz="0" w:space="0" w:color="auto"/>
                        <w:right w:val="none" w:sz="0" w:space="0" w:color="auto"/>
                      </w:divBdr>
                    </w:div>
                  </w:divsChild>
                </w:div>
                <w:div w:id="1009257215">
                  <w:marLeft w:val="0"/>
                  <w:marRight w:val="0"/>
                  <w:marTop w:val="0"/>
                  <w:marBottom w:val="0"/>
                  <w:divBdr>
                    <w:top w:val="none" w:sz="0" w:space="0" w:color="auto"/>
                    <w:left w:val="none" w:sz="0" w:space="0" w:color="auto"/>
                    <w:bottom w:val="none" w:sz="0" w:space="0" w:color="auto"/>
                    <w:right w:val="none" w:sz="0" w:space="0" w:color="auto"/>
                  </w:divBdr>
                  <w:divsChild>
                    <w:div w:id="873468737">
                      <w:marLeft w:val="0"/>
                      <w:marRight w:val="0"/>
                      <w:marTop w:val="0"/>
                      <w:marBottom w:val="0"/>
                      <w:divBdr>
                        <w:top w:val="none" w:sz="0" w:space="0" w:color="auto"/>
                        <w:left w:val="none" w:sz="0" w:space="0" w:color="auto"/>
                        <w:bottom w:val="none" w:sz="0" w:space="0" w:color="auto"/>
                        <w:right w:val="none" w:sz="0" w:space="0" w:color="auto"/>
                      </w:divBdr>
                    </w:div>
                  </w:divsChild>
                </w:div>
                <w:div w:id="1050157176">
                  <w:marLeft w:val="0"/>
                  <w:marRight w:val="0"/>
                  <w:marTop w:val="0"/>
                  <w:marBottom w:val="0"/>
                  <w:divBdr>
                    <w:top w:val="none" w:sz="0" w:space="0" w:color="auto"/>
                    <w:left w:val="none" w:sz="0" w:space="0" w:color="auto"/>
                    <w:bottom w:val="none" w:sz="0" w:space="0" w:color="auto"/>
                    <w:right w:val="none" w:sz="0" w:space="0" w:color="auto"/>
                  </w:divBdr>
                  <w:divsChild>
                    <w:div w:id="464347578">
                      <w:marLeft w:val="0"/>
                      <w:marRight w:val="0"/>
                      <w:marTop w:val="0"/>
                      <w:marBottom w:val="0"/>
                      <w:divBdr>
                        <w:top w:val="none" w:sz="0" w:space="0" w:color="auto"/>
                        <w:left w:val="none" w:sz="0" w:space="0" w:color="auto"/>
                        <w:bottom w:val="none" w:sz="0" w:space="0" w:color="auto"/>
                        <w:right w:val="none" w:sz="0" w:space="0" w:color="auto"/>
                      </w:divBdr>
                    </w:div>
                  </w:divsChild>
                </w:div>
                <w:div w:id="1219318221">
                  <w:marLeft w:val="0"/>
                  <w:marRight w:val="0"/>
                  <w:marTop w:val="0"/>
                  <w:marBottom w:val="0"/>
                  <w:divBdr>
                    <w:top w:val="none" w:sz="0" w:space="0" w:color="auto"/>
                    <w:left w:val="none" w:sz="0" w:space="0" w:color="auto"/>
                    <w:bottom w:val="none" w:sz="0" w:space="0" w:color="auto"/>
                    <w:right w:val="none" w:sz="0" w:space="0" w:color="auto"/>
                  </w:divBdr>
                  <w:divsChild>
                    <w:div w:id="1276253554">
                      <w:marLeft w:val="0"/>
                      <w:marRight w:val="0"/>
                      <w:marTop w:val="0"/>
                      <w:marBottom w:val="0"/>
                      <w:divBdr>
                        <w:top w:val="none" w:sz="0" w:space="0" w:color="auto"/>
                        <w:left w:val="none" w:sz="0" w:space="0" w:color="auto"/>
                        <w:bottom w:val="none" w:sz="0" w:space="0" w:color="auto"/>
                        <w:right w:val="none" w:sz="0" w:space="0" w:color="auto"/>
                      </w:divBdr>
                    </w:div>
                  </w:divsChild>
                </w:div>
                <w:div w:id="1275211480">
                  <w:marLeft w:val="0"/>
                  <w:marRight w:val="0"/>
                  <w:marTop w:val="0"/>
                  <w:marBottom w:val="0"/>
                  <w:divBdr>
                    <w:top w:val="none" w:sz="0" w:space="0" w:color="auto"/>
                    <w:left w:val="none" w:sz="0" w:space="0" w:color="auto"/>
                    <w:bottom w:val="none" w:sz="0" w:space="0" w:color="auto"/>
                    <w:right w:val="none" w:sz="0" w:space="0" w:color="auto"/>
                  </w:divBdr>
                  <w:divsChild>
                    <w:div w:id="854878457">
                      <w:marLeft w:val="0"/>
                      <w:marRight w:val="0"/>
                      <w:marTop w:val="0"/>
                      <w:marBottom w:val="0"/>
                      <w:divBdr>
                        <w:top w:val="none" w:sz="0" w:space="0" w:color="auto"/>
                        <w:left w:val="none" w:sz="0" w:space="0" w:color="auto"/>
                        <w:bottom w:val="none" w:sz="0" w:space="0" w:color="auto"/>
                        <w:right w:val="none" w:sz="0" w:space="0" w:color="auto"/>
                      </w:divBdr>
                    </w:div>
                  </w:divsChild>
                </w:div>
                <w:div w:id="1375077830">
                  <w:marLeft w:val="0"/>
                  <w:marRight w:val="0"/>
                  <w:marTop w:val="0"/>
                  <w:marBottom w:val="0"/>
                  <w:divBdr>
                    <w:top w:val="none" w:sz="0" w:space="0" w:color="auto"/>
                    <w:left w:val="none" w:sz="0" w:space="0" w:color="auto"/>
                    <w:bottom w:val="none" w:sz="0" w:space="0" w:color="auto"/>
                    <w:right w:val="none" w:sz="0" w:space="0" w:color="auto"/>
                  </w:divBdr>
                  <w:divsChild>
                    <w:div w:id="704137950">
                      <w:marLeft w:val="0"/>
                      <w:marRight w:val="0"/>
                      <w:marTop w:val="0"/>
                      <w:marBottom w:val="0"/>
                      <w:divBdr>
                        <w:top w:val="none" w:sz="0" w:space="0" w:color="auto"/>
                        <w:left w:val="none" w:sz="0" w:space="0" w:color="auto"/>
                        <w:bottom w:val="none" w:sz="0" w:space="0" w:color="auto"/>
                        <w:right w:val="none" w:sz="0" w:space="0" w:color="auto"/>
                      </w:divBdr>
                    </w:div>
                  </w:divsChild>
                </w:div>
                <w:div w:id="1499072727">
                  <w:marLeft w:val="0"/>
                  <w:marRight w:val="0"/>
                  <w:marTop w:val="0"/>
                  <w:marBottom w:val="0"/>
                  <w:divBdr>
                    <w:top w:val="none" w:sz="0" w:space="0" w:color="auto"/>
                    <w:left w:val="none" w:sz="0" w:space="0" w:color="auto"/>
                    <w:bottom w:val="none" w:sz="0" w:space="0" w:color="auto"/>
                    <w:right w:val="none" w:sz="0" w:space="0" w:color="auto"/>
                  </w:divBdr>
                  <w:divsChild>
                    <w:div w:id="511725316">
                      <w:marLeft w:val="0"/>
                      <w:marRight w:val="0"/>
                      <w:marTop w:val="0"/>
                      <w:marBottom w:val="0"/>
                      <w:divBdr>
                        <w:top w:val="none" w:sz="0" w:space="0" w:color="auto"/>
                        <w:left w:val="none" w:sz="0" w:space="0" w:color="auto"/>
                        <w:bottom w:val="none" w:sz="0" w:space="0" w:color="auto"/>
                        <w:right w:val="none" w:sz="0" w:space="0" w:color="auto"/>
                      </w:divBdr>
                    </w:div>
                  </w:divsChild>
                </w:div>
                <w:div w:id="1690568873">
                  <w:marLeft w:val="0"/>
                  <w:marRight w:val="0"/>
                  <w:marTop w:val="0"/>
                  <w:marBottom w:val="0"/>
                  <w:divBdr>
                    <w:top w:val="none" w:sz="0" w:space="0" w:color="auto"/>
                    <w:left w:val="none" w:sz="0" w:space="0" w:color="auto"/>
                    <w:bottom w:val="none" w:sz="0" w:space="0" w:color="auto"/>
                    <w:right w:val="none" w:sz="0" w:space="0" w:color="auto"/>
                  </w:divBdr>
                  <w:divsChild>
                    <w:div w:id="1530409129">
                      <w:marLeft w:val="0"/>
                      <w:marRight w:val="0"/>
                      <w:marTop w:val="0"/>
                      <w:marBottom w:val="0"/>
                      <w:divBdr>
                        <w:top w:val="none" w:sz="0" w:space="0" w:color="auto"/>
                        <w:left w:val="none" w:sz="0" w:space="0" w:color="auto"/>
                        <w:bottom w:val="none" w:sz="0" w:space="0" w:color="auto"/>
                        <w:right w:val="none" w:sz="0" w:space="0" w:color="auto"/>
                      </w:divBdr>
                    </w:div>
                  </w:divsChild>
                </w:div>
                <w:div w:id="2037343447">
                  <w:marLeft w:val="0"/>
                  <w:marRight w:val="0"/>
                  <w:marTop w:val="0"/>
                  <w:marBottom w:val="0"/>
                  <w:divBdr>
                    <w:top w:val="none" w:sz="0" w:space="0" w:color="auto"/>
                    <w:left w:val="none" w:sz="0" w:space="0" w:color="auto"/>
                    <w:bottom w:val="none" w:sz="0" w:space="0" w:color="auto"/>
                    <w:right w:val="none" w:sz="0" w:space="0" w:color="auto"/>
                  </w:divBdr>
                  <w:divsChild>
                    <w:div w:id="1085567804">
                      <w:marLeft w:val="0"/>
                      <w:marRight w:val="0"/>
                      <w:marTop w:val="0"/>
                      <w:marBottom w:val="0"/>
                      <w:divBdr>
                        <w:top w:val="none" w:sz="0" w:space="0" w:color="auto"/>
                        <w:left w:val="none" w:sz="0" w:space="0" w:color="auto"/>
                        <w:bottom w:val="none" w:sz="0" w:space="0" w:color="auto"/>
                        <w:right w:val="none" w:sz="0" w:space="0" w:color="auto"/>
                      </w:divBdr>
                    </w:div>
                  </w:divsChild>
                </w:div>
                <w:div w:id="2133551539">
                  <w:marLeft w:val="0"/>
                  <w:marRight w:val="0"/>
                  <w:marTop w:val="0"/>
                  <w:marBottom w:val="0"/>
                  <w:divBdr>
                    <w:top w:val="none" w:sz="0" w:space="0" w:color="auto"/>
                    <w:left w:val="none" w:sz="0" w:space="0" w:color="auto"/>
                    <w:bottom w:val="none" w:sz="0" w:space="0" w:color="auto"/>
                    <w:right w:val="none" w:sz="0" w:space="0" w:color="auto"/>
                  </w:divBdr>
                  <w:divsChild>
                    <w:div w:id="44893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530753">
          <w:marLeft w:val="0"/>
          <w:marRight w:val="0"/>
          <w:marTop w:val="0"/>
          <w:marBottom w:val="0"/>
          <w:divBdr>
            <w:top w:val="none" w:sz="0" w:space="0" w:color="auto"/>
            <w:left w:val="none" w:sz="0" w:space="0" w:color="auto"/>
            <w:bottom w:val="none" w:sz="0" w:space="0" w:color="auto"/>
            <w:right w:val="none" w:sz="0" w:space="0" w:color="auto"/>
          </w:divBdr>
        </w:div>
        <w:div w:id="155151464">
          <w:marLeft w:val="0"/>
          <w:marRight w:val="0"/>
          <w:marTop w:val="0"/>
          <w:marBottom w:val="0"/>
          <w:divBdr>
            <w:top w:val="none" w:sz="0" w:space="0" w:color="auto"/>
            <w:left w:val="none" w:sz="0" w:space="0" w:color="auto"/>
            <w:bottom w:val="none" w:sz="0" w:space="0" w:color="auto"/>
            <w:right w:val="none" w:sz="0" w:space="0" w:color="auto"/>
          </w:divBdr>
        </w:div>
        <w:div w:id="178127036">
          <w:marLeft w:val="0"/>
          <w:marRight w:val="0"/>
          <w:marTop w:val="0"/>
          <w:marBottom w:val="0"/>
          <w:divBdr>
            <w:top w:val="none" w:sz="0" w:space="0" w:color="auto"/>
            <w:left w:val="none" w:sz="0" w:space="0" w:color="auto"/>
            <w:bottom w:val="none" w:sz="0" w:space="0" w:color="auto"/>
            <w:right w:val="none" w:sz="0" w:space="0" w:color="auto"/>
          </w:divBdr>
        </w:div>
        <w:div w:id="183174437">
          <w:marLeft w:val="0"/>
          <w:marRight w:val="0"/>
          <w:marTop w:val="0"/>
          <w:marBottom w:val="0"/>
          <w:divBdr>
            <w:top w:val="none" w:sz="0" w:space="0" w:color="auto"/>
            <w:left w:val="none" w:sz="0" w:space="0" w:color="auto"/>
            <w:bottom w:val="none" w:sz="0" w:space="0" w:color="auto"/>
            <w:right w:val="none" w:sz="0" w:space="0" w:color="auto"/>
          </w:divBdr>
        </w:div>
        <w:div w:id="195120132">
          <w:marLeft w:val="0"/>
          <w:marRight w:val="0"/>
          <w:marTop w:val="0"/>
          <w:marBottom w:val="0"/>
          <w:divBdr>
            <w:top w:val="none" w:sz="0" w:space="0" w:color="auto"/>
            <w:left w:val="none" w:sz="0" w:space="0" w:color="auto"/>
            <w:bottom w:val="none" w:sz="0" w:space="0" w:color="auto"/>
            <w:right w:val="none" w:sz="0" w:space="0" w:color="auto"/>
          </w:divBdr>
        </w:div>
        <w:div w:id="213664372">
          <w:marLeft w:val="0"/>
          <w:marRight w:val="0"/>
          <w:marTop w:val="0"/>
          <w:marBottom w:val="0"/>
          <w:divBdr>
            <w:top w:val="none" w:sz="0" w:space="0" w:color="auto"/>
            <w:left w:val="none" w:sz="0" w:space="0" w:color="auto"/>
            <w:bottom w:val="none" w:sz="0" w:space="0" w:color="auto"/>
            <w:right w:val="none" w:sz="0" w:space="0" w:color="auto"/>
          </w:divBdr>
        </w:div>
        <w:div w:id="214778084">
          <w:marLeft w:val="0"/>
          <w:marRight w:val="0"/>
          <w:marTop w:val="0"/>
          <w:marBottom w:val="0"/>
          <w:divBdr>
            <w:top w:val="none" w:sz="0" w:space="0" w:color="auto"/>
            <w:left w:val="none" w:sz="0" w:space="0" w:color="auto"/>
            <w:bottom w:val="none" w:sz="0" w:space="0" w:color="auto"/>
            <w:right w:val="none" w:sz="0" w:space="0" w:color="auto"/>
          </w:divBdr>
          <w:divsChild>
            <w:div w:id="1247419354">
              <w:marLeft w:val="-75"/>
              <w:marRight w:val="0"/>
              <w:marTop w:val="30"/>
              <w:marBottom w:val="30"/>
              <w:divBdr>
                <w:top w:val="none" w:sz="0" w:space="0" w:color="auto"/>
                <w:left w:val="none" w:sz="0" w:space="0" w:color="auto"/>
                <w:bottom w:val="none" w:sz="0" w:space="0" w:color="auto"/>
                <w:right w:val="none" w:sz="0" w:space="0" w:color="auto"/>
              </w:divBdr>
              <w:divsChild>
                <w:div w:id="153837826">
                  <w:marLeft w:val="0"/>
                  <w:marRight w:val="0"/>
                  <w:marTop w:val="0"/>
                  <w:marBottom w:val="0"/>
                  <w:divBdr>
                    <w:top w:val="none" w:sz="0" w:space="0" w:color="auto"/>
                    <w:left w:val="none" w:sz="0" w:space="0" w:color="auto"/>
                    <w:bottom w:val="none" w:sz="0" w:space="0" w:color="auto"/>
                    <w:right w:val="none" w:sz="0" w:space="0" w:color="auto"/>
                  </w:divBdr>
                  <w:divsChild>
                    <w:div w:id="1453093749">
                      <w:marLeft w:val="0"/>
                      <w:marRight w:val="0"/>
                      <w:marTop w:val="0"/>
                      <w:marBottom w:val="0"/>
                      <w:divBdr>
                        <w:top w:val="none" w:sz="0" w:space="0" w:color="auto"/>
                        <w:left w:val="none" w:sz="0" w:space="0" w:color="auto"/>
                        <w:bottom w:val="none" w:sz="0" w:space="0" w:color="auto"/>
                        <w:right w:val="none" w:sz="0" w:space="0" w:color="auto"/>
                      </w:divBdr>
                    </w:div>
                  </w:divsChild>
                </w:div>
                <w:div w:id="185363244">
                  <w:marLeft w:val="0"/>
                  <w:marRight w:val="0"/>
                  <w:marTop w:val="0"/>
                  <w:marBottom w:val="0"/>
                  <w:divBdr>
                    <w:top w:val="none" w:sz="0" w:space="0" w:color="auto"/>
                    <w:left w:val="none" w:sz="0" w:space="0" w:color="auto"/>
                    <w:bottom w:val="none" w:sz="0" w:space="0" w:color="auto"/>
                    <w:right w:val="none" w:sz="0" w:space="0" w:color="auto"/>
                  </w:divBdr>
                  <w:divsChild>
                    <w:div w:id="1565213621">
                      <w:marLeft w:val="0"/>
                      <w:marRight w:val="0"/>
                      <w:marTop w:val="0"/>
                      <w:marBottom w:val="0"/>
                      <w:divBdr>
                        <w:top w:val="none" w:sz="0" w:space="0" w:color="auto"/>
                        <w:left w:val="none" w:sz="0" w:space="0" w:color="auto"/>
                        <w:bottom w:val="none" w:sz="0" w:space="0" w:color="auto"/>
                        <w:right w:val="none" w:sz="0" w:space="0" w:color="auto"/>
                      </w:divBdr>
                    </w:div>
                  </w:divsChild>
                </w:div>
                <w:div w:id="365375304">
                  <w:marLeft w:val="0"/>
                  <w:marRight w:val="0"/>
                  <w:marTop w:val="0"/>
                  <w:marBottom w:val="0"/>
                  <w:divBdr>
                    <w:top w:val="none" w:sz="0" w:space="0" w:color="auto"/>
                    <w:left w:val="none" w:sz="0" w:space="0" w:color="auto"/>
                    <w:bottom w:val="none" w:sz="0" w:space="0" w:color="auto"/>
                    <w:right w:val="none" w:sz="0" w:space="0" w:color="auto"/>
                  </w:divBdr>
                  <w:divsChild>
                    <w:div w:id="1911115659">
                      <w:marLeft w:val="0"/>
                      <w:marRight w:val="0"/>
                      <w:marTop w:val="0"/>
                      <w:marBottom w:val="0"/>
                      <w:divBdr>
                        <w:top w:val="none" w:sz="0" w:space="0" w:color="auto"/>
                        <w:left w:val="none" w:sz="0" w:space="0" w:color="auto"/>
                        <w:bottom w:val="none" w:sz="0" w:space="0" w:color="auto"/>
                        <w:right w:val="none" w:sz="0" w:space="0" w:color="auto"/>
                      </w:divBdr>
                    </w:div>
                  </w:divsChild>
                </w:div>
                <w:div w:id="414012031">
                  <w:marLeft w:val="0"/>
                  <w:marRight w:val="0"/>
                  <w:marTop w:val="0"/>
                  <w:marBottom w:val="0"/>
                  <w:divBdr>
                    <w:top w:val="none" w:sz="0" w:space="0" w:color="auto"/>
                    <w:left w:val="none" w:sz="0" w:space="0" w:color="auto"/>
                    <w:bottom w:val="none" w:sz="0" w:space="0" w:color="auto"/>
                    <w:right w:val="none" w:sz="0" w:space="0" w:color="auto"/>
                  </w:divBdr>
                  <w:divsChild>
                    <w:div w:id="656152965">
                      <w:marLeft w:val="0"/>
                      <w:marRight w:val="0"/>
                      <w:marTop w:val="0"/>
                      <w:marBottom w:val="0"/>
                      <w:divBdr>
                        <w:top w:val="none" w:sz="0" w:space="0" w:color="auto"/>
                        <w:left w:val="none" w:sz="0" w:space="0" w:color="auto"/>
                        <w:bottom w:val="none" w:sz="0" w:space="0" w:color="auto"/>
                        <w:right w:val="none" w:sz="0" w:space="0" w:color="auto"/>
                      </w:divBdr>
                    </w:div>
                  </w:divsChild>
                </w:div>
                <w:div w:id="485316968">
                  <w:marLeft w:val="0"/>
                  <w:marRight w:val="0"/>
                  <w:marTop w:val="0"/>
                  <w:marBottom w:val="0"/>
                  <w:divBdr>
                    <w:top w:val="none" w:sz="0" w:space="0" w:color="auto"/>
                    <w:left w:val="none" w:sz="0" w:space="0" w:color="auto"/>
                    <w:bottom w:val="none" w:sz="0" w:space="0" w:color="auto"/>
                    <w:right w:val="none" w:sz="0" w:space="0" w:color="auto"/>
                  </w:divBdr>
                  <w:divsChild>
                    <w:div w:id="1636763095">
                      <w:marLeft w:val="0"/>
                      <w:marRight w:val="0"/>
                      <w:marTop w:val="0"/>
                      <w:marBottom w:val="0"/>
                      <w:divBdr>
                        <w:top w:val="none" w:sz="0" w:space="0" w:color="auto"/>
                        <w:left w:val="none" w:sz="0" w:space="0" w:color="auto"/>
                        <w:bottom w:val="none" w:sz="0" w:space="0" w:color="auto"/>
                        <w:right w:val="none" w:sz="0" w:space="0" w:color="auto"/>
                      </w:divBdr>
                    </w:div>
                  </w:divsChild>
                </w:div>
                <w:div w:id="538394186">
                  <w:marLeft w:val="0"/>
                  <w:marRight w:val="0"/>
                  <w:marTop w:val="0"/>
                  <w:marBottom w:val="0"/>
                  <w:divBdr>
                    <w:top w:val="none" w:sz="0" w:space="0" w:color="auto"/>
                    <w:left w:val="none" w:sz="0" w:space="0" w:color="auto"/>
                    <w:bottom w:val="none" w:sz="0" w:space="0" w:color="auto"/>
                    <w:right w:val="none" w:sz="0" w:space="0" w:color="auto"/>
                  </w:divBdr>
                  <w:divsChild>
                    <w:div w:id="1731267932">
                      <w:marLeft w:val="0"/>
                      <w:marRight w:val="0"/>
                      <w:marTop w:val="0"/>
                      <w:marBottom w:val="0"/>
                      <w:divBdr>
                        <w:top w:val="none" w:sz="0" w:space="0" w:color="auto"/>
                        <w:left w:val="none" w:sz="0" w:space="0" w:color="auto"/>
                        <w:bottom w:val="none" w:sz="0" w:space="0" w:color="auto"/>
                        <w:right w:val="none" w:sz="0" w:space="0" w:color="auto"/>
                      </w:divBdr>
                    </w:div>
                  </w:divsChild>
                </w:div>
                <w:div w:id="664935095">
                  <w:marLeft w:val="0"/>
                  <w:marRight w:val="0"/>
                  <w:marTop w:val="0"/>
                  <w:marBottom w:val="0"/>
                  <w:divBdr>
                    <w:top w:val="none" w:sz="0" w:space="0" w:color="auto"/>
                    <w:left w:val="none" w:sz="0" w:space="0" w:color="auto"/>
                    <w:bottom w:val="none" w:sz="0" w:space="0" w:color="auto"/>
                    <w:right w:val="none" w:sz="0" w:space="0" w:color="auto"/>
                  </w:divBdr>
                  <w:divsChild>
                    <w:div w:id="621425355">
                      <w:marLeft w:val="0"/>
                      <w:marRight w:val="0"/>
                      <w:marTop w:val="0"/>
                      <w:marBottom w:val="0"/>
                      <w:divBdr>
                        <w:top w:val="none" w:sz="0" w:space="0" w:color="auto"/>
                        <w:left w:val="none" w:sz="0" w:space="0" w:color="auto"/>
                        <w:bottom w:val="none" w:sz="0" w:space="0" w:color="auto"/>
                        <w:right w:val="none" w:sz="0" w:space="0" w:color="auto"/>
                      </w:divBdr>
                    </w:div>
                  </w:divsChild>
                </w:div>
                <w:div w:id="888298158">
                  <w:marLeft w:val="0"/>
                  <w:marRight w:val="0"/>
                  <w:marTop w:val="0"/>
                  <w:marBottom w:val="0"/>
                  <w:divBdr>
                    <w:top w:val="none" w:sz="0" w:space="0" w:color="auto"/>
                    <w:left w:val="none" w:sz="0" w:space="0" w:color="auto"/>
                    <w:bottom w:val="none" w:sz="0" w:space="0" w:color="auto"/>
                    <w:right w:val="none" w:sz="0" w:space="0" w:color="auto"/>
                  </w:divBdr>
                  <w:divsChild>
                    <w:div w:id="486942013">
                      <w:marLeft w:val="0"/>
                      <w:marRight w:val="0"/>
                      <w:marTop w:val="0"/>
                      <w:marBottom w:val="0"/>
                      <w:divBdr>
                        <w:top w:val="none" w:sz="0" w:space="0" w:color="auto"/>
                        <w:left w:val="none" w:sz="0" w:space="0" w:color="auto"/>
                        <w:bottom w:val="none" w:sz="0" w:space="0" w:color="auto"/>
                        <w:right w:val="none" w:sz="0" w:space="0" w:color="auto"/>
                      </w:divBdr>
                    </w:div>
                  </w:divsChild>
                </w:div>
                <w:div w:id="936064266">
                  <w:marLeft w:val="0"/>
                  <w:marRight w:val="0"/>
                  <w:marTop w:val="0"/>
                  <w:marBottom w:val="0"/>
                  <w:divBdr>
                    <w:top w:val="none" w:sz="0" w:space="0" w:color="auto"/>
                    <w:left w:val="none" w:sz="0" w:space="0" w:color="auto"/>
                    <w:bottom w:val="none" w:sz="0" w:space="0" w:color="auto"/>
                    <w:right w:val="none" w:sz="0" w:space="0" w:color="auto"/>
                  </w:divBdr>
                  <w:divsChild>
                    <w:div w:id="785006514">
                      <w:marLeft w:val="0"/>
                      <w:marRight w:val="0"/>
                      <w:marTop w:val="0"/>
                      <w:marBottom w:val="0"/>
                      <w:divBdr>
                        <w:top w:val="none" w:sz="0" w:space="0" w:color="auto"/>
                        <w:left w:val="none" w:sz="0" w:space="0" w:color="auto"/>
                        <w:bottom w:val="none" w:sz="0" w:space="0" w:color="auto"/>
                        <w:right w:val="none" w:sz="0" w:space="0" w:color="auto"/>
                      </w:divBdr>
                    </w:div>
                  </w:divsChild>
                </w:div>
                <w:div w:id="1307784144">
                  <w:marLeft w:val="0"/>
                  <w:marRight w:val="0"/>
                  <w:marTop w:val="0"/>
                  <w:marBottom w:val="0"/>
                  <w:divBdr>
                    <w:top w:val="none" w:sz="0" w:space="0" w:color="auto"/>
                    <w:left w:val="none" w:sz="0" w:space="0" w:color="auto"/>
                    <w:bottom w:val="none" w:sz="0" w:space="0" w:color="auto"/>
                    <w:right w:val="none" w:sz="0" w:space="0" w:color="auto"/>
                  </w:divBdr>
                  <w:divsChild>
                    <w:div w:id="1945264934">
                      <w:marLeft w:val="0"/>
                      <w:marRight w:val="0"/>
                      <w:marTop w:val="0"/>
                      <w:marBottom w:val="0"/>
                      <w:divBdr>
                        <w:top w:val="none" w:sz="0" w:space="0" w:color="auto"/>
                        <w:left w:val="none" w:sz="0" w:space="0" w:color="auto"/>
                        <w:bottom w:val="none" w:sz="0" w:space="0" w:color="auto"/>
                        <w:right w:val="none" w:sz="0" w:space="0" w:color="auto"/>
                      </w:divBdr>
                    </w:div>
                  </w:divsChild>
                </w:div>
                <w:div w:id="1490513516">
                  <w:marLeft w:val="0"/>
                  <w:marRight w:val="0"/>
                  <w:marTop w:val="0"/>
                  <w:marBottom w:val="0"/>
                  <w:divBdr>
                    <w:top w:val="none" w:sz="0" w:space="0" w:color="auto"/>
                    <w:left w:val="none" w:sz="0" w:space="0" w:color="auto"/>
                    <w:bottom w:val="none" w:sz="0" w:space="0" w:color="auto"/>
                    <w:right w:val="none" w:sz="0" w:space="0" w:color="auto"/>
                  </w:divBdr>
                  <w:divsChild>
                    <w:div w:id="284583125">
                      <w:marLeft w:val="0"/>
                      <w:marRight w:val="0"/>
                      <w:marTop w:val="0"/>
                      <w:marBottom w:val="0"/>
                      <w:divBdr>
                        <w:top w:val="none" w:sz="0" w:space="0" w:color="auto"/>
                        <w:left w:val="none" w:sz="0" w:space="0" w:color="auto"/>
                        <w:bottom w:val="none" w:sz="0" w:space="0" w:color="auto"/>
                        <w:right w:val="none" w:sz="0" w:space="0" w:color="auto"/>
                      </w:divBdr>
                    </w:div>
                  </w:divsChild>
                </w:div>
                <w:div w:id="1569851064">
                  <w:marLeft w:val="0"/>
                  <w:marRight w:val="0"/>
                  <w:marTop w:val="0"/>
                  <w:marBottom w:val="0"/>
                  <w:divBdr>
                    <w:top w:val="none" w:sz="0" w:space="0" w:color="auto"/>
                    <w:left w:val="none" w:sz="0" w:space="0" w:color="auto"/>
                    <w:bottom w:val="none" w:sz="0" w:space="0" w:color="auto"/>
                    <w:right w:val="none" w:sz="0" w:space="0" w:color="auto"/>
                  </w:divBdr>
                  <w:divsChild>
                    <w:div w:id="1150948062">
                      <w:marLeft w:val="0"/>
                      <w:marRight w:val="0"/>
                      <w:marTop w:val="0"/>
                      <w:marBottom w:val="0"/>
                      <w:divBdr>
                        <w:top w:val="none" w:sz="0" w:space="0" w:color="auto"/>
                        <w:left w:val="none" w:sz="0" w:space="0" w:color="auto"/>
                        <w:bottom w:val="none" w:sz="0" w:space="0" w:color="auto"/>
                        <w:right w:val="none" w:sz="0" w:space="0" w:color="auto"/>
                      </w:divBdr>
                    </w:div>
                  </w:divsChild>
                </w:div>
                <w:div w:id="1601181254">
                  <w:marLeft w:val="0"/>
                  <w:marRight w:val="0"/>
                  <w:marTop w:val="0"/>
                  <w:marBottom w:val="0"/>
                  <w:divBdr>
                    <w:top w:val="none" w:sz="0" w:space="0" w:color="auto"/>
                    <w:left w:val="none" w:sz="0" w:space="0" w:color="auto"/>
                    <w:bottom w:val="none" w:sz="0" w:space="0" w:color="auto"/>
                    <w:right w:val="none" w:sz="0" w:space="0" w:color="auto"/>
                  </w:divBdr>
                  <w:divsChild>
                    <w:div w:id="283655428">
                      <w:marLeft w:val="0"/>
                      <w:marRight w:val="0"/>
                      <w:marTop w:val="0"/>
                      <w:marBottom w:val="0"/>
                      <w:divBdr>
                        <w:top w:val="none" w:sz="0" w:space="0" w:color="auto"/>
                        <w:left w:val="none" w:sz="0" w:space="0" w:color="auto"/>
                        <w:bottom w:val="none" w:sz="0" w:space="0" w:color="auto"/>
                        <w:right w:val="none" w:sz="0" w:space="0" w:color="auto"/>
                      </w:divBdr>
                    </w:div>
                  </w:divsChild>
                </w:div>
                <w:div w:id="1966808737">
                  <w:marLeft w:val="0"/>
                  <w:marRight w:val="0"/>
                  <w:marTop w:val="0"/>
                  <w:marBottom w:val="0"/>
                  <w:divBdr>
                    <w:top w:val="none" w:sz="0" w:space="0" w:color="auto"/>
                    <w:left w:val="none" w:sz="0" w:space="0" w:color="auto"/>
                    <w:bottom w:val="none" w:sz="0" w:space="0" w:color="auto"/>
                    <w:right w:val="none" w:sz="0" w:space="0" w:color="auto"/>
                  </w:divBdr>
                  <w:divsChild>
                    <w:div w:id="1624312118">
                      <w:marLeft w:val="0"/>
                      <w:marRight w:val="0"/>
                      <w:marTop w:val="0"/>
                      <w:marBottom w:val="0"/>
                      <w:divBdr>
                        <w:top w:val="none" w:sz="0" w:space="0" w:color="auto"/>
                        <w:left w:val="none" w:sz="0" w:space="0" w:color="auto"/>
                        <w:bottom w:val="none" w:sz="0" w:space="0" w:color="auto"/>
                        <w:right w:val="none" w:sz="0" w:space="0" w:color="auto"/>
                      </w:divBdr>
                    </w:div>
                  </w:divsChild>
                </w:div>
                <w:div w:id="2028752446">
                  <w:marLeft w:val="0"/>
                  <w:marRight w:val="0"/>
                  <w:marTop w:val="0"/>
                  <w:marBottom w:val="0"/>
                  <w:divBdr>
                    <w:top w:val="none" w:sz="0" w:space="0" w:color="auto"/>
                    <w:left w:val="none" w:sz="0" w:space="0" w:color="auto"/>
                    <w:bottom w:val="none" w:sz="0" w:space="0" w:color="auto"/>
                    <w:right w:val="none" w:sz="0" w:space="0" w:color="auto"/>
                  </w:divBdr>
                  <w:divsChild>
                    <w:div w:id="445732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109764">
          <w:marLeft w:val="0"/>
          <w:marRight w:val="0"/>
          <w:marTop w:val="0"/>
          <w:marBottom w:val="0"/>
          <w:divBdr>
            <w:top w:val="none" w:sz="0" w:space="0" w:color="auto"/>
            <w:left w:val="none" w:sz="0" w:space="0" w:color="auto"/>
            <w:bottom w:val="none" w:sz="0" w:space="0" w:color="auto"/>
            <w:right w:val="none" w:sz="0" w:space="0" w:color="auto"/>
          </w:divBdr>
        </w:div>
        <w:div w:id="234122686">
          <w:marLeft w:val="0"/>
          <w:marRight w:val="0"/>
          <w:marTop w:val="0"/>
          <w:marBottom w:val="0"/>
          <w:divBdr>
            <w:top w:val="none" w:sz="0" w:space="0" w:color="auto"/>
            <w:left w:val="none" w:sz="0" w:space="0" w:color="auto"/>
            <w:bottom w:val="none" w:sz="0" w:space="0" w:color="auto"/>
            <w:right w:val="none" w:sz="0" w:space="0" w:color="auto"/>
          </w:divBdr>
          <w:divsChild>
            <w:div w:id="420610868">
              <w:marLeft w:val="0"/>
              <w:marRight w:val="0"/>
              <w:marTop w:val="0"/>
              <w:marBottom w:val="0"/>
              <w:divBdr>
                <w:top w:val="none" w:sz="0" w:space="0" w:color="auto"/>
                <w:left w:val="none" w:sz="0" w:space="0" w:color="auto"/>
                <w:bottom w:val="none" w:sz="0" w:space="0" w:color="auto"/>
                <w:right w:val="none" w:sz="0" w:space="0" w:color="auto"/>
              </w:divBdr>
            </w:div>
            <w:div w:id="709189049">
              <w:marLeft w:val="0"/>
              <w:marRight w:val="0"/>
              <w:marTop w:val="0"/>
              <w:marBottom w:val="0"/>
              <w:divBdr>
                <w:top w:val="none" w:sz="0" w:space="0" w:color="auto"/>
                <w:left w:val="none" w:sz="0" w:space="0" w:color="auto"/>
                <w:bottom w:val="none" w:sz="0" w:space="0" w:color="auto"/>
                <w:right w:val="none" w:sz="0" w:space="0" w:color="auto"/>
              </w:divBdr>
            </w:div>
            <w:div w:id="910970586">
              <w:marLeft w:val="0"/>
              <w:marRight w:val="0"/>
              <w:marTop w:val="0"/>
              <w:marBottom w:val="0"/>
              <w:divBdr>
                <w:top w:val="none" w:sz="0" w:space="0" w:color="auto"/>
                <w:left w:val="none" w:sz="0" w:space="0" w:color="auto"/>
                <w:bottom w:val="none" w:sz="0" w:space="0" w:color="auto"/>
                <w:right w:val="none" w:sz="0" w:space="0" w:color="auto"/>
              </w:divBdr>
            </w:div>
            <w:div w:id="1557201691">
              <w:marLeft w:val="0"/>
              <w:marRight w:val="0"/>
              <w:marTop w:val="0"/>
              <w:marBottom w:val="0"/>
              <w:divBdr>
                <w:top w:val="none" w:sz="0" w:space="0" w:color="auto"/>
                <w:left w:val="none" w:sz="0" w:space="0" w:color="auto"/>
                <w:bottom w:val="none" w:sz="0" w:space="0" w:color="auto"/>
                <w:right w:val="none" w:sz="0" w:space="0" w:color="auto"/>
              </w:divBdr>
            </w:div>
            <w:div w:id="1970821577">
              <w:marLeft w:val="0"/>
              <w:marRight w:val="0"/>
              <w:marTop w:val="0"/>
              <w:marBottom w:val="0"/>
              <w:divBdr>
                <w:top w:val="none" w:sz="0" w:space="0" w:color="auto"/>
                <w:left w:val="none" w:sz="0" w:space="0" w:color="auto"/>
                <w:bottom w:val="none" w:sz="0" w:space="0" w:color="auto"/>
                <w:right w:val="none" w:sz="0" w:space="0" w:color="auto"/>
              </w:divBdr>
            </w:div>
          </w:divsChild>
        </w:div>
        <w:div w:id="243103855">
          <w:marLeft w:val="0"/>
          <w:marRight w:val="0"/>
          <w:marTop w:val="0"/>
          <w:marBottom w:val="0"/>
          <w:divBdr>
            <w:top w:val="none" w:sz="0" w:space="0" w:color="auto"/>
            <w:left w:val="none" w:sz="0" w:space="0" w:color="auto"/>
            <w:bottom w:val="none" w:sz="0" w:space="0" w:color="auto"/>
            <w:right w:val="none" w:sz="0" w:space="0" w:color="auto"/>
          </w:divBdr>
        </w:div>
        <w:div w:id="250238688">
          <w:marLeft w:val="0"/>
          <w:marRight w:val="0"/>
          <w:marTop w:val="0"/>
          <w:marBottom w:val="0"/>
          <w:divBdr>
            <w:top w:val="none" w:sz="0" w:space="0" w:color="auto"/>
            <w:left w:val="none" w:sz="0" w:space="0" w:color="auto"/>
            <w:bottom w:val="none" w:sz="0" w:space="0" w:color="auto"/>
            <w:right w:val="none" w:sz="0" w:space="0" w:color="auto"/>
          </w:divBdr>
        </w:div>
        <w:div w:id="275021678">
          <w:marLeft w:val="0"/>
          <w:marRight w:val="0"/>
          <w:marTop w:val="0"/>
          <w:marBottom w:val="0"/>
          <w:divBdr>
            <w:top w:val="none" w:sz="0" w:space="0" w:color="auto"/>
            <w:left w:val="none" w:sz="0" w:space="0" w:color="auto"/>
            <w:bottom w:val="none" w:sz="0" w:space="0" w:color="auto"/>
            <w:right w:val="none" w:sz="0" w:space="0" w:color="auto"/>
          </w:divBdr>
        </w:div>
        <w:div w:id="282081038">
          <w:marLeft w:val="0"/>
          <w:marRight w:val="0"/>
          <w:marTop w:val="0"/>
          <w:marBottom w:val="0"/>
          <w:divBdr>
            <w:top w:val="none" w:sz="0" w:space="0" w:color="auto"/>
            <w:left w:val="none" w:sz="0" w:space="0" w:color="auto"/>
            <w:bottom w:val="none" w:sz="0" w:space="0" w:color="auto"/>
            <w:right w:val="none" w:sz="0" w:space="0" w:color="auto"/>
          </w:divBdr>
          <w:divsChild>
            <w:div w:id="24141081">
              <w:marLeft w:val="0"/>
              <w:marRight w:val="0"/>
              <w:marTop w:val="0"/>
              <w:marBottom w:val="0"/>
              <w:divBdr>
                <w:top w:val="none" w:sz="0" w:space="0" w:color="auto"/>
                <w:left w:val="none" w:sz="0" w:space="0" w:color="auto"/>
                <w:bottom w:val="none" w:sz="0" w:space="0" w:color="auto"/>
                <w:right w:val="none" w:sz="0" w:space="0" w:color="auto"/>
              </w:divBdr>
            </w:div>
            <w:div w:id="143812730">
              <w:marLeft w:val="0"/>
              <w:marRight w:val="0"/>
              <w:marTop w:val="0"/>
              <w:marBottom w:val="0"/>
              <w:divBdr>
                <w:top w:val="none" w:sz="0" w:space="0" w:color="auto"/>
                <w:left w:val="none" w:sz="0" w:space="0" w:color="auto"/>
                <w:bottom w:val="none" w:sz="0" w:space="0" w:color="auto"/>
                <w:right w:val="none" w:sz="0" w:space="0" w:color="auto"/>
              </w:divBdr>
            </w:div>
            <w:div w:id="444275909">
              <w:marLeft w:val="0"/>
              <w:marRight w:val="0"/>
              <w:marTop w:val="0"/>
              <w:marBottom w:val="0"/>
              <w:divBdr>
                <w:top w:val="none" w:sz="0" w:space="0" w:color="auto"/>
                <w:left w:val="none" w:sz="0" w:space="0" w:color="auto"/>
                <w:bottom w:val="none" w:sz="0" w:space="0" w:color="auto"/>
                <w:right w:val="none" w:sz="0" w:space="0" w:color="auto"/>
              </w:divBdr>
            </w:div>
            <w:div w:id="486358118">
              <w:marLeft w:val="0"/>
              <w:marRight w:val="0"/>
              <w:marTop w:val="0"/>
              <w:marBottom w:val="0"/>
              <w:divBdr>
                <w:top w:val="none" w:sz="0" w:space="0" w:color="auto"/>
                <w:left w:val="none" w:sz="0" w:space="0" w:color="auto"/>
                <w:bottom w:val="none" w:sz="0" w:space="0" w:color="auto"/>
                <w:right w:val="none" w:sz="0" w:space="0" w:color="auto"/>
              </w:divBdr>
            </w:div>
            <w:div w:id="585845586">
              <w:marLeft w:val="0"/>
              <w:marRight w:val="0"/>
              <w:marTop w:val="0"/>
              <w:marBottom w:val="0"/>
              <w:divBdr>
                <w:top w:val="none" w:sz="0" w:space="0" w:color="auto"/>
                <w:left w:val="none" w:sz="0" w:space="0" w:color="auto"/>
                <w:bottom w:val="none" w:sz="0" w:space="0" w:color="auto"/>
                <w:right w:val="none" w:sz="0" w:space="0" w:color="auto"/>
              </w:divBdr>
            </w:div>
            <w:div w:id="621156263">
              <w:marLeft w:val="0"/>
              <w:marRight w:val="0"/>
              <w:marTop w:val="0"/>
              <w:marBottom w:val="0"/>
              <w:divBdr>
                <w:top w:val="none" w:sz="0" w:space="0" w:color="auto"/>
                <w:left w:val="none" w:sz="0" w:space="0" w:color="auto"/>
                <w:bottom w:val="none" w:sz="0" w:space="0" w:color="auto"/>
                <w:right w:val="none" w:sz="0" w:space="0" w:color="auto"/>
              </w:divBdr>
            </w:div>
            <w:div w:id="943223243">
              <w:marLeft w:val="0"/>
              <w:marRight w:val="0"/>
              <w:marTop w:val="0"/>
              <w:marBottom w:val="0"/>
              <w:divBdr>
                <w:top w:val="none" w:sz="0" w:space="0" w:color="auto"/>
                <w:left w:val="none" w:sz="0" w:space="0" w:color="auto"/>
                <w:bottom w:val="none" w:sz="0" w:space="0" w:color="auto"/>
                <w:right w:val="none" w:sz="0" w:space="0" w:color="auto"/>
              </w:divBdr>
            </w:div>
            <w:div w:id="954211354">
              <w:marLeft w:val="0"/>
              <w:marRight w:val="0"/>
              <w:marTop w:val="0"/>
              <w:marBottom w:val="0"/>
              <w:divBdr>
                <w:top w:val="none" w:sz="0" w:space="0" w:color="auto"/>
                <w:left w:val="none" w:sz="0" w:space="0" w:color="auto"/>
                <w:bottom w:val="none" w:sz="0" w:space="0" w:color="auto"/>
                <w:right w:val="none" w:sz="0" w:space="0" w:color="auto"/>
              </w:divBdr>
            </w:div>
            <w:div w:id="1019357287">
              <w:marLeft w:val="0"/>
              <w:marRight w:val="0"/>
              <w:marTop w:val="0"/>
              <w:marBottom w:val="0"/>
              <w:divBdr>
                <w:top w:val="none" w:sz="0" w:space="0" w:color="auto"/>
                <w:left w:val="none" w:sz="0" w:space="0" w:color="auto"/>
                <w:bottom w:val="none" w:sz="0" w:space="0" w:color="auto"/>
                <w:right w:val="none" w:sz="0" w:space="0" w:color="auto"/>
              </w:divBdr>
            </w:div>
            <w:div w:id="1360084353">
              <w:marLeft w:val="0"/>
              <w:marRight w:val="0"/>
              <w:marTop w:val="0"/>
              <w:marBottom w:val="0"/>
              <w:divBdr>
                <w:top w:val="none" w:sz="0" w:space="0" w:color="auto"/>
                <w:left w:val="none" w:sz="0" w:space="0" w:color="auto"/>
                <w:bottom w:val="none" w:sz="0" w:space="0" w:color="auto"/>
                <w:right w:val="none" w:sz="0" w:space="0" w:color="auto"/>
              </w:divBdr>
            </w:div>
            <w:div w:id="1374576105">
              <w:marLeft w:val="0"/>
              <w:marRight w:val="0"/>
              <w:marTop w:val="0"/>
              <w:marBottom w:val="0"/>
              <w:divBdr>
                <w:top w:val="none" w:sz="0" w:space="0" w:color="auto"/>
                <w:left w:val="none" w:sz="0" w:space="0" w:color="auto"/>
                <w:bottom w:val="none" w:sz="0" w:space="0" w:color="auto"/>
                <w:right w:val="none" w:sz="0" w:space="0" w:color="auto"/>
              </w:divBdr>
            </w:div>
            <w:div w:id="1598056333">
              <w:marLeft w:val="0"/>
              <w:marRight w:val="0"/>
              <w:marTop w:val="0"/>
              <w:marBottom w:val="0"/>
              <w:divBdr>
                <w:top w:val="none" w:sz="0" w:space="0" w:color="auto"/>
                <w:left w:val="none" w:sz="0" w:space="0" w:color="auto"/>
                <w:bottom w:val="none" w:sz="0" w:space="0" w:color="auto"/>
                <w:right w:val="none" w:sz="0" w:space="0" w:color="auto"/>
              </w:divBdr>
            </w:div>
            <w:div w:id="1750468920">
              <w:marLeft w:val="0"/>
              <w:marRight w:val="0"/>
              <w:marTop w:val="0"/>
              <w:marBottom w:val="0"/>
              <w:divBdr>
                <w:top w:val="none" w:sz="0" w:space="0" w:color="auto"/>
                <w:left w:val="none" w:sz="0" w:space="0" w:color="auto"/>
                <w:bottom w:val="none" w:sz="0" w:space="0" w:color="auto"/>
                <w:right w:val="none" w:sz="0" w:space="0" w:color="auto"/>
              </w:divBdr>
            </w:div>
          </w:divsChild>
        </w:div>
        <w:div w:id="284309185">
          <w:marLeft w:val="0"/>
          <w:marRight w:val="0"/>
          <w:marTop w:val="0"/>
          <w:marBottom w:val="0"/>
          <w:divBdr>
            <w:top w:val="none" w:sz="0" w:space="0" w:color="auto"/>
            <w:left w:val="none" w:sz="0" w:space="0" w:color="auto"/>
            <w:bottom w:val="none" w:sz="0" w:space="0" w:color="auto"/>
            <w:right w:val="none" w:sz="0" w:space="0" w:color="auto"/>
          </w:divBdr>
        </w:div>
        <w:div w:id="286157665">
          <w:marLeft w:val="0"/>
          <w:marRight w:val="0"/>
          <w:marTop w:val="0"/>
          <w:marBottom w:val="0"/>
          <w:divBdr>
            <w:top w:val="none" w:sz="0" w:space="0" w:color="auto"/>
            <w:left w:val="none" w:sz="0" w:space="0" w:color="auto"/>
            <w:bottom w:val="none" w:sz="0" w:space="0" w:color="auto"/>
            <w:right w:val="none" w:sz="0" w:space="0" w:color="auto"/>
          </w:divBdr>
        </w:div>
        <w:div w:id="316348963">
          <w:marLeft w:val="0"/>
          <w:marRight w:val="0"/>
          <w:marTop w:val="0"/>
          <w:marBottom w:val="0"/>
          <w:divBdr>
            <w:top w:val="none" w:sz="0" w:space="0" w:color="auto"/>
            <w:left w:val="none" w:sz="0" w:space="0" w:color="auto"/>
            <w:bottom w:val="none" w:sz="0" w:space="0" w:color="auto"/>
            <w:right w:val="none" w:sz="0" w:space="0" w:color="auto"/>
          </w:divBdr>
          <w:divsChild>
            <w:div w:id="196819175">
              <w:marLeft w:val="0"/>
              <w:marRight w:val="0"/>
              <w:marTop w:val="0"/>
              <w:marBottom w:val="0"/>
              <w:divBdr>
                <w:top w:val="none" w:sz="0" w:space="0" w:color="auto"/>
                <w:left w:val="none" w:sz="0" w:space="0" w:color="auto"/>
                <w:bottom w:val="none" w:sz="0" w:space="0" w:color="auto"/>
                <w:right w:val="none" w:sz="0" w:space="0" w:color="auto"/>
              </w:divBdr>
            </w:div>
            <w:div w:id="339280788">
              <w:marLeft w:val="0"/>
              <w:marRight w:val="0"/>
              <w:marTop w:val="0"/>
              <w:marBottom w:val="0"/>
              <w:divBdr>
                <w:top w:val="none" w:sz="0" w:space="0" w:color="auto"/>
                <w:left w:val="none" w:sz="0" w:space="0" w:color="auto"/>
                <w:bottom w:val="none" w:sz="0" w:space="0" w:color="auto"/>
                <w:right w:val="none" w:sz="0" w:space="0" w:color="auto"/>
              </w:divBdr>
            </w:div>
            <w:div w:id="666638885">
              <w:marLeft w:val="0"/>
              <w:marRight w:val="0"/>
              <w:marTop w:val="0"/>
              <w:marBottom w:val="0"/>
              <w:divBdr>
                <w:top w:val="none" w:sz="0" w:space="0" w:color="auto"/>
                <w:left w:val="none" w:sz="0" w:space="0" w:color="auto"/>
                <w:bottom w:val="none" w:sz="0" w:space="0" w:color="auto"/>
                <w:right w:val="none" w:sz="0" w:space="0" w:color="auto"/>
              </w:divBdr>
            </w:div>
            <w:div w:id="1178738433">
              <w:marLeft w:val="0"/>
              <w:marRight w:val="0"/>
              <w:marTop w:val="0"/>
              <w:marBottom w:val="0"/>
              <w:divBdr>
                <w:top w:val="none" w:sz="0" w:space="0" w:color="auto"/>
                <w:left w:val="none" w:sz="0" w:space="0" w:color="auto"/>
                <w:bottom w:val="none" w:sz="0" w:space="0" w:color="auto"/>
                <w:right w:val="none" w:sz="0" w:space="0" w:color="auto"/>
              </w:divBdr>
            </w:div>
            <w:div w:id="1359047382">
              <w:marLeft w:val="0"/>
              <w:marRight w:val="0"/>
              <w:marTop w:val="0"/>
              <w:marBottom w:val="0"/>
              <w:divBdr>
                <w:top w:val="none" w:sz="0" w:space="0" w:color="auto"/>
                <w:left w:val="none" w:sz="0" w:space="0" w:color="auto"/>
                <w:bottom w:val="none" w:sz="0" w:space="0" w:color="auto"/>
                <w:right w:val="none" w:sz="0" w:space="0" w:color="auto"/>
              </w:divBdr>
            </w:div>
          </w:divsChild>
        </w:div>
        <w:div w:id="329795842">
          <w:marLeft w:val="0"/>
          <w:marRight w:val="0"/>
          <w:marTop w:val="0"/>
          <w:marBottom w:val="0"/>
          <w:divBdr>
            <w:top w:val="none" w:sz="0" w:space="0" w:color="auto"/>
            <w:left w:val="none" w:sz="0" w:space="0" w:color="auto"/>
            <w:bottom w:val="none" w:sz="0" w:space="0" w:color="auto"/>
            <w:right w:val="none" w:sz="0" w:space="0" w:color="auto"/>
          </w:divBdr>
        </w:div>
        <w:div w:id="351228222">
          <w:marLeft w:val="0"/>
          <w:marRight w:val="0"/>
          <w:marTop w:val="0"/>
          <w:marBottom w:val="0"/>
          <w:divBdr>
            <w:top w:val="none" w:sz="0" w:space="0" w:color="auto"/>
            <w:left w:val="none" w:sz="0" w:space="0" w:color="auto"/>
            <w:bottom w:val="none" w:sz="0" w:space="0" w:color="auto"/>
            <w:right w:val="none" w:sz="0" w:space="0" w:color="auto"/>
          </w:divBdr>
          <w:divsChild>
            <w:div w:id="514536637">
              <w:marLeft w:val="0"/>
              <w:marRight w:val="0"/>
              <w:marTop w:val="0"/>
              <w:marBottom w:val="0"/>
              <w:divBdr>
                <w:top w:val="none" w:sz="0" w:space="0" w:color="auto"/>
                <w:left w:val="none" w:sz="0" w:space="0" w:color="auto"/>
                <w:bottom w:val="none" w:sz="0" w:space="0" w:color="auto"/>
                <w:right w:val="none" w:sz="0" w:space="0" w:color="auto"/>
              </w:divBdr>
            </w:div>
            <w:div w:id="546379636">
              <w:marLeft w:val="0"/>
              <w:marRight w:val="0"/>
              <w:marTop w:val="0"/>
              <w:marBottom w:val="0"/>
              <w:divBdr>
                <w:top w:val="none" w:sz="0" w:space="0" w:color="auto"/>
                <w:left w:val="none" w:sz="0" w:space="0" w:color="auto"/>
                <w:bottom w:val="none" w:sz="0" w:space="0" w:color="auto"/>
                <w:right w:val="none" w:sz="0" w:space="0" w:color="auto"/>
              </w:divBdr>
            </w:div>
            <w:div w:id="653266266">
              <w:marLeft w:val="0"/>
              <w:marRight w:val="0"/>
              <w:marTop w:val="0"/>
              <w:marBottom w:val="0"/>
              <w:divBdr>
                <w:top w:val="none" w:sz="0" w:space="0" w:color="auto"/>
                <w:left w:val="none" w:sz="0" w:space="0" w:color="auto"/>
                <w:bottom w:val="none" w:sz="0" w:space="0" w:color="auto"/>
                <w:right w:val="none" w:sz="0" w:space="0" w:color="auto"/>
              </w:divBdr>
            </w:div>
            <w:div w:id="1066491445">
              <w:marLeft w:val="0"/>
              <w:marRight w:val="0"/>
              <w:marTop w:val="0"/>
              <w:marBottom w:val="0"/>
              <w:divBdr>
                <w:top w:val="none" w:sz="0" w:space="0" w:color="auto"/>
                <w:left w:val="none" w:sz="0" w:space="0" w:color="auto"/>
                <w:bottom w:val="none" w:sz="0" w:space="0" w:color="auto"/>
                <w:right w:val="none" w:sz="0" w:space="0" w:color="auto"/>
              </w:divBdr>
            </w:div>
            <w:div w:id="1610239469">
              <w:marLeft w:val="0"/>
              <w:marRight w:val="0"/>
              <w:marTop w:val="0"/>
              <w:marBottom w:val="0"/>
              <w:divBdr>
                <w:top w:val="none" w:sz="0" w:space="0" w:color="auto"/>
                <w:left w:val="none" w:sz="0" w:space="0" w:color="auto"/>
                <w:bottom w:val="none" w:sz="0" w:space="0" w:color="auto"/>
                <w:right w:val="none" w:sz="0" w:space="0" w:color="auto"/>
              </w:divBdr>
            </w:div>
          </w:divsChild>
        </w:div>
        <w:div w:id="376123915">
          <w:marLeft w:val="0"/>
          <w:marRight w:val="0"/>
          <w:marTop w:val="0"/>
          <w:marBottom w:val="0"/>
          <w:divBdr>
            <w:top w:val="none" w:sz="0" w:space="0" w:color="auto"/>
            <w:left w:val="none" w:sz="0" w:space="0" w:color="auto"/>
            <w:bottom w:val="none" w:sz="0" w:space="0" w:color="auto"/>
            <w:right w:val="none" w:sz="0" w:space="0" w:color="auto"/>
          </w:divBdr>
        </w:div>
        <w:div w:id="396822660">
          <w:marLeft w:val="0"/>
          <w:marRight w:val="0"/>
          <w:marTop w:val="0"/>
          <w:marBottom w:val="0"/>
          <w:divBdr>
            <w:top w:val="none" w:sz="0" w:space="0" w:color="auto"/>
            <w:left w:val="none" w:sz="0" w:space="0" w:color="auto"/>
            <w:bottom w:val="none" w:sz="0" w:space="0" w:color="auto"/>
            <w:right w:val="none" w:sz="0" w:space="0" w:color="auto"/>
          </w:divBdr>
          <w:divsChild>
            <w:div w:id="477067200">
              <w:marLeft w:val="0"/>
              <w:marRight w:val="0"/>
              <w:marTop w:val="0"/>
              <w:marBottom w:val="0"/>
              <w:divBdr>
                <w:top w:val="none" w:sz="0" w:space="0" w:color="auto"/>
                <w:left w:val="none" w:sz="0" w:space="0" w:color="auto"/>
                <w:bottom w:val="none" w:sz="0" w:space="0" w:color="auto"/>
                <w:right w:val="none" w:sz="0" w:space="0" w:color="auto"/>
              </w:divBdr>
            </w:div>
            <w:div w:id="623539287">
              <w:marLeft w:val="0"/>
              <w:marRight w:val="0"/>
              <w:marTop w:val="0"/>
              <w:marBottom w:val="0"/>
              <w:divBdr>
                <w:top w:val="none" w:sz="0" w:space="0" w:color="auto"/>
                <w:left w:val="none" w:sz="0" w:space="0" w:color="auto"/>
                <w:bottom w:val="none" w:sz="0" w:space="0" w:color="auto"/>
                <w:right w:val="none" w:sz="0" w:space="0" w:color="auto"/>
              </w:divBdr>
            </w:div>
            <w:div w:id="788428755">
              <w:marLeft w:val="0"/>
              <w:marRight w:val="0"/>
              <w:marTop w:val="0"/>
              <w:marBottom w:val="0"/>
              <w:divBdr>
                <w:top w:val="none" w:sz="0" w:space="0" w:color="auto"/>
                <w:left w:val="none" w:sz="0" w:space="0" w:color="auto"/>
                <w:bottom w:val="none" w:sz="0" w:space="0" w:color="auto"/>
                <w:right w:val="none" w:sz="0" w:space="0" w:color="auto"/>
              </w:divBdr>
            </w:div>
            <w:div w:id="1112479032">
              <w:marLeft w:val="0"/>
              <w:marRight w:val="0"/>
              <w:marTop w:val="0"/>
              <w:marBottom w:val="0"/>
              <w:divBdr>
                <w:top w:val="none" w:sz="0" w:space="0" w:color="auto"/>
                <w:left w:val="none" w:sz="0" w:space="0" w:color="auto"/>
                <w:bottom w:val="none" w:sz="0" w:space="0" w:color="auto"/>
                <w:right w:val="none" w:sz="0" w:space="0" w:color="auto"/>
              </w:divBdr>
            </w:div>
            <w:div w:id="1650475635">
              <w:marLeft w:val="0"/>
              <w:marRight w:val="0"/>
              <w:marTop w:val="0"/>
              <w:marBottom w:val="0"/>
              <w:divBdr>
                <w:top w:val="none" w:sz="0" w:space="0" w:color="auto"/>
                <w:left w:val="none" w:sz="0" w:space="0" w:color="auto"/>
                <w:bottom w:val="none" w:sz="0" w:space="0" w:color="auto"/>
                <w:right w:val="none" w:sz="0" w:space="0" w:color="auto"/>
              </w:divBdr>
            </w:div>
          </w:divsChild>
        </w:div>
        <w:div w:id="401370036">
          <w:marLeft w:val="0"/>
          <w:marRight w:val="0"/>
          <w:marTop w:val="0"/>
          <w:marBottom w:val="0"/>
          <w:divBdr>
            <w:top w:val="none" w:sz="0" w:space="0" w:color="auto"/>
            <w:left w:val="none" w:sz="0" w:space="0" w:color="auto"/>
            <w:bottom w:val="none" w:sz="0" w:space="0" w:color="auto"/>
            <w:right w:val="none" w:sz="0" w:space="0" w:color="auto"/>
          </w:divBdr>
          <w:divsChild>
            <w:div w:id="75983592">
              <w:marLeft w:val="0"/>
              <w:marRight w:val="0"/>
              <w:marTop w:val="0"/>
              <w:marBottom w:val="0"/>
              <w:divBdr>
                <w:top w:val="none" w:sz="0" w:space="0" w:color="auto"/>
                <w:left w:val="none" w:sz="0" w:space="0" w:color="auto"/>
                <w:bottom w:val="none" w:sz="0" w:space="0" w:color="auto"/>
                <w:right w:val="none" w:sz="0" w:space="0" w:color="auto"/>
              </w:divBdr>
            </w:div>
            <w:div w:id="343823232">
              <w:marLeft w:val="0"/>
              <w:marRight w:val="0"/>
              <w:marTop w:val="0"/>
              <w:marBottom w:val="0"/>
              <w:divBdr>
                <w:top w:val="none" w:sz="0" w:space="0" w:color="auto"/>
                <w:left w:val="none" w:sz="0" w:space="0" w:color="auto"/>
                <w:bottom w:val="none" w:sz="0" w:space="0" w:color="auto"/>
                <w:right w:val="none" w:sz="0" w:space="0" w:color="auto"/>
              </w:divBdr>
            </w:div>
            <w:div w:id="1800875716">
              <w:marLeft w:val="0"/>
              <w:marRight w:val="0"/>
              <w:marTop w:val="0"/>
              <w:marBottom w:val="0"/>
              <w:divBdr>
                <w:top w:val="none" w:sz="0" w:space="0" w:color="auto"/>
                <w:left w:val="none" w:sz="0" w:space="0" w:color="auto"/>
                <w:bottom w:val="none" w:sz="0" w:space="0" w:color="auto"/>
                <w:right w:val="none" w:sz="0" w:space="0" w:color="auto"/>
              </w:divBdr>
            </w:div>
          </w:divsChild>
        </w:div>
        <w:div w:id="405613997">
          <w:marLeft w:val="0"/>
          <w:marRight w:val="0"/>
          <w:marTop w:val="0"/>
          <w:marBottom w:val="0"/>
          <w:divBdr>
            <w:top w:val="none" w:sz="0" w:space="0" w:color="auto"/>
            <w:left w:val="none" w:sz="0" w:space="0" w:color="auto"/>
            <w:bottom w:val="none" w:sz="0" w:space="0" w:color="auto"/>
            <w:right w:val="none" w:sz="0" w:space="0" w:color="auto"/>
          </w:divBdr>
          <w:divsChild>
            <w:div w:id="303660447">
              <w:marLeft w:val="0"/>
              <w:marRight w:val="0"/>
              <w:marTop w:val="0"/>
              <w:marBottom w:val="0"/>
              <w:divBdr>
                <w:top w:val="none" w:sz="0" w:space="0" w:color="auto"/>
                <w:left w:val="none" w:sz="0" w:space="0" w:color="auto"/>
                <w:bottom w:val="none" w:sz="0" w:space="0" w:color="auto"/>
                <w:right w:val="none" w:sz="0" w:space="0" w:color="auto"/>
              </w:divBdr>
            </w:div>
            <w:div w:id="519591033">
              <w:marLeft w:val="0"/>
              <w:marRight w:val="0"/>
              <w:marTop w:val="0"/>
              <w:marBottom w:val="0"/>
              <w:divBdr>
                <w:top w:val="none" w:sz="0" w:space="0" w:color="auto"/>
                <w:left w:val="none" w:sz="0" w:space="0" w:color="auto"/>
                <w:bottom w:val="none" w:sz="0" w:space="0" w:color="auto"/>
                <w:right w:val="none" w:sz="0" w:space="0" w:color="auto"/>
              </w:divBdr>
            </w:div>
            <w:div w:id="867793058">
              <w:marLeft w:val="0"/>
              <w:marRight w:val="0"/>
              <w:marTop w:val="0"/>
              <w:marBottom w:val="0"/>
              <w:divBdr>
                <w:top w:val="none" w:sz="0" w:space="0" w:color="auto"/>
                <w:left w:val="none" w:sz="0" w:space="0" w:color="auto"/>
                <w:bottom w:val="none" w:sz="0" w:space="0" w:color="auto"/>
                <w:right w:val="none" w:sz="0" w:space="0" w:color="auto"/>
              </w:divBdr>
            </w:div>
            <w:div w:id="1391417287">
              <w:marLeft w:val="0"/>
              <w:marRight w:val="0"/>
              <w:marTop w:val="0"/>
              <w:marBottom w:val="0"/>
              <w:divBdr>
                <w:top w:val="none" w:sz="0" w:space="0" w:color="auto"/>
                <w:left w:val="none" w:sz="0" w:space="0" w:color="auto"/>
                <w:bottom w:val="none" w:sz="0" w:space="0" w:color="auto"/>
                <w:right w:val="none" w:sz="0" w:space="0" w:color="auto"/>
              </w:divBdr>
            </w:div>
            <w:div w:id="1731534749">
              <w:marLeft w:val="0"/>
              <w:marRight w:val="0"/>
              <w:marTop w:val="0"/>
              <w:marBottom w:val="0"/>
              <w:divBdr>
                <w:top w:val="none" w:sz="0" w:space="0" w:color="auto"/>
                <w:left w:val="none" w:sz="0" w:space="0" w:color="auto"/>
                <w:bottom w:val="none" w:sz="0" w:space="0" w:color="auto"/>
                <w:right w:val="none" w:sz="0" w:space="0" w:color="auto"/>
              </w:divBdr>
            </w:div>
          </w:divsChild>
        </w:div>
        <w:div w:id="414786679">
          <w:marLeft w:val="0"/>
          <w:marRight w:val="0"/>
          <w:marTop w:val="0"/>
          <w:marBottom w:val="0"/>
          <w:divBdr>
            <w:top w:val="none" w:sz="0" w:space="0" w:color="auto"/>
            <w:left w:val="none" w:sz="0" w:space="0" w:color="auto"/>
            <w:bottom w:val="none" w:sz="0" w:space="0" w:color="auto"/>
            <w:right w:val="none" w:sz="0" w:space="0" w:color="auto"/>
          </w:divBdr>
        </w:div>
        <w:div w:id="434911307">
          <w:marLeft w:val="0"/>
          <w:marRight w:val="0"/>
          <w:marTop w:val="0"/>
          <w:marBottom w:val="0"/>
          <w:divBdr>
            <w:top w:val="none" w:sz="0" w:space="0" w:color="auto"/>
            <w:left w:val="none" w:sz="0" w:space="0" w:color="auto"/>
            <w:bottom w:val="none" w:sz="0" w:space="0" w:color="auto"/>
            <w:right w:val="none" w:sz="0" w:space="0" w:color="auto"/>
          </w:divBdr>
          <w:divsChild>
            <w:div w:id="309948719">
              <w:marLeft w:val="0"/>
              <w:marRight w:val="0"/>
              <w:marTop w:val="0"/>
              <w:marBottom w:val="0"/>
              <w:divBdr>
                <w:top w:val="none" w:sz="0" w:space="0" w:color="auto"/>
                <w:left w:val="none" w:sz="0" w:space="0" w:color="auto"/>
                <w:bottom w:val="none" w:sz="0" w:space="0" w:color="auto"/>
                <w:right w:val="none" w:sz="0" w:space="0" w:color="auto"/>
              </w:divBdr>
            </w:div>
            <w:div w:id="945424865">
              <w:marLeft w:val="0"/>
              <w:marRight w:val="0"/>
              <w:marTop w:val="0"/>
              <w:marBottom w:val="0"/>
              <w:divBdr>
                <w:top w:val="none" w:sz="0" w:space="0" w:color="auto"/>
                <w:left w:val="none" w:sz="0" w:space="0" w:color="auto"/>
                <w:bottom w:val="none" w:sz="0" w:space="0" w:color="auto"/>
                <w:right w:val="none" w:sz="0" w:space="0" w:color="auto"/>
              </w:divBdr>
            </w:div>
            <w:div w:id="1207790223">
              <w:marLeft w:val="0"/>
              <w:marRight w:val="0"/>
              <w:marTop w:val="0"/>
              <w:marBottom w:val="0"/>
              <w:divBdr>
                <w:top w:val="none" w:sz="0" w:space="0" w:color="auto"/>
                <w:left w:val="none" w:sz="0" w:space="0" w:color="auto"/>
                <w:bottom w:val="none" w:sz="0" w:space="0" w:color="auto"/>
                <w:right w:val="none" w:sz="0" w:space="0" w:color="auto"/>
              </w:divBdr>
            </w:div>
            <w:div w:id="2077360998">
              <w:marLeft w:val="0"/>
              <w:marRight w:val="0"/>
              <w:marTop w:val="0"/>
              <w:marBottom w:val="0"/>
              <w:divBdr>
                <w:top w:val="none" w:sz="0" w:space="0" w:color="auto"/>
                <w:left w:val="none" w:sz="0" w:space="0" w:color="auto"/>
                <w:bottom w:val="none" w:sz="0" w:space="0" w:color="auto"/>
                <w:right w:val="none" w:sz="0" w:space="0" w:color="auto"/>
              </w:divBdr>
            </w:div>
          </w:divsChild>
        </w:div>
        <w:div w:id="449276719">
          <w:marLeft w:val="0"/>
          <w:marRight w:val="0"/>
          <w:marTop w:val="0"/>
          <w:marBottom w:val="0"/>
          <w:divBdr>
            <w:top w:val="none" w:sz="0" w:space="0" w:color="auto"/>
            <w:left w:val="none" w:sz="0" w:space="0" w:color="auto"/>
            <w:bottom w:val="none" w:sz="0" w:space="0" w:color="auto"/>
            <w:right w:val="none" w:sz="0" w:space="0" w:color="auto"/>
          </w:divBdr>
        </w:div>
        <w:div w:id="495388639">
          <w:marLeft w:val="0"/>
          <w:marRight w:val="0"/>
          <w:marTop w:val="0"/>
          <w:marBottom w:val="0"/>
          <w:divBdr>
            <w:top w:val="none" w:sz="0" w:space="0" w:color="auto"/>
            <w:left w:val="none" w:sz="0" w:space="0" w:color="auto"/>
            <w:bottom w:val="none" w:sz="0" w:space="0" w:color="auto"/>
            <w:right w:val="none" w:sz="0" w:space="0" w:color="auto"/>
          </w:divBdr>
        </w:div>
        <w:div w:id="536115858">
          <w:marLeft w:val="0"/>
          <w:marRight w:val="0"/>
          <w:marTop w:val="0"/>
          <w:marBottom w:val="0"/>
          <w:divBdr>
            <w:top w:val="none" w:sz="0" w:space="0" w:color="auto"/>
            <w:left w:val="none" w:sz="0" w:space="0" w:color="auto"/>
            <w:bottom w:val="none" w:sz="0" w:space="0" w:color="auto"/>
            <w:right w:val="none" w:sz="0" w:space="0" w:color="auto"/>
          </w:divBdr>
          <w:divsChild>
            <w:div w:id="83960899">
              <w:marLeft w:val="-75"/>
              <w:marRight w:val="0"/>
              <w:marTop w:val="30"/>
              <w:marBottom w:val="30"/>
              <w:divBdr>
                <w:top w:val="none" w:sz="0" w:space="0" w:color="auto"/>
                <w:left w:val="none" w:sz="0" w:space="0" w:color="auto"/>
                <w:bottom w:val="none" w:sz="0" w:space="0" w:color="auto"/>
                <w:right w:val="none" w:sz="0" w:space="0" w:color="auto"/>
              </w:divBdr>
              <w:divsChild>
                <w:div w:id="319238839">
                  <w:marLeft w:val="0"/>
                  <w:marRight w:val="0"/>
                  <w:marTop w:val="0"/>
                  <w:marBottom w:val="0"/>
                  <w:divBdr>
                    <w:top w:val="none" w:sz="0" w:space="0" w:color="auto"/>
                    <w:left w:val="none" w:sz="0" w:space="0" w:color="auto"/>
                    <w:bottom w:val="none" w:sz="0" w:space="0" w:color="auto"/>
                    <w:right w:val="none" w:sz="0" w:space="0" w:color="auto"/>
                  </w:divBdr>
                  <w:divsChild>
                    <w:div w:id="1648707800">
                      <w:marLeft w:val="0"/>
                      <w:marRight w:val="0"/>
                      <w:marTop w:val="0"/>
                      <w:marBottom w:val="0"/>
                      <w:divBdr>
                        <w:top w:val="none" w:sz="0" w:space="0" w:color="auto"/>
                        <w:left w:val="none" w:sz="0" w:space="0" w:color="auto"/>
                        <w:bottom w:val="none" w:sz="0" w:space="0" w:color="auto"/>
                        <w:right w:val="none" w:sz="0" w:space="0" w:color="auto"/>
                      </w:divBdr>
                    </w:div>
                  </w:divsChild>
                </w:div>
                <w:div w:id="532425165">
                  <w:marLeft w:val="0"/>
                  <w:marRight w:val="0"/>
                  <w:marTop w:val="0"/>
                  <w:marBottom w:val="0"/>
                  <w:divBdr>
                    <w:top w:val="none" w:sz="0" w:space="0" w:color="auto"/>
                    <w:left w:val="none" w:sz="0" w:space="0" w:color="auto"/>
                    <w:bottom w:val="none" w:sz="0" w:space="0" w:color="auto"/>
                    <w:right w:val="none" w:sz="0" w:space="0" w:color="auto"/>
                  </w:divBdr>
                  <w:divsChild>
                    <w:div w:id="2051294614">
                      <w:marLeft w:val="0"/>
                      <w:marRight w:val="0"/>
                      <w:marTop w:val="0"/>
                      <w:marBottom w:val="0"/>
                      <w:divBdr>
                        <w:top w:val="none" w:sz="0" w:space="0" w:color="auto"/>
                        <w:left w:val="none" w:sz="0" w:space="0" w:color="auto"/>
                        <w:bottom w:val="none" w:sz="0" w:space="0" w:color="auto"/>
                        <w:right w:val="none" w:sz="0" w:space="0" w:color="auto"/>
                      </w:divBdr>
                    </w:div>
                  </w:divsChild>
                </w:div>
                <w:div w:id="588656844">
                  <w:marLeft w:val="0"/>
                  <w:marRight w:val="0"/>
                  <w:marTop w:val="0"/>
                  <w:marBottom w:val="0"/>
                  <w:divBdr>
                    <w:top w:val="none" w:sz="0" w:space="0" w:color="auto"/>
                    <w:left w:val="none" w:sz="0" w:space="0" w:color="auto"/>
                    <w:bottom w:val="none" w:sz="0" w:space="0" w:color="auto"/>
                    <w:right w:val="none" w:sz="0" w:space="0" w:color="auto"/>
                  </w:divBdr>
                  <w:divsChild>
                    <w:div w:id="274679390">
                      <w:marLeft w:val="0"/>
                      <w:marRight w:val="0"/>
                      <w:marTop w:val="0"/>
                      <w:marBottom w:val="0"/>
                      <w:divBdr>
                        <w:top w:val="none" w:sz="0" w:space="0" w:color="auto"/>
                        <w:left w:val="none" w:sz="0" w:space="0" w:color="auto"/>
                        <w:bottom w:val="none" w:sz="0" w:space="0" w:color="auto"/>
                        <w:right w:val="none" w:sz="0" w:space="0" w:color="auto"/>
                      </w:divBdr>
                    </w:div>
                  </w:divsChild>
                </w:div>
                <w:div w:id="711461083">
                  <w:marLeft w:val="0"/>
                  <w:marRight w:val="0"/>
                  <w:marTop w:val="0"/>
                  <w:marBottom w:val="0"/>
                  <w:divBdr>
                    <w:top w:val="none" w:sz="0" w:space="0" w:color="auto"/>
                    <w:left w:val="none" w:sz="0" w:space="0" w:color="auto"/>
                    <w:bottom w:val="none" w:sz="0" w:space="0" w:color="auto"/>
                    <w:right w:val="none" w:sz="0" w:space="0" w:color="auto"/>
                  </w:divBdr>
                  <w:divsChild>
                    <w:div w:id="695740853">
                      <w:marLeft w:val="0"/>
                      <w:marRight w:val="0"/>
                      <w:marTop w:val="0"/>
                      <w:marBottom w:val="0"/>
                      <w:divBdr>
                        <w:top w:val="none" w:sz="0" w:space="0" w:color="auto"/>
                        <w:left w:val="none" w:sz="0" w:space="0" w:color="auto"/>
                        <w:bottom w:val="none" w:sz="0" w:space="0" w:color="auto"/>
                        <w:right w:val="none" w:sz="0" w:space="0" w:color="auto"/>
                      </w:divBdr>
                    </w:div>
                  </w:divsChild>
                </w:div>
                <w:div w:id="763771647">
                  <w:marLeft w:val="0"/>
                  <w:marRight w:val="0"/>
                  <w:marTop w:val="0"/>
                  <w:marBottom w:val="0"/>
                  <w:divBdr>
                    <w:top w:val="none" w:sz="0" w:space="0" w:color="auto"/>
                    <w:left w:val="none" w:sz="0" w:space="0" w:color="auto"/>
                    <w:bottom w:val="none" w:sz="0" w:space="0" w:color="auto"/>
                    <w:right w:val="none" w:sz="0" w:space="0" w:color="auto"/>
                  </w:divBdr>
                  <w:divsChild>
                    <w:div w:id="866602661">
                      <w:marLeft w:val="0"/>
                      <w:marRight w:val="0"/>
                      <w:marTop w:val="0"/>
                      <w:marBottom w:val="0"/>
                      <w:divBdr>
                        <w:top w:val="none" w:sz="0" w:space="0" w:color="auto"/>
                        <w:left w:val="none" w:sz="0" w:space="0" w:color="auto"/>
                        <w:bottom w:val="none" w:sz="0" w:space="0" w:color="auto"/>
                        <w:right w:val="none" w:sz="0" w:space="0" w:color="auto"/>
                      </w:divBdr>
                    </w:div>
                  </w:divsChild>
                </w:div>
                <w:div w:id="862204189">
                  <w:marLeft w:val="0"/>
                  <w:marRight w:val="0"/>
                  <w:marTop w:val="0"/>
                  <w:marBottom w:val="0"/>
                  <w:divBdr>
                    <w:top w:val="none" w:sz="0" w:space="0" w:color="auto"/>
                    <w:left w:val="none" w:sz="0" w:space="0" w:color="auto"/>
                    <w:bottom w:val="none" w:sz="0" w:space="0" w:color="auto"/>
                    <w:right w:val="none" w:sz="0" w:space="0" w:color="auto"/>
                  </w:divBdr>
                  <w:divsChild>
                    <w:div w:id="1076853616">
                      <w:marLeft w:val="0"/>
                      <w:marRight w:val="0"/>
                      <w:marTop w:val="0"/>
                      <w:marBottom w:val="0"/>
                      <w:divBdr>
                        <w:top w:val="none" w:sz="0" w:space="0" w:color="auto"/>
                        <w:left w:val="none" w:sz="0" w:space="0" w:color="auto"/>
                        <w:bottom w:val="none" w:sz="0" w:space="0" w:color="auto"/>
                        <w:right w:val="none" w:sz="0" w:space="0" w:color="auto"/>
                      </w:divBdr>
                    </w:div>
                  </w:divsChild>
                </w:div>
                <w:div w:id="883105979">
                  <w:marLeft w:val="0"/>
                  <w:marRight w:val="0"/>
                  <w:marTop w:val="0"/>
                  <w:marBottom w:val="0"/>
                  <w:divBdr>
                    <w:top w:val="none" w:sz="0" w:space="0" w:color="auto"/>
                    <w:left w:val="none" w:sz="0" w:space="0" w:color="auto"/>
                    <w:bottom w:val="none" w:sz="0" w:space="0" w:color="auto"/>
                    <w:right w:val="none" w:sz="0" w:space="0" w:color="auto"/>
                  </w:divBdr>
                  <w:divsChild>
                    <w:div w:id="784426439">
                      <w:marLeft w:val="0"/>
                      <w:marRight w:val="0"/>
                      <w:marTop w:val="0"/>
                      <w:marBottom w:val="0"/>
                      <w:divBdr>
                        <w:top w:val="none" w:sz="0" w:space="0" w:color="auto"/>
                        <w:left w:val="none" w:sz="0" w:space="0" w:color="auto"/>
                        <w:bottom w:val="none" w:sz="0" w:space="0" w:color="auto"/>
                        <w:right w:val="none" w:sz="0" w:space="0" w:color="auto"/>
                      </w:divBdr>
                    </w:div>
                  </w:divsChild>
                </w:div>
                <w:div w:id="979532550">
                  <w:marLeft w:val="0"/>
                  <w:marRight w:val="0"/>
                  <w:marTop w:val="0"/>
                  <w:marBottom w:val="0"/>
                  <w:divBdr>
                    <w:top w:val="none" w:sz="0" w:space="0" w:color="auto"/>
                    <w:left w:val="none" w:sz="0" w:space="0" w:color="auto"/>
                    <w:bottom w:val="none" w:sz="0" w:space="0" w:color="auto"/>
                    <w:right w:val="none" w:sz="0" w:space="0" w:color="auto"/>
                  </w:divBdr>
                  <w:divsChild>
                    <w:div w:id="668600666">
                      <w:marLeft w:val="0"/>
                      <w:marRight w:val="0"/>
                      <w:marTop w:val="0"/>
                      <w:marBottom w:val="0"/>
                      <w:divBdr>
                        <w:top w:val="none" w:sz="0" w:space="0" w:color="auto"/>
                        <w:left w:val="none" w:sz="0" w:space="0" w:color="auto"/>
                        <w:bottom w:val="none" w:sz="0" w:space="0" w:color="auto"/>
                        <w:right w:val="none" w:sz="0" w:space="0" w:color="auto"/>
                      </w:divBdr>
                    </w:div>
                  </w:divsChild>
                </w:div>
                <w:div w:id="1044982340">
                  <w:marLeft w:val="0"/>
                  <w:marRight w:val="0"/>
                  <w:marTop w:val="0"/>
                  <w:marBottom w:val="0"/>
                  <w:divBdr>
                    <w:top w:val="none" w:sz="0" w:space="0" w:color="auto"/>
                    <w:left w:val="none" w:sz="0" w:space="0" w:color="auto"/>
                    <w:bottom w:val="none" w:sz="0" w:space="0" w:color="auto"/>
                    <w:right w:val="none" w:sz="0" w:space="0" w:color="auto"/>
                  </w:divBdr>
                  <w:divsChild>
                    <w:div w:id="939263418">
                      <w:marLeft w:val="0"/>
                      <w:marRight w:val="0"/>
                      <w:marTop w:val="0"/>
                      <w:marBottom w:val="0"/>
                      <w:divBdr>
                        <w:top w:val="none" w:sz="0" w:space="0" w:color="auto"/>
                        <w:left w:val="none" w:sz="0" w:space="0" w:color="auto"/>
                        <w:bottom w:val="none" w:sz="0" w:space="0" w:color="auto"/>
                        <w:right w:val="none" w:sz="0" w:space="0" w:color="auto"/>
                      </w:divBdr>
                    </w:div>
                  </w:divsChild>
                </w:div>
                <w:div w:id="1059476283">
                  <w:marLeft w:val="0"/>
                  <w:marRight w:val="0"/>
                  <w:marTop w:val="0"/>
                  <w:marBottom w:val="0"/>
                  <w:divBdr>
                    <w:top w:val="none" w:sz="0" w:space="0" w:color="auto"/>
                    <w:left w:val="none" w:sz="0" w:space="0" w:color="auto"/>
                    <w:bottom w:val="none" w:sz="0" w:space="0" w:color="auto"/>
                    <w:right w:val="none" w:sz="0" w:space="0" w:color="auto"/>
                  </w:divBdr>
                  <w:divsChild>
                    <w:div w:id="861741547">
                      <w:marLeft w:val="0"/>
                      <w:marRight w:val="0"/>
                      <w:marTop w:val="0"/>
                      <w:marBottom w:val="0"/>
                      <w:divBdr>
                        <w:top w:val="none" w:sz="0" w:space="0" w:color="auto"/>
                        <w:left w:val="none" w:sz="0" w:space="0" w:color="auto"/>
                        <w:bottom w:val="none" w:sz="0" w:space="0" w:color="auto"/>
                        <w:right w:val="none" w:sz="0" w:space="0" w:color="auto"/>
                      </w:divBdr>
                    </w:div>
                  </w:divsChild>
                </w:div>
                <w:div w:id="1070612559">
                  <w:marLeft w:val="0"/>
                  <w:marRight w:val="0"/>
                  <w:marTop w:val="0"/>
                  <w:marBottom w:val="0"/>
                  <w:divBdr>
                    <w:top w:val="none" w:sz="0" w:space="0" w:color="auto"/>
                    <w:left w:val="none" w:sz="0" w:space="0" w:color="auto"/>
                    <w:bottom w:val="none" w:sz="0" w:space="0" w:color="auto"/>
                    <w:right w:val="none" w:sz="0" w:space="0" w:color="auto"/>
                  </w:divBdr>
                  <w:divsChild>
                    <w:div w:id="434448962">
                      <w:marLeft w:val="0"/>
                      <w:marRight w:val="0"/>
                      <w:marTop w:val="0"/>
                      <w:marBottom w:val="0"/>
                      <w:divBdr>
                        <w:top w:val="none" w:sz="0" w:space="0" w:color="auto"/>
                        <w:left w:val="none" w:sz="0" w:space="0" w:color="auto"/>
                        <w:bottom w:val="none" w:sz="0" w:space="0" w:color="auto"/>
                        <w:right w:val="none" w:sz="0" w:space="0" w:color="auto"/>
                      </w:divBdr>
                    </w:div>
                  </w:divsChild>
                </w:div>
                <w:div w:id="1229074259">
                  <w:marLeft w:val="0"/>
                  <w:marRight w:val="0"/>
                  <w:marTop w:val="0"/>
                  <w:marBottom w:val="0"/>
                  <w:divBdr>
                    <w:top w:val="none" w:sz="0" w:space="0" w:color="auto"/>
                    <w:left w:val="none" w:sz="0" w:space="0" w:color="auto"/>
                    <w:bottom w:val="none" w:sz="0" w:space="0" w:color="auto"/>
                    <w:right w:val="none" w:sz="0" w:space="0" w:color="auto"/>
                  </w:divBdr>
                  <w:divsChild>
                    <w:div w:id="874662208">
                      <w:marLeft w:val="0"/>
                      <w:marRight w:val="0"/>
                      <w:marTop w:val="0"/>
                      <w:marBottom w:val="0"/>
                      <w:divBdr>
                        <w:top w:val="none" w:sz="0" w:space="0" w:color="auto"/>
                        <w:left w:val="none" w:sz="0" w:space="0" w:color="auto"/>
                        <w:bottom w:val="none" w:sz="0" w:space="0" w:color="auto"/>
                        <w:right w:val="none" w:sz="0" w:space="0" w:color="auto"/>
                      </w:divBdr>
                    </w:div>
                  </w:divsChild>
                </w:div>
                <w:div w:id="1298031877">
                  <w:marLeft w:val="0"/>
                  <w:marRight w:val="0"/>
                  <w:marTop w:val="0"/>
                  <w:marBottom w:val="0"/>
                  <w:divBdr>
                    <w:top w:val="none" w:sz="0" w:space="0" w:color="auto"/>
                    <w:left w:val="none" w:sz="0" w:space="0" w:color="auto"/>
                    <w:bottom w:val="none" w:sz="0" w:space="0" w:color="auto"/>
                    <w:right w:val="none" w:sz="0" w:space="0" w:color="auto"/>
                  </w:divBdr>
                  <w:divsChild>
                    <w:div w:id="180507689">
                      <w:marLeft w:val="0"/>
                      <w:marRight w:val="0"/>
                      <w:marTop w:val="0"/>
                      <w:marBottom w:val="0"/>
                      <w:divBdr>
                        <w:top w:val="none" w:sz="0" w:space="0" w:color="auto"/>
                        <w:left w:val="none" w:sz="0" w:space="0" w:color="auto"/>
                        <w:bottom w:val="none" w:sz="0" w:space="0" w:color="auto"/>
                        <w:right w:val="none" w:sz="0" w:space="0" w:color="auto"/>
                      </w:divBdr>
                    </w:div>
                  </w:divsChild>
                </w:div>
                <w:div w:id="1400707908">
                  <w:marLeft w:val="0"/>
                  <w:marRight w:val="0"/>
                  <w:marTop w:val="0"/>
                  <w:marBottom w:val="0"/>
                  <w:divBdr>
                    <w:top w:val="none" w:sz="0" w:space="0" w:color="auto"/>
                    <w:left w:val="none" w:sz="0" w:space="0" w:color="auto"/>
                    <w:bottom w:val="none" w:sz="0" w:space="0" w:color="auto"/>
                    <w:right w:val="none" w:sz="0" w:space="0" w:color="auto"/>
                  </w:divBdr>
                  <w:divsChild>
                    <w:div w:id="841166720">
                      <w:marLeft w:val="0"/>
                      <w:marRight w:val="0"/>
                      <w:marTop w:val="0"/>
                      <w:marBottom w:val="0"/>
                      <w:divBdr>
                        <w:top w:val="none" w:sz="0" w:space="0" w:color="auto"/>
                        <w:left w:val="none" w:sz="0" w:space="0" w:color="auto"/>
                        <w:bottom w:val="none" w:sz="0" w:space="0" w:color="auto"/>
                        <w:right w:val="none" w:sz="0" w:space="0" w:color="auto"/>
                      </w:divBdr>
                    </w:div>
                  </w:divsChild>
                </w:div>
                <w:div w:id="1440415822">
                  <w:marLeft w:val="0"/>
                  <w:marRight w:val="0"/>
                  <w:marTop w:val="0"/>
                  <w:marBottom w:val="0"/>
                  <w:divBdr>
                    <w:top w:val="none" w:sz="0" w:space="0" w:color="auto"/>
                    <w:left w:val="none" w:sz="0" w:space="0" w:color="auto"/>
                    <w:bottom w:val="none" w:sz="0" w:space="0" w:color="auto"/>
                    <w:right w:val="none" w:sz="0" w:space="0" w:color="auto"/>
                  </w:divBdr>
                  <w:divsChild>
                    <w:div w:id="21514541">
                      <w:marLeft w:val="0"/>
                      <w:marRight w:val="0"/>
                      <w:marTop w:val="0"/>
                      <w:marBottom w:val="0"/>
                      <w:divBdr>
                        <w:top w:val="none" w:sz="0" w:space="0" w:color="auto"/>
                        <w:left w:val="none" w:sz="0" w:space="0" w:color="auto"/>
                        <w:bottom w:val="none" w:sz="0" w:space="0" w:color="auto"/>
                        <w:right w:val="none" w:sz="0" w:space="0" w:color="auto"/>
                      </w:divBdr>
                    </w:div>
                  </w:divsChild>
                </w:div>
                <w:div w:id="1475560054">
                  <w:marLeft w:val="0"/>
                  <w:marRight w:val="0"/>
                  <w:marTop w:val="0"/>
                  <w:marBottom w:val="0"/>
                  <w:divBdr>
                    <w:top w:val="none" w:sz="0" w:space="0" w:color="auto"/>
                    <w:left w:val="none" w:sz="0" w:space="0" w:color="auto"/>
                    <w:bottom w:val="none" w:sz="0" w:space="0" w:color="auto"/>
                    <w:right w:val="none" w:sz="0" w:space="0" w:color="auto"/>
                  </w:divBdr>
                  <w:divsChild>
                    <w:div w:id="581450628">
                      <w:marLeft w:val="0"/>
                      <w:marRight w:val="0"/>
                      <w:marTop w:val="0"/>
                      <w:marBottom w:val="0"/>
                      <w:divBdr>
                        <w:top w:val="none" w:sz="0" w:space="0" w:color="auto"/>
                        <w:left w:val="none" w:sz="0" w:space="0" w:color="auto"/>
                        <w:bottom w:val="none" w:sz="0" w:space="0" w:color="auto"/>
                        <w:right w:val="none" w:sz="0" w:space="0" w:color="auto"/>
                      </w:divBdr>
                    </w:div>
                  </w:divsChild>
                </w:div>
                <w:div w:id="1500972119">
                  <w:marLeft w:val="0"/>
                  <w:marRight w:val="0"/>
                  <w:marTop w:val="0"/>
                  <w:marBottom w:val="0"/>
                  <w:divBdr>
                    <w:top w:val="none" w:sz="0" w:space="0" w:color="auto"/>
                    <w:left w:val="none" w:sz="0" w:space="0" w:color="auto"/>
                    <w:bottom w:val="none" w:sz="0" w:space="0" w:color="auto"/>
                    <w:right w:val="none" w:sz="0" w:space="0" w:color="auto"/>
                  </w:divBdr>
                  <w:divsChild>
                    <w:div w:id="1271933670">
                      <w:marLeft w:val="0"/>
                      <w:marRight w:val="0"/>
                      <w:marTop w:val="0"/>
                      <w:marBottom w:val="0"/>
                      <w:divBdr>
                        <w:top w:val="none" w:sz="0" w:space="0" w:color="auto"/>
                        <w:left w:val="none" w:sz="0" w:space="0" w:color="auto"/>
                        <w:bottom w:val="none" w:sz="0" w:space="0" w:color="auto"/>
                        <w:right w:val="none" w:sz="0" w:space="0" w:color="auto"/>
                      </w:divBdr>
                    </w:div>
                  </w:divsChild>
                </w:div>
                <w:div w:id="1552886990">
                  <w:marLeft w:val="0"/>
                  <w:marRight w:val="0"/>
                  <w:marTop w:val="0"/>
                  <w:marBottom w:val="0"/>
                  <w:divBdr>
                    <w:top w:val="none" w:sz="0" w:space="0" w:color="auto"/>
                    <w:left w:val="none" w:sz="0" w:space="0" w:color="auto"/>
                    <w:bottom w:val="none" w:sz="0" w:space="0" w:color="auto"/>
                    <w:right w:val="none" w:sz="0" w:space="0" w:color="auto"/>
                  </w:divBdr>
                  <w:divsChild>
                    <w:div w:id="1088388034">
                      <w:marLeft w:val="0"/>
                      <w:marRight w:val="0"/>
                      <w:marTop w:val="0"/>
                      <w:marBottom w:val="0"/>
                      <w:divBdr>
                        <w:top w:val="none" w:sz="0" w:space="0" w:color="auto"/>
                        <w:left w:val="none" w:sz="0" w:space="0" w:color="auto"/>
                        <w:bottom w:val="none" w:sz="0" w:space="0" w:color="auto"/>
                        <w:right w:val="none" w:sz="0" w:space="0" w:color="auto"/>
                      </w:divBdr>
                    </w:div>
                  </w:divsChild>
                </w:div>
                <w:div w:id="1659267849">
                  <w:marLeft w:val="0"/>
                  <w:marRight w:val="0"/>
                  <w:marTop w:val="0"/>
                  <w:marBottom w:val="0"/>
                  <w:divBdr>
                    <w:top w:val="none" w:sz="0" w:space="0" w:color="auto"/>
                    <w:left w:val="none" w:sz="0" w:space="0" w:color="auto"/>
                    <w:bottom w:val="none" w:sz="0" w:space="0" w:color="auto"/>
                    <w:right w:val="none" w:sz="0" w:space="0" w:color="auto"/>
                  </w:divBdr>
                  <w:divsChild>
                    <w:div w:id="1292201717">
                      <w:marLeft w:val="0"/>
                      <w:marRight w:val="0"/>
                      <w:marTop w:val="0"/>
                      <w:marBottom w:val="0"/>
                      <w:divBdr>
                        <w:top w:val="none" w:sz="0" w:space="0" w:color="auto"/>
                        <w:left w:val="none" w:sz="0" w:space="0" w:color="auto"/>
                        <w:bottom w:val="none" w:sz="0" w:space="0" w:color="auto"/>
                        <w:right w:val="none" w:sz="0" w:space="0" w:color="auto"/>
                      </w:divBdr>
                    </w:div>
                  </w:divsChild>
                </w:div>
                <w:div w:id="2013486316">
                  <w:marLeft w:val="0"/>
                  <w:marRight w:val="0"/>
                  <w:marTop w:val="0"/>
                  <w:marBottom w:val="0"/>
                  <w:divBdr>
                    <w:top w:val="none" w:sz="0" w:space="0" w:color="auto"/>
                    <w:left w:val="none" w:sz="0" w:space="0" w:color="auto"/>
                    <w:bottom w:val="none" w:sz="0" w:space="0" w:color="auto"/>
                    <w:right w:val="none" w:sz="0" w:space="0" w:color="auto"/>
                  </w:divBdr>
                  <w:divsChild>
                    <w:div w:id="16926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472607">
          <w:marLeft w:val="0"/>
          <w:marRight w:val="0"/>
          <w:marTop w:val="0"/>
          <w:marBottom w:val="0"/>
          <w:divBdr>
            <w:top w:val="none" w:sz="0" w:space="0" w:color="auto"/>
            <w:left w:val="none" w:sz="0" w:space="0" w:color="auto"/>
            <w:bottom w:val="none" w:sz="0" w:space="0" w:color="auto"/>
            <w:right w:val="none" w:sz="0" w:space="0" w:color="auto"/>
          </w:divBdr>
        </w:div>
        <w:div w:id="555747715">
          <w:marLeft w:val="0"/>
          <w:marRight w:val="0"/>
          <w:marTop w:val="0"/>
          <w:marBottom w:val="0"/>
          <w:divBdr>
            <w:top w:val="none" w:sz="0" w:space="0" w:color="auto"/>
            <w:left w:val="none" w:sz="0" w:space="0" w:color="auto"/>
            <w:bottom w:val="none" w:sz="0" w:space="0" w:color="auto"/>
            <w:right w:val="none" w:sz="0" w:space="0" w:color="auto"/>
          </w:divBdr>
        </w:div>
        <w:div w:id="561798066">
          <w:marLeft w:val="0"/>
          <w:marRight w:val="0"/>
          <w:marTop w:val="0"/>
          <w:marBottom w:val="0"/>
          <w:divBdr>
            <w:top w:val="none" w:sz="0" w:space="0" w:color="auto"/>
            <w:left w:val="none" w:sz="0" w:space="0" w:color="auto"/>
            <w:bottom w:val="none" w:sz="0" w:space="0" w:color="auto"/>
            <w:right w:val="none" w:sz="0" w:space="0" w:color="auto"/>
          </w:divBdr>
        </w:div>
        <w:div w:id="563100300">
          <w:marLeft w:val="0"/>
          <w:marRight w:val="0"/>
          <w:marTop w:val="0"/>
          <w:marBottom w:val="0"/>
          <w:divBdr>
            <w:top w:val="none" w:sz="0" w:space="0" w:color="auto"/>
            <w:left w:val="none" w:sz="0" w:space="0" w:color="auto"/>
            <w:bottom w:val="none" w:sz="0" w:space="0" w:color="auto"/>
            <w:right w:val="none" w:sz="0" w:space="0" w:color="auto"/>
          </w:divBdr>
        </w:div>
        <w:div w:id="570240247">
          <w:marLeft w:val="0"/>
          <w:marRight w:val="0"/>
          <w:marTop w:val="0"/>
          <w:marBottom w:val="0"/>
          <w:divBdr>
            <w:top w:val="none" w:sz="0" w:space="0" w:color="auto"/>
            <w:left w:val="none" w:sz="0" w:space="0" w:color="auto"/>
            <w:bottom w:val="none" w:sz="0" w:space="0" w:color="auto"/>
            <w:right w:val="none" w:sz="0" w:space="0" w:color="auto"/>
          </w:divBdr>
        </w:div>
        <w:div w:id="571698501">
          <w:marLeft w:val="0"/>
          <w:marRight w:val="0"/>
          <w:marTop w:val="0"/>
          <w:marBottom w:val="0"/>
          <w:divBdr>
            <w:top w:val="none" w:sz="0" w:space="0" w:color="auto"/>
            <w:left w:val="none" w:sz="0" w:space="0" w:color="auto"/>
            <w:bottom w:val="none" w:sz="0" w:space="0" w:color="auto"/>
            <w:right w:val="none" w:sz="0" w:space="0" w:color="auto"/>
          </w:divBdr>
        </w:div>
        <w:div w:id="616644441">
          <w:marLeft w:val="0"/>
          <w:marRight w:val="0"/>
          <w:marTop w:val="0"/>
          <w:marBottom w:val="0"/>
          <w:divBdr>
            <w:top w:val="none" w:sz="0" w:space="0" w:color="auto"/>
            <w:left w:val="none" w:sz="0" w:space="0" w:color="auto"/>
            <w:bottom w:val="none" w:sz="0" w:space="0" w:color="auto"/>
            <w:right w:val="none" w:sz="0" w:space="0" w:color="auto"/>
          </w:divBdr>
          <w:divsChild>
            <w:div w:id="36785984">
              <w:marLeft w:val="0"/>
              <w:marRight w:val="0"/>
              <w:marTop w:val="0"/>
              <w:marBottom w:val="0"/>
              <w:divBdr>
                <w:top w:val="none" w:sz="0" w:space="0" w:color="auto"/>
                <w:left w:val="none" w:sz="0" w:space="0" w:color="auto"/>
                <w:bottom w:val="none" w:sz="0" w:space="0" w:color="auto"/>
                <w:right w:val="none" w:sz="0" w:space="0" w:color="auto"/>
              </w:divBdr>
            </w:div>
            <w:div w:id="296616030">
              <w:marLeft w:val="0"/>
              <w:marRight w:val="0"/>
              <w:marTop w:val="0"/>
              <w:marBottom w:val="0"/>
              <w:divBdr>
                <w:top w:val="none" w:sz="0" w:space="0" w:color="auto"/>
                <w:left w:val="none" w:sz="0" w:space="0" w:color="auto"/>
                <w:bottom w:val="none" w:sz="0" w:space="0" w:color="auto"/>
                <w:right w:val="none" w:sz="0" w:space="0" w:color="auto"/>
              </w:divBdr>
            </w:div>
            <w:div w:id="730925124">
              <w:marLeft w:val="0"/>
              <w:marRight w:val="0"/>
              <w:marTop w:val="0"/>
              <w:marBottom w:val="0"/>
              <w:divBdr>
                <w:top w:val="none" w:sz="0" w:space="0" w:color="auto"/>
                <w:left w:val="none" w:sz="0" w:space="0" w:color="auto"/>
                <w:bottom w:val="none" w:sz="0" w:space="0" w:color="auto"/>
                <w:right w:val="none" w:sz="0" w:space="0" w:color="auto"/>
              </w:divBdr>
            </w:div>
            <w:div w:id="1752776139">
              <w:marLeft w:val="0"/>
              <w:marRight w:val="0"/>
              <w:marTop w:val="0"/>
              <w:marBottom w:val="0"/>
              <w:divBdr>
                <w:top w:val="none" w:sz="0" w:space="0" w:color="auto"/>
                <w:left w:val="none" w:sz="0" w:space="0" w:color="auto"/>
                <w:bottom w:val="none" w:sz="0" w:space="0" w:color="auto"/>
                <w:right w:val="none" w:sz="0" w:space="0" w:color="auto"/>
              </w:divBdr>
            </w:div>
            <w:div w:id="2042316361">
              <w:marLeft w:val="0"/>
              <w:marRight w:val="0"/>
              <w:marTop w:val="0"/>
              <w:marBottom w:val="0"/>
              <w:divBdr>
                <w:top w:val="none" w:sz="0" w:space="0" w:color="auto"/>
                <w:left w:val="none" w:sz="0" w:space="0" w:color="auto"/>
                <w:bottom w:val="none" w:sz="0" w:space="0" w:color="auto"/>
                <w:right w:val="none" w:sz="0" w:space="0" w:color="auto"/>
              </w:divBdr>
            </w:div>
          </w:divsChild>
        </w:div>
        <w:div w:id="642782976">
          <w:marLeft w:val="0"/>
          <w:marRight w:val="0"/>
          <w:marTop w:val="0"/>
          <w:marBottom w:val="0"/>
          <w:divBdr>
            <w:top w:val="none" w:sz="0" w:space="0" w:color="auto"/>
            <w:left w:val="none" w:sz="0" w:space="0" w:color="auto"/>
            <w:bottom w:val="none" w:sz="0" w:space="0" w:color="auto"/>
            <w:right w:val="none" w:sz="0" w:space="0" w:color="auto"/>
          </w:divBdr>
        </w:div>
        <w:div w:id="676344871">
          <w:marLeft w:val="0"/>
          <w:marRight w:val="0"/>
          <w:marTop w:val="0"/>
          <w:marBottom w:val="0"/>
          <w:divBdr>
            <w:top w:val="none" w:sz="0" w:space="0" w:color="auto"/>
            <w:left w:val="none" w:sz="0" w:space="0" w:color="auto"/>
            <w:bottom w:val="none" w:sz="0" w:space="0" w:color="auto"/>
            <w:right w:val="none" w:sz="0" w:space="0" w:color="auto"/>
          </w:divBdr>
        </w:div>
        <w:div w:id="680201504">
          <w:marLeft w:val="0"/>
          <w:marRight w:val="0"/>
          <w:marTop w:val="0"/>
          <w:marBottom w:val="0"/>
          <w:divBdr>
            <w:top w:val="none" w:sz="0" w:space="0" w:color="auto"/>
            <w:left w:val="none" w:sz="0" w:space="0" w:color="auto"/>
            <w:bottom w:val="none" w:sz="0" w:space="0" w:color="auto"/>
            <w:right w:val="none" w:sz="0" w:space="0" w:color="auto"/>
          </w:divBdr>
        </w:div>
        <w:div w:id="690960321">
          <w:marLeft w:val="0"/>
          <w:marRight w:val="0"/>
          <w:marTop w:val="0"/>
          <w:marBottom w:val="0"/>
          <w:divBdr>
            <w:top w:val="none" w:sz="0" w:space="0" w:color="auto"/>
            <w:left w:val="none" w:sz="0" w:space="0" w:color="auto"/>
            <w:bottom w:val="none" w:sz="0" w:space="0" w:color="auto"/>
            <w:right w:val="none" w:sz="0" w:space="0" w:color="auto"/>
          </w:divBdr>
          <w:divsChild>
            <w:div w:id="489908188">
              <w:marLeft w:val="0"/>
              <w:marRight w:val="0"/>
              <w:marTop w:val="0"/>
              <w:marBottom w:val="0"/>
              <w:divBdr>
                <w:top w:val="none" w:sz="0" w:space="0" w:color="auto"/>
                <w:left w:val="none" w:sz="0" w:space="0" w:color="auto"/>
                <w:bottom w:val="none" w:sz="0" w:space="0" w:color="auto"/>
                <w:right w:val="none" w:sz="0" w:space="0" w:color="auto"/>
              </w:divBdr>
            </w:div>
            <w:div w:id="1231231703">
              <w:marLeft w:val="0"/>
              <w:marRight w:val="0"/>
              <w:marTop w:val="0"/>
              <w:marBottom w:val="0"/>
              <w:divBdr>
                <w:top w:val="none" w:sz="0" w:space="0" w:color="auto"/>
                <w:left w:val="none" w:sz="0" w:space="0" w:color="auto"/>
                <w:bottom w:val="none" w:sz="0" w:space="0" w:color="auto"/>
                <w:right w:val="none" w:sz="0" w:space="0" w:color="auto"/>
              </w:divBdr>
            </w:div>
            <w:div w:id="1262302802">
              <w:marLeft w:val="0"/>
              <w:marRight w:val="0"/>
              <w:marTop w:val="0"/>
              <w:marBottom w:val="0"/>
              <w:divBdr>
                <w:top w:val="none" w:sz="0" w:space="0" w:color="auto"/>
                <w:left w:val="none" w:sz="0" w:space="0" w:color="auto"/>
                <w:bottom w:val="none" w:sz="0" w:space="0" w:color="auto"/>
                <w:right w:val="none" w:sz="0" w:space="0" w:color="auto"/>
              </w:divBdr>
            </w:div>
            <w:div w:id="1265113509">
              <w:marLeft w:val="0"/>
              <w:marRight w:val="0"/>
              <w:marTop w:val="0"/>
              <w:marBottom w:val="0"/>
              <w:divBdr>
                <w:top w:val="none" w:sz="0" w:space="0" w:color="auto"/>
                <w:left w:val="none" w:sz="0" w:space="0" w:color="auto"/>
                <w:bottom w:val="none" w:sz="0" w:space="0" w:color="auto"/>
                <w:right w:val="none" w:sz="0" w:space="0" w:color="auto"/>
              </w:divBdr>
            </w:div>
            <w:div w:id="1764178677">
              <w:marLeft w:val="0"/>
              <w:marRight w:val="0"/>
              <w:marTop w:val="0"/>
              <w:marBottom w:val="0"/>
              <w:divBdr>
                <w:top w:val="none" w:sz="0" w:space="0" w:color="auto"/>
                <w:left w:val="none" w:sz="0" w:space="0" w:color="auto"/>
                <w:bottom w:val="none" w:sz="0" w:space="0" w:color="auto"/>
                <w:right w:val="none" w:sz="0" w:space="0" w:color="auto"/>
              </w:divBdr>
            </w:div>
          </w:divsChild>
        </w:div>
        <w:div w:id="711269291">
          <w:marLeft w:val="0"/>
          <w:marRight w:val="0"/>
          <w:marTop w:val="0"/>
          <w:marBottom w:val="0"/>
          <w:divBdr>
            <w:top w:val="none" w:sz="0" w:space="0" w:color="auto"/>
            <w:left w:val="none" w:sz="0" w:space="0" w:color="auto"/>
            <w:bottom w:val="none" w:sz="0" w:space="0" w:color="auto"/>
            <w:right w:val="none" w:sz="0" w:space="0" w:color="auto"/>
          </w:divBdr>
        </w:div>
        <w:div w:id="728261761">
          <w:marLeft w:val="0"/>
          <w:marRight w:val="0"/>
          <w:marTop w:val="0"/>
          <w:marBottom w:val="0"/>
          <w:divBdr>
            <w:top w:val="none" w:sz="0" w:space="0" w:color="auto"/>
            <w:left w:val="none" w:sz="0" w:space="0" w:color="auto"/>
            <w:bottom w:val="none" w:sz="0" w:space="0" w:color="auto"/>
            <w:right w:val="none" w:sz="0" w:space="0" w:color="auto"/>
          </w:divBdr>
        </w:div>
        <w:div w:id="743113942">
          <w:marLeft w:val="0"/>
          <w:marRight w:val="0"/>
          <w:marTop w:val="0"/>
          <w:marBottom w:val="0"/>
          <w:divBdr>
            <w:top w:val="none" w:sz="0" w:space="0" w:color="auto"/>
            <w:left w:val="none" w:sz="0" w:space="0" w:color="auto"/>
            <w:bottom w:val="none" w:sz="0" w:space="0" w:color="auto"/>
            <w:right w:val="none" w:sz="0" w:space="0" w:color="auto"/>
          </w:divBdr>
          <w:divsChild>
            <w:div w:id="447237380">
              <w:marLeft w:val="0"/>
              <w:marRight w:val="0"/>
              <w:marTop w:val="0"/>
              <w:marBottom w:val="0"/>
              <w:divBdr>
                <w:top w:val="none" w:sz="0" w:space="0" w:color="auto"/>
                <w:left w:val="none" w:sz="0" w:space="0" w:color="auto"/>
                <w:bottom w:val="none" w:sz="0" w:space="0" w:color="auto"/>
                <w:right w:val="none" w:sz="0" w:space="0" w:color="auto"/>
              </w:divBdr>
            </w:div>
            <w:div w:id="1018964949">
              <w:marLeft w:val="0"/>
              <w:marRight w:val="0"/>
              <w:marTop w:val="0"/>
              <w:marBottom w:val="0"/>
              <w:divBdr>
                <w:top w:val="none" w:sz="0" w:space="0" w:color="auto"/>
                <w:left w:val="none" w:sz="0" w:space="0" w:color="auto"/>
                <w:bottom w:val="none" w:sz="0" w:space="0" w:color="auto"/>
                <w:right w:val="none" w:sz="0" w:space="0" w:color="auto"/>
              </w:divBdr>
            </w:div>
            <w:div w:id="1056394006">
              <w:marLeft w:val="0"/>
              <w:marRight w:val="0"/>
              <w:marTop w:val="0"/>
              <w:marBottom w:val="0"/>
              <w:divBdr>
                <w:top w:val="none" w:sz="0" w:space="0" w:color="auto"/>
                <w:left w:val="none" w:sz="0" w:space="0" w:color="auto"/>
                <w:bottom w:val="none" w:sz="0" w:space="0" w:color="auto"/>
                <w:right w:val="none" w:sz="0" w:space="0" w:color="auto"/>
              </w:divBdr>
            </w:div>
            <w:div w:id="1056582501">
              <w:marLeft w:val="0"/>
              <w:marRight w:val="0"/>
              <w:marTop w:val="0"/>
              <w:marBottom w:val="0"/>
              <w:divBdr>
                <w:top w:val="none" w:sz="0" w:space="0" w:color="auto"/>
                <w:left w:val="none" w:sz="0" w:space="0" w:color="auto"/>
                <w:bottom w:val="none" w:sz="0" w:space="0" w:color="auto"/>
                <w:right w:val="none" w:sz="0" w:space="0" w:color="auto"/>
              </w:divBdr>
            </w:div>
            <w:div w:id="1127234344">
              <w:marLeft w:val="0"/>
              <w:marRight w:val="0"/>
              <w:marTop w:val="0"/>
              <w:marBottom w:val="0"/>
              <w:divBdr>
                <w:top w:val="none" w:sz="0" w:space="0" w:color="auto"/>
                <w:left w:val="none" w:sz="0" w:space="0" w:color="auto"/>
                <w:bottom w:val="none" w:sz="0" w:space="0" w:color="auto"/>
                <w:right w:val="none" w:sz="0" w:space="0" w:color="auto"/>
              </w:divBdr>
            </w:div>
          </w:divsChild>
        </w:div>
        <w:div w:id="761297659">
          <w:marLeft w:val="0"/>
          <w:marRight w:val="0"/>
          <w:marTop w:val="0"/>
          <w:marBottom w:val="0"/>
          <w:divBdr>
            <w:top w:val="none" w:sz="0" w:space="0" w:color="auto"/>
            <w:left w:val="none" w:sz="0" w:space="0" w:color="auto"/>
            <w:bottom w:val="none" w:sz="0" w:space="0" w:color="auto"/>
            <w:right w:val="none" w:sz="0" w:space="0" w:color="auto"/>
          </w:divBdr>
        </w:div>
        <w:div w:id="765686319">
          <w:marLeft w:val="0"/>
          <w:marRight w:val="0"/>
          <w:marTop w:val="0"/>
          <w:marBottom w:val="0"/>
          <w:divBdr>
            <w:top w:val="none" w:sz="0" w:space="0" w:color="auto"/>
            <w:left w:val="none" w:sz="0" w:space="0" w:color="auto"/>
            <w:bottom w:val="none" w:sz="0" w:space="0" w:color="auto"/>
            <w:right w:val="none" w:sz="0" w:space="0" w:color="auto"/>
          </w:divBdr>
        </w:div>
        <w:div w:id="788668588">
          <w:marLeft w:val="0"/>
          <w:marRight w:val="0"/>
          <w:marTop w:val="0"/>
          <w:marBottom w:val="0"/>
          <w:divBdr>
            <w:top w:val="none" w:sz="0" w:space="0" w:color="auto"/>
            <w:left w:val="none" w:sz="0" w:space="0" w:color="auto"/>
            <w:bottom w:val="none" w:sz="0" w:space="0" w:color="auto"/>
            <w:right w:val="none" w:sz="0" w:space="0" w:color="auto"/>
          </w:divBdr>
          <w:divsChild>
            <w:div w:id="1039164925">
              <w:marLeft w:val="0"/>
              <w:marRight w:val="0"/>
              <w:marTop w:val="0"/>
              <w:marBottom w:val="0"/>
              <w:divBdr>
                <w:top w:val="none" w:sz="0" w:space="0" w:color="auto"/>
                <w:left w:val="none" w:sz="0" w:space="0" w:color="auto"/>
                <w:bottom w:val="none" w:sz="0" w:space="0" w:color="auto"/>
                <w:right w:val="none" w:sz="0" w:space="0" w:color="auto"/>
              </w:divBdr>
            </w:div>
            <w:div w:id="1048914341">
              <w:marLeft w:val="0"/>
              <w:marRight w:val="0"/>
              <w:marTop w:val="0"/>
              <w:marBottom w:val="0"/>
              <w:divBdr>
                <w:top w:val="none" w:sz="0" w:space="0" w:color="auto"/>
                <w:left w:val="none" w:sz="0" w:space="0" w:color="auto"/>
                <w:bottom w:val="none" w:sz="0" w:space="0" w:color="auto"/>
                <w:right w:val="none" w:sz="0" w:space="0" w:color="auto"/>
              </w:divBdr>
            </w:div>
            <w:div w:id="1069382216">
              <w:marLeft w:val="0"/>
              <w:marRight w:val="0"/>
              <w:marTop w:val="0"/>
              <w:marBottom w:val="0"/>
              <w:divBdr>
                <w:top w:val="none" w:sz="0" w:space="0" w:color="auto"/>
                <w:left w:val="none" w:sz="0" w:space="0" w:color="auto"/>
                <w:bottom w:val="none" w:sz="0" w:space="0" w:color="auto"/>
                <w:right w:val="none" w:sz="0" w:space="0" w:color="auto"/>
              </w:divBdr>
            </w:div>
            <w:div w:id="1523666360">
              <w:marLeft w:val="0"/>
              <w:marRight w:val="0"/>
              <w:marTop w:val="0"/>
              <w:marBottom w:val="0"/>
              <w:divBdr>
                <w:top w:val="none" w:sz="0" w:space="0" w:color="auto"/>
                <w:left w:val="none" w:sz="0" w:space="0" w:color="auto"/>
                <w:bottom w:val="none" w:sz="0" w:space="0" w:color="auto"/>
                <w:right w:val="none" w:sz="0" w:space="0" w:color="auto"/>
              </w:divBdr>
            </w:div>
            <w:div w:id="1992444945">
              <w:marLeft w:val="0"/>
              <w:marRight w:val="0"/>
              <w:marTop w:val="0"/>
              <w:marBottom w:val="0"/>
              <w:divBdr>
                <w:top w:val="none" w:sz="0" w:space="0" w:color="auto"/>
                <w:left w:val="none" w:sz="0" w:space="0" w:color="auto"/>
                <w:bottom w:val="none" w:sz="0" w:space="0" w:color="auto"/>
                <w:right w:val="none" w:sz="0" w:space="0" w:color="auto"/>
              </w:divBdr>
            </w:div>
          </w:divsChild>
        </w:div>
        <w:div w:id="813640058">
          <w:marLeft w:val="0"/>
          <w:marRight w:val="0"/>
          <w:marTop w:val="0"/>
          <w:marBottom w:val="0"/>
          <w:divBdr>
            <w:top w:val="none" w:sz="0" w:space="0" w:color="auto"/>
            <w:left w:val="none" w:sz="0" w:space="0" w:color="auto"/>
            <w:bottom w:val="none" w:sz="0" w:space="0" w:color="auto"/>
            <w:right w:val="none" w:sz="0" w:space="0" w:color="auto"/>
          </w:divBdr>
        </w:div>
        <w:div w:id="817261424">
          <w:marLeft w:val="0"/>
          <w:marRight w:val="0"/>
          <w:marTop w:val="0"/>
          <w:marBottom w:val="0"/>
          <w:divBdr>
            <w:top w:val="none" w:sz="0" w:space="0" w:color="auto"/>
            <w:left w:val="none" w:sz="0" w:space="0" w:color="auto"/>
            <w:bottom w:val="none" w:sz="0" w:space="0" w:color="auto"/>
            <w:right w:val="none" w:sz="0" w:space="0" w:color="auto"/>
          </w:divBdr>
        </w:div>
        <w:div w:id="819035278">
          <w:marLeft w:val="0"/>
          <w:marRight w:val="0"/>
          <w:marTop w:val="0"/>
          <w:marBottom w:val="0"/>
          <w:divBdr>
            <w:top w:val="none" w:sz="0" w:space="0" w:color="auto"/>
            <w:left w:val="none" w:sz="0" w:space="0" w:color="auto"/>
            <w:bottom w:val="none" w:sz="0" w:space="0" w:color="auto"/>
            <w:right w:val="none" w:sz="0" w:space="0" w:color="auto"/>
          </w:divBdr>
        </w:div>
        <w:div w:id="823396444">
          <w:marLeft w:val="0"/>
          <w:marRight w:val="0"/>
          <w:marTop w:val="0"/>
          <w:marBottom w:val="0"/>
          <w:divBdr>
            <w:top w:val="none" w:sz="0" w:space="0" w:color="auto"/>
            <w:left w:val="none" w:sz="0" w:space="0" w:color="auto"/>
            <w:bottom w:val="none" w:sz="0" w:space="0" w:color="auto"/>
            <w:right w:val="none" w:sz="0" w:space="0" w:color="auto"/>
          </w:divBdr>
        </w:div>
        <w:div w:id="840434213">
          <w:marLeft w:val="0"/>
          <w:marRight w:val="0"/>
          <w:marTop w:val="0"/>
          <w:marBottom w:val="0"/>
          <w:divBdr>
            <w:top w:val="none" w:sz="0" w:space="0" w:color="auto"/>
            <w:left w:val="none" w:sz="0" w:space="0" w:color="auto"/>
            <w:bottom w:val="none" w:sz="0" w:space="0" w:color="auto"/>
            <w:right w:val="none" w:sz="0" w:space="0" w:color="auto"/>
          </w:divBdr>
        </w:div>
        <w:div w:id="862597853">
          <w:marLeft w:val="0"/>
          <w:marRight w:val="0"/>
          <w:marTop w:val="0"/>
          <w:marBottom w:val="0"/>
          <w:divBdr>
            <w:top w:val="none" w:sz="0" w:space="0" w:color="auto"/>
            <w:left w:val="none" w:sz="0" w:space="0" w:color="auto"/>
            <w:bottom w:val="none" w:sz="0" w:space="0" w:color="auto"/>
            <w:right w:val="none" w:sz="0" w:space="0" w:color="auto"/>
          </w:divBdr>
        </w:div>
        <w:div w:id="876117811">
          <w:marLeft w:val="0"/>
          <w:marRight w:val="0"/>
          <w:marTop w:val="0"/>
          <w:marBottom w:val="0"/>
          <w:divBdr>
            <w:top w:val="none" w:sz="0" w:space="0" w:color="auto"/>
            <w:left w:val="none" w:sz="0" w:space="0" w:color="auto"/>
            <w:bottom w:val="none" w:sz="0" w:space="0" w:color="auto"/>
            <w:right w:val="none" w:sz="0" w:space="0" w:color="auto"/>
          </w:divBdr>
          <w:divsChild>
            <w:div w:id="21787297">
              <w:marLeft w:val="0"/>
              <w:marRight w:val="0"/>
              <w:marTop w:val="0"/>
              <w:marBottom w:val="0"/>
              <w:divBdr>
                <w:top w:val="none" w:sz="0" w:space="0" w:color="auto"/>
                <w:left w:val="none" w:sz="0" w:space="0" w:color="auto"/>
                <w:bottom w:val="none" w:sz="0" w:space="0" w:color="auto"/>
                <w:right w:val="none" w:sz="0" w:space="0" w:color="auto"/>
              </w:divBdr>
            </w:div>
            <w:div w:id="1741977154">
              <w:marLeft w:val="0"/>
              <w:marRight w:val="0"/>
              <w:marTop w:val="0"/>
              <w:marBottom w:val="0"/>
              <w:divBdr>
                <w:top w:val="none" w:sz="0" w:space="0" w:color="auto"/>
                <w:left w:val="none" w:sz="0" w:space="0" w:color="auto"/>
                <w:bottom w:val="none" w:sz="0" w:space="0" w:color="auto"/>
                <w:right w:val="none" w:sz="0" w:space="0" w:color="auto"/>
              </w:divBdr>
            </w:div>
            <w:div w:id="1985038436">
              <w:marLeft w:val="0"/>
              <w:marRight w:val="0"/>
              <w:marTop w:val="0"/>
              <w:marBottom w:val="0"/>
              <w:divBdr>
                <w:top w:val="none" w:sz="0" w:space="0" w:color="auto"/>
                <w:left w:val="none" w:sz="0" w:space="0" w:color="auto"/>
                <w:bottom w:val="none" w:sz="0" w:space="0" w:color="auto"/>
                <w:right w:val="none" w:sz="0" w:space="0" w:color="auto"/>
              </w:divBdr>
            </w:div>
          </w:divsChild>
        </w:div>
        <w:div w:id="896471838">
          <w:marLeft w:val="0"/>
          <w:marRight w:val="0"/>
          <w:marTop w:val="0"/>
          <w:marBottom w:val="0"/>
          <w:divBdr>
            <w:top w:val="none" w:sz="0" w:space="0" w:color="auto"/>
            <w:left w:val="none" w:sz="0" w:space="0" w:color="auto"/>
            <w:bottom w:val="none" w:sz="0" w:space="0" w:color="auto"/>
            <w:right w:val="none" w:sz="0" w:space="0" w:color="auto"/>
          </w:divBdr>
          <w:divsChild>
            <w:div w:id="685257218">
              <w:marLeft w:val="0"/>
              <w:marRight w:val="0"/>
              <w:marTop w:val="0"/>
              <w:marBottom w:val="0"/>
              <w:divBdr>
                <w:top w:val="none" w:sz="0" w:space="0" w:color="auto"/>
                <w:left w:val="none" w:sz="0" w:space="0" w:color="auto"/>
                <w:bottom w:val="none" w:sz="0" w:space="0" w:color="auto"/>
                <w:right w:val="none" w:sz="0" w:space="0" w:color="auto"/>
              </w:divBdr>
            </w:div>
            <w:div w:id="719591858">
              <w:marLeft w:val="0"/>
              <w:marRight w:val="0"/>
              <w:marTop w:val="0"/>
              <w:marBottom w:val="0"/>
              <w:divBdr>
                <w:top w:val="none" w:sz="0" w:space="0" w:color="auto"/>
                <w:left w:val="none" w:sz="0" w:space="0" w:color="auto"/>
                <w:bottom w:val="none" w:sz="0" w:space="0" w:color="auto"/>
                <w:right w:val="none" w:sz="0" w:space="0" w:color="auto"/>
              </w:divBdr>
            </w:div>
            <w:div w:id="992872664">
              <w:marLeft w:val="0"/>
              <w:marRight w:val="0"/>
              <w:marTop w:val="0"/>
              <w:marBottom w:val="0"/>
              <w:divBdr>
                <w:top w:val="none" w:sz="0" w:space="0" w:color="auto"/>
                <w:left w:val="none" w:sz="0" w:space="0" w:color="auto"/>
                <w:bottom w:val="none" w:sz="0" w:space="0" w:color="auto"/>
                <w:right w:val="none" w:sz="0" w:space="0" w:color="auto"/>
              </w:divBdr>
            </w:div>
            <w:div w:id="1083993267">
              <w:marLeft w:val="0"/>
              <w:marRight w:val="0"/>
              <w:marTop w:val="0"/>
              <w:marBottom w:val="0"/>
              <w:divBdr>
                <w:top w:val="none" w:sz="0" w:space="0" w:color="auto"/>
                <w:left w:val="none" w:sz="0" w:space="0" w:color="auto"/>
                <w:bottom w:val="none" w:sz="0" w:space="0" w:color="auto"/>
                <w:right w:val="none" w:sz="0" w:space="0" w:color="auto"/>
              </w:divBdr>
            </w:div>
            <w:div w:id="1956718416">
              <w:marLeft w:val="0"/>
              <w:marRight w:val="0"/>
              <w:marTop w:val="0"/>
              <w:marBottom w:val="0"/>
              <w:divBdr>
                <w:top w:val="none" w:sz="0" w:space="0" w:color="auto"/>
                <w:left w:val="none" w:sz="0" w:space="0" w:color="auto"/>
                <w:bottom w:val="none" w:sz="0" w:space="0" w:color="auto"/>
                <w:right w:val="none" w:sz="0" w:space="0" w:color="auto"/>
              </w:divBdr>
            </w:div>
          </w:divsChild>
        </w:div>
        <w:div w:id="996808018">
          <w:marLeft w:val="0"/>
          <w:marRight w:val="0"/>
          <w:marTop w:val="0"/>
          <w:marBottom w:val="0"/>
          <w:divBdr>
            <w:top w:val="none" w:sz="0" w:space="0" w:color="auto"/>
            <w:left w:val="none" w:sz="0" w:space="0" w:color="auto"/>
            <w:bottom w:val="none" w:sz="0" w:space="0" w:color="auto"/>
            <w:right w:val="none" w:sz="0" w:space="0" w:color="auto"/>
          </w:divBdr>
        </w:div>
        <w:div w:id="1019308842">
          <w:marLeft w:val="0"/>
          <w:marRight w:val="0"/>
          <w:marTop w:val="0"/>
          <w:marBottom w:val="0"/>
          <w:divBdr>
            <w:top w:val="none" w:sz="0" w:space="0" w:color="auto"/>
            <w:left w:val="none" w:sz="0" w:space="0" w:color="auto"/>
            <w:bottom w:val="none" w:sz="0" w:space="0" w:color="auto"/>
            <w:right w:val="none" w:sz="0" w:space="0" w:color="auto"/>
          </w:divBdr>
        </w:div>
        <w:div w:id="1038821620">
          <w:marLeft w:val="0"/>
          <w:marRight w:val="0"/>
          <w:marTop w:val="0"/>
          <w:marBottom w:val="0"/>
          <w:divBdr>
            <w:top w:val="none" w:sz="0" w:space="0" w:color="auto"/>
            <w:left w:val="none" w:sz="0" w:space="0" w:color="auto"/>
            <w:bottom w:val="none" w:sz="0" w:space="0" w:color="auto"/>
            <w:right w:val="none" w:sz="0" w:space="0" w:color="auto"/>
          </w:divBdr>
        </w:div>
        <w:div w:id="1046680843">
          <w:marLeft w:val="0"/>
          <w:marRight w:val="0"/>
          <w:marTop w:val="0"/>
          <w:marBottom w:val="0"/>
          <w:divBdr>
            <w:top w:val="none" w:sz="0" w:space="0" w:color="auto"/>
            <w:left w:val="none" w:sz="0" w:space="0" w:color="auto"/>
            <w:bottom w:val="none" w:sz="0" w:space="0" w:color="auto"/>
            <w:right w:val="none" w:sz="0" w:space="0" w:color="auto"/>
          </w:divBdr>
        </w:div>
        <w:div w:id="1051076056">
          <w:marLeft w:val="0"/>
          <w:marRight w:val="0"/>
          <w:marTop w:val="0"/>
          <w:marBottom w:val="0"/>
          <w:divBdr>
            <w:top w:val="none" w:sz="0" w:space="0" w:color="auto"/>
            <w:left w:val="none" w:sz="0" w:space="0" w:color="auto"/>
            <w:bottom w:val="none" w:sz="0" w:space="0" w:color="auto"/>
            <w:right w:val="none" w:sz="0" w:space="0" w:color="auto"/>
          </w:divBdr>
        </w:div>
        <w:div w:id="1066032843">
          <w:marLeft w:val="0"/>
          <w:marRight w:val="0"/>
          <w:marTop w:val="0"/>
          <w:marBottom w:val="0"/>
          <w:divBdr>
            <w:top w:val="none" w:sz="0" w:space="0" w:color="auto"/>
            <w:left w:val="none" w:sz="0" w:space="0" w:color="auto"/>
            <w:bottom w:val="none" w:sz="0" w:space="0" w:color="auto"/>
            <w:right w:val="none" w:sz="0" w:space="0" w:color="auto"/>
          </w:divBdr>
        </w:div>
        <w:div w:id="1066757908">
          <w:marLeft w:val="0"/>
          <w:marRight w:val="0"/>
          <w:marTop w:val="0"/>
          <w:marBottom w:val="0"/>
          <w:divBdr>
            <w:top w:val="none" w:sz="0" w:space="0" w:color="auto"/>
            <w:left w:val="none" w:sz="0" w:space="0" w:color="auto"/>
            <w:bottom w:val="none" w:sz="0" w:space="0" w:color="auto"/>
            <w:right w:val="none" w:sz="0" w:space="0" w:color="auto"/>
          </w:divBdr>
          <w:divsChild>
            <w:div w:id="280838874">
              <w:marLeft w:val="0"/>
              <w:marRight w:val="0"/>
              <w:marTop w:val="0"/>
              <w:marBottom w:val="0"/>
              <w:divBdr>
                <w:top w:val="none" w:sz="0" w:space="0" w:color="auto"/>
                <w:left w:val="none" w:sz="0" w:space="0" w:color="auto"/>
                <w:bottom w:val="none" w:sz="0" w:space="0" w:color="auto"/>
                <w:right w:val="none" w:sz="0" w:space="0" w:color="auto"/>
              </w:divBdr>
            </w:div>
            <w:div w:id="894202151">
              <w:marLeft w:val="0"/>
              <w:marRight w:val="0"/>
              <w:marTop w:val="0"/>
              <w:marBottom w:val="0"/>
              <w:divBdr>
                <w:top w:val="none" w:sz="0" w:space="0" w:color="auto"/>
                <w:left w:val="none" w:sz="0" w:space="0" w:color="auto"/>
                <w:bottom w:val="none" w:sz="0" w:space="0" w:color="auto"/>
                <w:right w:val="none" w:sz="0" w:space="0" w:color="auto"/>
              </w:divBdr>
            </w:div>
            <w:div w:id="1012025598">
              <w:marLeft w:val="0"/>
              <w:marRight w:val="0"/>
              <w:marTop w:val="0"/>
              <w:marBottom w:val="0"/>
              <w:divBdr>
                <w:top w:val="none" w:sz="0" w:space="0" w:color="auto"/>
                <w:left w:val="none" w:sz="0" w:space="0" w:color="auto"/>
                <w:bottom w:val="none" w:sz="0" w:space="0" w:color="auto"/>
                <w:right w:val="none" w:sz="0" w:space="0" w:color="auto"/>
              </w:divBdr>
            </w:div>
            <w:div w:id="1028065232">
              <w:marLeft w:val="0"/>
              <w:marRight w:val="0"/>
              <w:marTop w:val="0"/>
              <w:marBottom w:val="0"/>
              <w:divBdr>
                <w:top w:val="none" w:sz="0" w:space="0" w:color="auto"/>
                <w:left w:val="none" w:sz="0" w:space="0" w:color="auto"/>
                <w:bottom w:val="none" w:sz="0" w:space="0" w:color="auto"/>
                <w:right w:val="none" w:sz="0" w:space="0" w:color="auto"/>
              </w:divBdr>
            </w:div>
            <w:div w:id="1897080059">
              <w:marLeft w:val="0"/>
              <w:marRight w:val="0"/>
              <w:marTop w:val="0"/>
              <w:marBottom w:val="0"/>
              <w:divBdr>
                <w:top w:val="none" w:sz="0" w:space="0" w:color="auto"/>
                <w:left w:val="none" w:sz="0" w:space="0" w:color="auto"/>
                <w:bottom w:val="none" w:sz="0" w:space="0" w:color="auto"/>
                <w:right w:val="none" w:sz="0" w:space="0" w:color="auto"/>
              </w:divBdr>
            </w:div>
          </w:divsChild>
        </w:div>
        <w:div w:id="1082601162">
          <w:marLeft w:val="0"/>
          <w:marRight w:val="0"/>
          <w:marTop w:val="0"/>
          <w:marBottom w:val="0"/>
          <w:divBdr>
            <w:top w:val="none" w:sz="0" w:space="0" w:color="auto"/>
            <w:left w:val="none" w:sz="0" w:space="0" w:color="auto"/>
            <w:bottom w:val="none" w:sz="0" w:space="0" w:color="auto"/>
            <w:right w:val="none" w:sz="0" w:space="0" w:color="auto"/>
          </w:divBdr>
        </w:div>
        <w:div w:id="1096897993">
          <w:marLeft w:val="0"/>
          <w:marRight w:val="0"/>
          <w:marTop w:val="0"/>
          <w:marBottom w:val="0"/>
          <w:divBdr>
            <w:top w:val="none" w:sz="0" w:space="0" w:color="auto"/>
            <w:left w:val="none" w:sz="0" w:space="0" w:color="auto"/>
            <w:bottom w:val="none" w:sz="0" w:space="0" w:color="auto"/>
            <w:right w:val="none" w:sz="0" w:space="0" w:color="auto"/>
          </w:divBdr>
          <w:divsChild>
            <w:div w:id="228852468">
              <w:marLeft w:val="0"/>
              <w:marRight w:val="0"/>
              <w:marTop w:val="0"/>
              <w:marBottom w:val="0"/>
              <w:divBdr>
                <w:top w:val="none" w:sz="0" w:space="0" w:color="auto"/>
                <w:left w:val="none" w:sz="0" w:space="0" w:color="auto"/>
                <w:bottom w:val="none" w:sz="0" w:space="0" w:color="auto"/>
                <w:right w:val="none" w:sz="0" w:space="0" w:color="auto"/>
              </w:divBdr>
            </w:div>
            <w:div w:id="749231262">
              <w:marLeft w:val="0"/>
              <w:marRight w:val="0"/>
              <w:marTop w:val="0"/>
              <w:marBottom w:val="0"/>
              <w:divBdr>
                <w:top w:val="none" w:sz="0" w:space="0" w:color="auto"/>
                <w:left w:val="none" w:sz="0" w:space="0" w:color="auto"/>
                <w:bottom w:val="none" w:sz="0" w:space="0" w:color="auto"/>
                <w:right w:val="none" w:sz="0" w:space="0" w:color="auto"/>
              </w:divBdr>
            </w:div>
            <w:div w:id="1781290588">
              <w:marLeft w:val="0"/>
              <w:marRight w:val="0"/>
              <w:marTop w:val="0"/>
              <w:marBottom w:val="0"/>
              <w:divBdr>
                <w:top w:val="none" w:sz="0" w:space="0" w:color="auto"/>
                <w:left w:val="none" w:sz="0" w:space="0" w:color="auto"/>
                <w:bottom w:val="none" w:sz="0" w:space="0" w:color="auto"/>
                <w:right w:val="none" w:sz="0" w:space="0" w:color="auto"/>
              </w:divBdr>
            </w:div>
            <w:div w:id="2058774233">
              <w:marLeft w:val="0"/>
              <w:marRight w:val="0"/>
              <w:marTop w:val="0"/>
              <w:marBottom w:val="0"/>
              <w:divBdr>
                <w:top w:val="none" w:sz="0" w:space="0" w:color="auto"/>
                <w:left w:val="none" w:sz="0" w:space="0" w:color="auto"/>
                <w:bottom w:val="none" w:sz="0" w:space="0" w:color="auto"/>
                <w:right w:val="none" w:sz="0" w:space="0" w:color="auto"/>
              </w:divBdr>
            </w:div>
          </w:divsChild>
        </w:div>
        <w:div w:id="1101100909">
          <w:marLeft w:val="0"/>
          <w:marRight w:val="0"/>
          <w:marTop w:val="0"/>
          <w:marBottom w:val="0"/>
          <w:divBdr>
            <w:top w:val="none" w:sz="0" w:space="0" w:color="auto"/>
            <w:left w:val="none" w:sz="0" w:space="0" w:color="auto"/>
            <w:bottom w:val="none" w:sz="0" w:space="0" w:color="auto"/>
            <w:right w:val="none" w:sz="0" w:space="0" w:color="auto"/>
          </w:divBdr>
        </w:div>
        <w:div w:id="1129010806">
          <w:marLeft w:val="0"/>
          <w:marRight w:val="0"/>
          <w:marTop w:val="0"/>
          <w:marBottom w:val="0"/>
          <w:divBdr>
            <w:top w:val="none" w:sz="0" w:space="0" w:color="auto"/>
            <w:left w:val="none" w:sz="0" w:space="0" w:color="auto"/>
            <w:bottom w:val="none" w:sz="0" w:space="0" w:color="auto"/>
            <w:right w:val="none" w:sz="0" w:space="0" w:color="auto"/>
          </w:divBdr>
          <w:divsChild>
            <w:div w:id="492837942">
              <w:marLeft w:val="0"/>
              <w:marRight w:val="0"/>
              <w:marTop w:val="0"/>
              <w:marBottom w:val="0"/>
              <w:divBdr>
                <w:top w:val="none" w:sz="0" w:space="0" w:color="auto"/>
                <w:left w:val="none" w:sz="0" w:space="0" w:color="auto"/>
                <w:bottom w:val="none" w:sz="0" w:space="0" w:color="auto"/>
                <w:right w:val="none" w:sz="0" w:space="0" w:color="auto"/>
              </w:divBdr>
            </w:div>
            <w:div w:id="1208496407">
              <w:marLeft w:val="0"/>
              <w:marRight w:val="0"/>
              <w:marTop w:val="0"/>
              <w:marBottom w:val="0"/>
              <w:divBdr>
                <w:top w:val="none" w:sz="0" w:space="0" w:color="auto"/>
                <w:left w:val="none" w:sz="0" w:space="0" w:color="auto"/>
                <w:bottom w:val="none" w:sz="0" w:space="0" w:color="auto"/>
                <w:right w:val="none" w:sz="0" w:space="0" w:color="auto"/>
              </w:divBdr>
            </w:div>
            <w:div w:id="1590118908">
              <w:marLeft w:val="0"/>
              <w:marRight w:val="0"/>
              <w:marTop w:val="0"/>
              <w:marBottom w:val="0"/>
              <w:divBdr>
                <w:top w:val="none" w:sz="0" w:space="0" w:color="auto"/>
                <w:left w:val="none" w:sz="0" w:space="0" w:color="auto"/>
                <w:bottom w:val="none" w:sz="0" w:space="0" w:color="auto"/>
                <w:right w:val="none" w:sz="0" w:space="0" w:color="auto"/>
              </w:divBdr>
            </w:div>
            <w:div w:id="1613630620">
              <w:marLeft w:val="0"/>
              <w:marRight w:val="0"/>
              <w:marTop w:val="0"/>
              <w:marBottom w:val="0"/>
              <w:divBdr>
                <w:top w:val="none" w:sz="0" w:space="0" w:color="auto"/>
                <w:left w:val="none" w:sz="0" w:space="0" w:color="auto"/>
                <w:bottom w:val="none" w:sz="0" w:space="0" w:color="auto"/>
                <w:right w:val="none" w:sz="0" w:space="0" w:color="auto"/>
              </w:divBdr>
            </w:div>
            <w:div w:id="1638221316">
              <w:marLeft w:val="0"/>
              <w:marRight w:val="0"/>
              <w:marTop w:val="0"/>
              <w:marBottom w:val="0"/>
              <w:divBdr>
                <w:top w:val="none" w:sz="0" w:space="0" w:color="auto"/>
                <w:left w:val="none" w:sz="0" w:space="0" w:color="auto"/>
                <w:bottom w:val="none" w:sz="0" w:space="0" w:color="auto"/>
                <w:right w:val="none" w:sz="0" w:space="0" w:color="auto"/>
              </w:divBdr>
            </w:div>
          </w:divsChild>
        </w:div>
        <w:div w:id="1144348126">
          <w:marLeft w:val="0"/>
          <w:marRight w:val="0"/>
          <w:marTop w:val="0"/>
          <w:marBottom w:val="0"/>
          <w:divBdr>
            <w:top w:val="none" w:sz="0" w:space="0" w:color="auto"/>
            <w:left w:val="none" w:sz="0" w:space="0" w:color="auto"/>
            <w:bottom w:val="none" w:sz="0" w:space="0" w:color="auto"/>
            <w:right w:val="none" w:sz="0" w:space="0" w:color="auto"/>
          </w:divBdr>
        </w:div>
        <w:div w:id="1147864084">
          <w:marLeft w:val="0"/>
          <w:marRight w:val="0"/>
          <w:marTop w:val="0"/>
          <w:marBottom w:val="0"/>
          <w:divBdr>
            <w:top w:val="none" w:sz="0" w:space="0" w:color="auto"/>
            <w:left w:val="none" w:sz="0" w:space="0" w:color="auto"/>
            <w:bottom w:val="none" w:sz="0" w:space="0" w:color="auto"/>
            <w:right w:val="none" w:sz="0" w:space="0" w:color="auto"/>
          </w:divBdr>
          <w:divsChild>
            <w:div w:id="347751958">
              <w:marLeft w:val="0"/>
              <w:marRight w:val="0"/>
              <w:marTop w:val="0"/>
              <w:marBottom w:val="0"/>
              <w:divBdr>
                <w:top w:val="none" w:sz="0" w:space="0" w:color="auto"/>
                <w:left w:val="none" w:sz="0" w:space="0" w:color="auto"/>
                <w:bottom w:val="none" w:sz="0" w:space="0" w:color="auto"/>
                <w:right w:val="none" w:sz="0" w:space="0" w:color="auto"/>
              </w:divBdr>
            </w:div>
            <w:div w:id="367877516">
              <w:marLeft w:val="0"/>
              <w:marRight w:val="0"/>
              <w:marTop w:val="0"/>
              <w:marBottom w:val="0"/>
              <w:divBdr>
                <w:top w:val="none" w:sz="0" w:space="0" w:color="auto"/>
                <w:left w:val="none" w:sz="0" w:space="0" w:color="auto"/>
                <w:bottom w:val="none" w:sz="0" w:space="0" w:color="auto"/>
                <w:right w:val="none" w:sz="0" w:space="0" w:color="auto"/>
              </w:divBdr>
            </w:div>
            <w:div w:id="592858692">
              <w:marLeft w:val="0"/>
              <w:marRight w:val="0"/>
              <w:marTop w:val="0"/>
              <w:marBottom w:val="0"/>
              <w:divBdr>
                <w:top w:val="none" w:sz="0" w:space="0" w:color="auto"/>
                <w:left w:val="none" w:sz="0" w:space="0" w:color="auto"/>
                <w:bottom w:val="none" w:sz="0" w:space="0" w:color="auto"/>
                <w:right w:val="none" w:sz="0" w:space="0" w:color="auto"/>
              </w:divBdr>
            </w:div>
            <w:div w:id="1378553522">
              <w:marLeft w:val="0"/>
              <w:marRight w:val="0"/>
              <w:marTop w:val="0"/>
              <w:marBottom w:val="0"/>
              <w:divBdr>
                <w:top w:val="none" w:sz="0" w:space="0" w:color="auto"/>
                <w:left w:val="none" w:sz="0" w:space="0" w:color="auto"/>
                <w:bottom w:val="none" w:sz="0" w:space="0" w:color="auto"/>
                <w:right w:val="none" w:sz="0" w:space="0" w:color="auto"/>
              </w:divBdr>
            </w:div>
            <w:div w:id="1529366615">
              <w:marLeft w:val="0"/>
              <w:marRight w:val="0"/>
              <w:marTop w:val="0"/>
              <w:marBottom w:val="0"/>
              <w:divBdr>
                <w:top w:val="none" w:sz="0" w:space="0" w:color="auto"/>
                <w:left w:val="none" w:sz="0" w:space="0" w:color="auto"/>
                <w:bottom w:val="none" w:sz="0" w:space="0" w:color="auto"/>
                <w:right w:val="none" w:sz="0" w:space="0" w:color="auto"/>
              </w:divBdr>
            </w:div>
          </w:divsChild>
        </w:div>
        <w:div w:id="1154032356">
          <w:marLeft w:val="0"/>
          <w:marRight w:val="0"/>
          <w:marTop w:val="0"/>
          <w:marBottom w:val="0"/>
          <w:divBdr>
            <w:top w:val="none" w:sz="0" w:space="0" w:color="auto"/>
            <w:left w:val="none" w:sz="0" w:space="0" w:color="auto"/>
            <w:bottom w:val="none" w:sz="0" w:space="0" w:color="auto"/>
            <w:right w:val="none" w:sz="0" w:space="0" w:color="auto"/>
          </w:divBdr>
        </w:div>
        <w:div w:id="1158501940">
          <w:marLeft w:val="0"/>
          <w:marRight w:val="0"/>
          <w:marTop w:val="0"/>
          <w:marBottom w:val="0"/>
          <w:divBdr>
            <w:top w:val="none" w:sz="0" w:space="0" w:color="auto"/>
            <w:left w:val="none" w:sz="0" w:space="0" w:color="auto"/>
            <w:bottom w:val="none" w:sz="0" w:space="0" w:color="auto"/>
            <w:right w:val="none" w:sz="0" w:space="0" w:color="auto"/>
          </w:divBdr>
        </w:div>
        <w:div w:id="1165589034">
          <w:marLeft w:val="0"/>
          <w:marRight w:val="0"/>
          <w:marTop w:val="0"/>
          <w:marBottom w:val="0"/>
          <w:divBdr>
            <w:top w:val="none" w:sz="0" w:space="0" w:color="auto"/>
            <w:left w:val="none" w:sz="0" w:space="0" w:color="auto"/>
            <w:bottom w:val="none" w:sz="0" w:space="0" w:color="auto"/>
            <w:right w:val="none" w:sz="0" w:space="0" w:color="auto"/>
          </w:divBdr>
        </w:div>
        <w:div w:id="1202743046">
          <w:marLeft w:val="0"/>
          <w:marRight w:val="0"/>
          <w:marTop w:val="0"/>
          <w:marBottom w:val="0"/>
          <w:divBdr>
            <w:top w:val="none" w:sz="0" w:space="0" w:color="auto"/>
            <w:left w:val="none" w:sz="0" w:space="0" w:color="auto"/>
            <w:bottom w:val="none" w:sz="0" w:space="0" w:color="auto"/>
            <w:right w:val="none" w:sz="0" w:space="0" w:color="auto"/>
          </w:divBdr>
          <w:divsChild>
            <w:div w:id="158473054">
              <w:marLeft w:val="0"/>
              <w:marRight w:val="0"/>
              <w:marTop w:val="0"/>
              <w:marBottom w:val="0"/>
              <w:divBdr>
                <w:top w:val="none" w:sz="0" w:space="0" w:color="auto"/>
                <w:left w:val="none" w:sz="0" w:space="0" w:color="auto"/>
                <w:bottom w:val="none" w:sz="0" w:space="0" w:color="auto"/>
                <w:right w:val="none" w:sz="0" w:space="0" w:color="auto"/>
              </w:divBdr>
            </w:div>
            <w:div w:id="1050610769">
              <w:marLeft w:val="0"/>
              <w:marRight w:val="0"/>
              <w:marTop w:val="0"/>
              <w:marBottom w:val="0"/>
              <w:divBdr>
                <w:top w:val="none" w:sz="0" w:space="0" w:color="auto"/>
                <w:left w:val="none" w:sz="0" w:space="0" w:color="auto"/>
                <w:bottom w:val="none" w:sz="0" w:space="0" w:color="auto"/>
                <w:right w:val="none" w:sz="0" w:space="0" w:color="auto"/>
              </w:divBdr>
            </w:div>
            <w:div w:id="1178232491">
              <w:marLeft w:val="0"/>
              <w:marRight w:val="0"/>
              <w:marTop w:val="0"/>
              <w:marBottom w:val="0"/>
              <w:divBdr>
                <w:top w:val="none" w:sz="0" w:space="0" w:color="auto"/>
                <w:left w:val="none" w:sz="0" w:space="0" w:color="auto"/>
                <w:bottom w:val="none" w:sz="0" w:space="0" w:color="auto"/>
                <w:right w:val="none" w:sz="0" w:space="0" w:color="auto"/>
              </w:divBdr>
            </w:div>
            <w:div w:id="1221595215">
              <w:marLeft w:val="0"/>
              <w:marRight w:val="0"/>
              <w:marTop w:val="0"/>
              <w:marBottom w:val="0"/>
              <w:divBdr>
                <w:top w:val="none" w:sz="0" w:space="0" w:color="auto"/>
                <w:left w:val="none" w:sz="0" w:space="0" w:color="auto"/>
                <w:bottom w:val="none" w:sz="0" w:space="0" w:color="auto"/>
                <w:right w:val="none" w:sz="0" w:space="0" w:color="auto"/>
              </w:divBdr>
            </w:div>
            <w:div w:id="2025400361">
              <w:marLeft w:val="0"/>
              <w:marRight w:val="0"/>
              <w:marTop w:val="0"/>
              <w:marBottom w:val="0"/>
              <w:divBdr>
                <w:top w:val="none" w:sz="0" w:space="0" w:color="auto"/>
                <w:left w:val="none" w:sz="0" w:space="0" w:color="auto"/>
                <w:bottom w:val="none" w:sz="0" w:space="0" w:color="auto"/>
                <w:right w:val="none" w:sz="0" w:space="0" w:color="auto"/>
              </w:divBdr>
            </w:div>
          </w:divsChild>
        </w:div>
        <w:div w:id="1203444608">
          <w:marLeft w:val="0"/>
          <w:marRight w:val="0"/>
          <w:marTop w:val="0"/>
          <w:marBottom w:val="0"/>
          <w:divBdr>
            <w:top w:val="none" w:sz="0" w:space="0" w:color="auto"/>
            <w:left w:val="none" w:sz="0" w:space="0" w:color="auto"/>
            <w:bottom w:val="none" w:sz="0" w:space="0" w:color="auto"/>
            <w:right w:val="none" w:sz="0" w:space="0" w:color="auto"/>
          </w:divBdr>
        </w:div>
        <w:div w:id="1208639501">
          <w:marLeft w:val="0"/>
          <w:marRight w:val="0"/>
          <w:marTop w:val="0"/>
          <w:marBottom w:val="0"/>
          <w:divBdr>
            <w:top w:val="none" w:sz="0" w:space="0" w:color="auto"/>
            <w:left w:val="none" w:sz="0" w:space="0" w:color="auto"/>
            <w:bottom w:val="none" w:sz="0" w:space="0" w:color="auto"/>
            <w:right w:val="none" w:sz="0" w:space="0" w:color="auto"/>
          </w:divBdr>
        </w:div>
        <w:div w:id="1241863055">
          <w:marLeft w:val="0"/>
          <w:marRight w:val="0"/>
          <w:marTop w:val="0"/>
          <w:marBottom w:val="0"/>
          <w:divBdr>
            <w:top w:val="none" w:sz="0" w:space="0" w:color="auto"/>
            <w:left w:val="none" w:sz="0" w:space="0" w:color="auto"/>
            <w:bottom w:val="none" w:sz="0" w:space="0" w:color="auto"/>
            <w:right w:val="none" w:sz="0" w:space="0" w:color="auto"/>
          </w:divBdr>
          <w:divsChild>
            <w:div w:id="127403846">
              <w:marLeft w:val="0"/>
              <w:marRight w:val="0"/>
              <w:marTop w:val="0"/>
              <w:marBottom w:val="0"/>
              <w:divBdr>
                <w:top w:val="none" w:sz="0" w:space="0" w:color="auto"/>
                <w:left w:val="none" w:sz="0" w:space="0" w:color="auto"/>
                <w:bottom w:val="none" w:sz="0" w:space="0" w:color="auto"/>
                <w:right w:val="none" w:sz="0" w:space="0" w:color="auto"/>
              </w:divBdr>
            </w:div>
            <w:div w:id="165635563">
              <w:marLeft w:val="0"/>
              <w:marRight w:val="0"/>
              <w:marTop w:val="0"/>
              <w:marBottom w:val="0"/>
              <w:divBdr>
                <w:top w:val="none" w:sz="0" w:space="0" w:color="auto"/>
                <w:left w:val="none" w:sz="0" w:space="0" w:color="auto"/>
                <w:bottom w:val="none" w:sz="0" w:space="0" w:color="auto"/>
                <w:right w:val="none" w:sz="0" w:space="0" w:color="auto"/>
              </w:divBdr>
            </w:div>
            <w:div w:id="189881329">
              <w:marLeft w:val="0"/>
              <w:marRight w:val="0"/>
              <w:marTop w:val="0"/>
              <w:marBottom w:val="0"/>
              <w:divBdr>
                <w:top w:val="none" w:sz="0" w:space="0" w:color="auto"/>
                <w:left w:val="none" w:sz="0" w:space="0" w:color="auto"/>
                <w:bottom w:val="none" w:sz="0" w:space="0" w:color="auto"/>
                <w:right w:val="none" w:sz="0" w:space="0" w:color="auto"/>
              </w:divBdr>
            </w:div>
            <w:div w:id="1183982976">
              <w:marLeft w:val="0"/>
              <w:marRight w:val="0"/>
              <w:marTop w:val="0"/>
              <w:marBottom w:val="0"/>
              <w:divBdr>
                <w:top w:val="none" w:sz="0" w:space="0" w:color="auto"/>
                <w:left w:val="none" w:sz="0" w:space="0" w:color="auto"/>
                <w:bottom w:val="none" w:sz="0" w:space="0" w:color="auto"/>
                <w:right w:val="none" w:sz="0" w:space="0" w:color="auto"/>
              </w:divBdr>
            </w:div>
            <w:div w:id="2122995025">
              <w:marLeft w:val="0"/>
              <w:marRight w:val="0"/>
              <w:marTop w:val="0"/>
              <w:marBottom w:val="0"/>
              <w:divBdr>
                <w:top w:val="none" w:sz="0" w:space="0" w:color="auto"/>
                <w:left w:val="none" w:sz="0" w:space="0" w:color="auto"/>
                <w:bottom w:val="none" w:sz="0" w:space="0" w:color="auto"/>
                <w:right w:val="none" w:sz="0" w:space="0" w:color="auto"/>
              </w:divBdr>
            </w:div>
          </w:divsChild>
        </w:div>
        <w:div w:id="1250044055">
          <w:marLeft w:val="0"/>
          <w:marRight w:val="0"/>
          <w:marTop w:val="0"/>
          <w:marBottom w:val="0"/>
          <w:divBdr>
            <w:top w:val="none" w:sz="0" w:space="0" w:color="auto"/>
            <w:left w:val="none" w:sz="0" w:space="0" w:color="auto"/>
            <w:bottom w:val="none" w:sz="0" w:space="0" w:color="auto"/>
            <w:right w:val="none" w:sz="0" w:space="0" w:color="auto"/>
          </w:divBdr>
          <w:divsChild>
            <w:div w:id="833880247">
              <w:marLeft w:val="0"/>
              <w:marRight w:val="0"/>
              <w:marTop w:val="0"/>
              <w:marBottom w:val="0"/>
              <w:divBdr>
                <w:top w:val="none" w:sz="0" w:space="0" w:color="auto"/>
                <w:left w:val="none" w:sz="0" w:space="0" w:color="auto"/>
                <w:bottom w:val="none" w:sz="0" w:space="0" w:color="auto"/>
                <w:right w:val="none" w:sz="0" w:space="0" w:color="auto"/>
              </w:divBdr>
            </w:div>
            <w:div w:id="1094787821">
              <w:marLeft w:val="0"/>
              <w:marRight w:val="0"/>
              <w:marTop w:val="0"/>
              <w:marBottom w:val="0"/>
              <w:divBdr>
                <w:top w:val="none" w:sz="0" w:space="0" w:color="auto"/>
                <w:left w:val="none" w:sz="0" w:space="0" w:color="auto"/>
                <w:bottom w:val="none" w:sz="0" w:space="0" w:color="auto"/>
                <w:right w:val="none" w:sz="0" w:space="0" w:color="auto"/>
              </w:divBdr>
            </w:div>
            <w:div w:id="1604415658">
              <w:marLeft w:val="0"/>
              <w:marRight w:val="0"/>
              <w:marTop w:val="0"/>
              <w:marBottom w:val="0"/>
              <w:divBdr>
                <w:top w:val="none" w:sz="0" w:space="0" w:color="auto"/>
                <w:left w:val="none" w:sz="0" w:space="0" w:color="auto"/>
                <w:bottom w:val="none" w:sz="0" w:space="0" w:color="auto"/>
                <w:right w:val="none" w:sz="0" w:space="0" w:color="auto"/>
              </w:divBdr>
            </w:div>
            <w:div w:id="1664969972">
              <w:marLeft w:val="0"/>
              <w:marRight w:val="0"/>
              <w:marTop w:val="0"/>
              <w:marBottom w:val="0"/>
              <w:divBdr>
                <w:top w:val="none" w:sz="0" w:space="0" w:color="auto"/>
                <w:left w:val="none" w:sz="0" w:space="0" w:color="auto"/>
                <w:bottom w:val="none" w:sz="0" w:space="0" w:color="auto"/>
                <w:right w:val="none" w:sz="0" w:space="0" w:color="auto"/>
              </w:divBdr>
            </w:div>
            <w:div w:id="2059671320">
              <w:marLeft w:val="0"/>
              <w:marRight w:val="0"/>
              <w:marTop w:val="0"/>
              <w:marBottom w:val="0"/>
              <w:divBdr>
                <w:top w:val="none" w:sz="0" w:space="0" w:color="auto"/>
                <w:left w:val="none" w:sz="0" w:space="0" w:color="auto"/>
                <w:bottom w:val="none" w:sz="0" w:space="0" w:color="auto"/>
                <w:right w:val="none" w:sz="0" w:space="0" w:color="auto"/>
              </w:divBdr>
            </w:div>
          </w:divsChild>
        </w:div>
        <w:div w:id="1253927988">
          <w:marLeft w:val="0"/>
          <w:marRight w:val="0"/>
          <w:marTop w:val="0"/>
          <w:marBottom w:val="0"/>
          <w:divBdr>
            <w:top w:val="none" w:sz="0" w:space="0" w:color="auto"/>
            <w:left w:val="none" w:sz="0" w:space="0" w:color="auto"/>
            <w:bottom w:val="none" w:sz="0" w:space="0" w:color="auto"/>
            <w:right w:val="none" w:sz="0" w:space="0" w:color="auto"/>
          </w:divBdr>
        </w:div>
        <w:div w:id="1310282033">
          <w:marLeft w:val="0"/>
          <w:marRight w:val="0"/>
          <w:marTop w:val="0"/>
          <w:marBottom w:val="0"/>
          <w:divBdr>
            <w:top w:val="none" w:sz="0" w:space="0" w:color="auto"/>
            <w:left w:val="none" w:sz="0" w:space="0" w:color="auto"/>
            <w:bottom w:val="none" w:sz="0" w:space="0" w:color="auto"/>
            <w:right w:val="none" w:sz="0" w:space="0" w:color="auto"/>
          </w:divBdr>
          <w:divsChild>
            <w:div w:id="987244766">
              <w:marLeft w:val="-75"/>
              <w:marRight w:val="0"/>
              <w:marTop w:val="30"/>
              <w:marBottom w:val="30"/>
              <w:divBdr>
                <w:top w:val="none" w:sz="0" w:space="0" w:color="auto"/>
                <w:left w:val="none" w:sz="0" w:space="0" w:color="auto"/>
                <w:bottom w:val="none" w:sz="0" w:space="0" w:color="auto"/>
                <w:right w:val="none" w:sz="0" w:space="0" w:color="auto"/>
              </w:divBdr>
              <w:divsChild>
                <w:div w:id="18774380">
                  <w:marLeft w:val="0"/>
                  <w:marRight w:val="0"/>
                  <w:marTop w:val="0"/>
                  <w:marBottom w:val="0"/>
                  <w:divBdr>
                    <w:top w:val="none" w:sz="0" w:space="0" w:color="auto"/>
                    <w:left w:val="none" w:sz="0" w:space="0" w:color="auto"/>
                    <w:bottom w:val="none" w:sz="0" w:space="0" w:color="auto"/>
                    <w:right w:val="none" w:sz="0" w:space="0" w:color="auto"/>
                  </w:divBdr>
                  <w:divsChild>
                    <w:div w:id="1558855728">
                      <w:marLeft w:val="0"/>
                      <w:marRight w:val="0"/>
                      <w:marTop w:val="0"/>
                      <w:marBottom w:val="0"/>
                      <w:divBdr>
                        <w:top w:val="none" w:sz="0" w:space="0" w:color="auto"/>
                        <w:left w:val="none" w:sz="0" w:space="0" w:color="auto"/>
                        <w:bottom w:val="none" w:sz="0" w:space="0" w:color="auto"/>
                        <w:right w:val="none" w:sz="0" w:space="0" w:color="auto"/>
                      </w:divBdr>
                    </w:div>
                  </w:divsChild>
                </w:div>
                <w:div w:id="44450197">
                  <w:marLeft w:val="0"/>
                  <w:marRight w:val="0"/>
                  <w:marTop w:val="0"/>
                  <w:marBottom w:val="0"/>
                  <w:divBdr>
                    <w:top w:val="none" w:sz="0" w:space="0" w:color="auto"/>
                    <w:left w:val="none" w:sz="0" w:space="0" w:color="auto"/>
                    <w:bottom w:val="none" w:sz="0" w:space="0" w:color="auto"/>
                    <w:right w:val="none" w:sz="0" w:space="0" w:color="auto"/>
                  </w:divBdr>
                  <w:divsChild>
                    <w:div w:id="1987128116">
                      <w:marLeft w:val="0"/>
                      <w:marRight w:val="0"/>
                      <w:marTop w:val="0"/>
                      <w:marBottom w:val="0"/>
                      <w:divBdr>
                        <w:top w:val="none" w:sz="0" w:space="0" w:color="auto"/>
                        <w:left w:val="none" w:sz="0" w:space="0" w:color="auto"/>
                        <w:bottom w:val="none" w:sz="0" w:space="0" w:color="auto"/>
                        <w:right w:val="none" w:sz="0" w:space="0" w:color="auto"/>
                      </w:divBdr>
                    </w:div>
                  </w:divsChild>
                </w:div>
                <w:div w:id="49231768">
                  <w:marLeft w:val="0"/>
                  <w:marRight w:val="0"/>
                  <w:marTop w:val="0"/>
                  <w:marBottom w:val="0"/>
                  <w:divBdr>
                    <w:top w:val="none" w:sz="0" w:space="0" w:color="auto"/>
                    <w:left w:val="none" w:sz="0" w:space="0" w:color="auto"/>
                    <w:bottom w:val="none" w:sz="0" w:space="0" w:color="auto"/>
                    <w:right w:val="none" w:sz="0" w:space="0" w:color="auto"/>
                  </w:divBdr>
                  <w:divsChild>
                    <w:div w:id="1748652475">
                      <w:marLeft w:val="0"/>
                      <w:marRight w:val="0"/>
                      <w:marTop w:val="0"/>
                      <w:marBottom w:val="0"/>
                      <w:divBdr>
                        <w:top w:val="none" w:sz="0" w:space="0" w:color="auto"/>
                        <w:left w:val="none" w:sz="0" w:space="0" w:color="auto"/>
                        <w:bottom w:val="none" w:sz="0" w:space="0" w:color="auto"/>
                        <w:right w:val="none" w:sz="0" w:space="0" w:color="auto"/>
                      </w:divBdr>
                    </w:div>
                  </w:divsChild>
                </w:div>
                <w:div w:id="104738672">
                  <w:marLeft w:val="0"/>
                  <w:marRight w:val="0"/>
                  <w:marTop w:val="0"/>
                  <w:marBottom w:val="0"/>
                  <w:divBdr>
                    <w:top w:val="none" w:sz="0" w:space="0" w:color="auto"/>
                    <w:left w:val="none" w:sz="0" w:space="0" w:color="auto"/>
                    <w:bottom w:val="none" w:sz="0" w:space="0" w:color="auto"/>
                    <w:right w:val="none" w:sz="0" w:space="0" w:color="auto"/>
                  </w:divBdr>
                  <w:divsChild>
                    <w:div w:id="721977143">
                      <w:marLeft w:val="0"/>
                      <w:marRight w:val="0"/>
                      <w:marTop w:val="0"/>
                      <w:marBottom w:val="0"/>
                      <w:divBdr>
                        <w:top w:val="none" w:sz="0" w:space="0" w:color="auto"/>
                        <w:left w:val="none" w:sz="0" w:space="0" w:color="auto"/>
                        <w:bottom w:val="none" w:sz="0" w:space="0" w:color="auto"/>
                        <w:right w:val="none" w:sz="0" w:space="0" w:color="auto"/>
                      </w:divBdr>
                    </w:div>
                  </w:divsChild>
                </w:div>
                <w:div w:id="109127583">
                  <w:marLeft w:val="0"/>
                  <w:marRight w:val="0"/>
                  <w:marTop w:val="0"/>
                  <w:marBottom w:val="0"/>
                  <w:divBdr>
                    <w:top w:val="none" w:sz="0" w:space="0" w:color="auto"/>
                    <w:left w:val="none" w:sz="0" w:space="0" w:color="auto"/>
                    <w:bottom w:val="none" w:sz="0" w:space="0" w:color="auto"/>
                    <w:right w:val="none" w:sz="0" w:space="0" w:color="auto"/>
                  </w:divBdr>
                  <w:divsChild>
                    <w:div w:id="2122217854">
                      <w:marLeft w:val="0"/>
                      <w:marRight w:val="0"/>
                      <w:marTop w:val="0"/>
                      <w:marBottom w:val="0"/>
                      <w:divBdr>
                        <w:top w:val="none" w:sz="0" w:space="0" w:color="auto"/>
                        <w:left w:val="none" w:sz="0" w:space="0" w:color="auto"/>
                        <w:bottom w:val="none" w:sz="0" w:space="0" w:color="auto"/>
                        <w:right w:val="none" w:sz="0" w:space="0" w:color="auto"/>
                      </w:divBdr>
                    </w:div>
                  </w:divsChild>
                </w:div>
                <w:div w:id="144247893">
                  <w:marLeft w:val="0"/>
                  <w:marRight w:val="0"/>
                  <w:marTop w:val="0"/>
                  <w:marBottom w:val="0"/>
                  <w:divBdr>
                    <w:top w:val="none" w:sz="0" w:space="0" w:color="auto"/>
                    <w:left w:val="none" w:sz="0" w:space="0" w:color="auto"/>
                    <w:bottom w:val="none" w:sz="0" w:space="0" w:color="auto"/>
                    <w:right w:val="none" w:sz="0" w:space="0" w:color="auto"/>
                  </w:divBdr>
                  <w:divsChild>
                    <w:div w:id="1254050725">
                      <w:marLeft w:val="0"/>
                      <w:marRight w:val="0"/>
                      <w:marTop w:val="0"/>
                      <w:marBottom w:val="0"/>
                      <w:divBdr>
                        <w:top w:val="none" w:sz="0" w:space="0" w:color="auto"/>
                        <w:left w:val="none" w:sz="0" w:space="0" w:color="auto"/>
                        <w:bottom w:val="none" w:sz="0" w:space="0" w:color="auto"/>
                        <w:right w:val="none" w:sz="0" w:space="0" w:color="auto"/>
                      </w:divBdr>
                    </w:div>
                  </w:divsChild>
                </w:div>
                <w:div w:id="239877033">
                  <w:marLeft w:val="0"/>
                  <w:marRight w:val="0"/>
                  <w:marTop w:val="0"/>
                  <w:marBottom w:val="0"/>
                  <w:divBdr>
                    <w:top w:val="none" w:sz="0" w:space="0" w:color="auto"/>
                    <w:left w:val="none" w:sz="0" w:space="0" w:color="auto"/>
                    <w:bottom w:val="none" w:sz="0" w:space="0" w:color="auto"/>
                    <w:right w:val="none" w:sz="0" w:space="0" w:color="auto"/>
                  </w:divBdr>
                  <w:divsChild>
                    <w:div w:id="851914645">
                      <w:marLeft w:val="0"/>
                      <w:marRight w:val="0"/>
                      <w:marTop w:val="0"/>
                      <w:marBottom w:val="0"/>
                      <w:divBdr>
                        <w:top w:val="none" w:sz="0" w:space="0" w:color="auto"/>
                        <w:left w:val="none" w:sz="0" w:space="0" w:color="auto"/>
                        <w:bottom w:val="none" w:sz="0" w:space="0" w:color="auto"/>
                        <w:right w:val="none" w:sz="0" w:space="0" w:color="auto"/>
                      </w:divBdr>
                    </w:div>
                  </w:divsChild>
                </w:div>
                <w:div w:id="251086085">
                  <w:marLeft w:val="0"/>
                  <w:marRight w:val="0"/>
                  <w:marTop w:val="0"/>
                  <w:marBottom w:val="0"/>
                  <w:divBdr>
                    <w:top w:val="none" w:sz="0" w:space="0" w:color="auto"/>
                    <w:left w:val="none" w:sz="0" w:space="0" w:color="auto"/>
                    <w:bottom w:val="none" w:sz="0" w:space="0" w:color="auto"/>
                    <w:right w:val="none" w:sz="0" w:space="0" w:color="auto"/>
                  </w:divBdr>
                  <w:divsChild>
                    <w:div w:id="1607348268">
                      <w:marLeft w:val="0"/>
                      <w:marRight w:val="0"/>
                      <w:marTop w:val="0"/>
                      <w:marBottom w:val="0"/>
                      <w:divBdr>
                        <w:top w:val="none" w:sz="0" w:space="0" w:color="auto"/>
                        <w:left w:val="none" w:sz="0" w:space="0" w:color="auto"/>
                        <w:bottom w:val="none" w:sz="0" w:space="0" w:color="auto"/>
                        <w:right w:val="none" w:sz="0" w:space="0" w:color="auto"/>
                      </w:divBdr>
                    </w:div>
                  </w:divsChild>
                </w:div>
                <w:div w:id="267467018">
                  <w:marLeft w:val="0"/>
                  <w:marRight w:val="0"/>
                  <w:marTop w:val="0"/>
                  <w:marBottom w:val="0"/>
                  <w:divBdr>
                    <w:top w:val="none" w:sz="0" w:space="0" w:color="auto"/>
                    <w:left w:val="none" w:sz="0" w:space="0" w:color="auto"/>
                    <w:bottom w:val="none" w:sz="0" w:space="0" w:color="auto"/>
                    <w:right w:val="none" w:sz="0" w:space="0" w:color="auto"/>
                  </w:divBdr>
                  <w:divsChild>
                    <w:div w:id="266543270">
                      <w:marLeft w:val="0"/>
                      <w:marRight w:val="0"/>
                      <w:marTop w:val="0"/>
                      <w:marBottom w:val="0"/>
                      <w:divBdr>
                        <w:top w:val="none" w:sz="0" w:space="0" w:color="auto"/>
                        <w:left w:val="none" w:sz="0" w:space="0" w:color="auto"/>
                        <w:bottom w:val="none" w:sz="0" w:space="0" w:color="auto"/>
                        <w:right w:val="none" w:sz="0" w:space="0" w:color="auto"/>
                      </w:divBdr>
                    </w:div>
                  </w:divsChild>
                </w:div>
                <w:div w:id="344788045">
                  <w:marLeft w:val="0"/>
                  <w:marRight w:val="0"/>
                  <w:marTop w:val="0"/>
                  <w:marBottom w:val="0"/>
                  <w:divBdr>
                    <w:top w:val="none" w:sz="0" w:space="0" w:color="auto"/>
                    <w:left w:val="none" w:sz="0" w:space="0" w:color="auto"/>
                    <w:bottom w:val="none" w:sz="0" w:space="0" w:color="auto"/>
                    <w:right w:val="none" w:sz="0" w:space="0" w:color="auto"/>
                  </w:divBdr>
                  <w:divsChild>
                    <w:div w:id="2066639960">
                      <w:marLeft w:val="0"/>
                      <w:marRight w:val="0"/>
                      <w:marTop w:val="0"/>
                      <w:marBottom w:val="0"/>
                      <w:divBdr>
                        <w:top w:val="none" w:sz="0" w:space="0" w:color="auto"/>
                        <w:left w:val="none" w:sz="0" w:space="0" w:color="auto"/>
                        <w:bottom w:val="none" w:sz="0" w:space="0" w:color="auto"/>
                        <w:right w:val="none" w:sz="0" w:space="0" w:color="auto"/>
                      </w:divBdr>
                    </w:div>
                  </w:divsChild>
                </w:div>
                <w:div w:id="358824870">
                  <w:marLeft w:val="0"/>
                  <w:marRight w:val="0"/>
                  <w:marTop w:val="0"/>
                  <w:marBottom w:val="0"/>
                  <w:divBdr>
                    <w:top w:val="none" w:sz="0" w:space="0" w:color="auto"/>
                    <w:left w:val="none" w:sz="0" w:space="0" w:color="auto"/>
                    <w:bottom w:val="none" w:sz="0" w:space="0" w:color="auto"/>
                    <w:right w:val="none" w:sz="0" w:space="0" w:color="auto"/>
                  </w:divBdr>
                  <w:divsChild>
                    <w:div w:id="1382293330">
                      <w:marLeft w:val="0"/>
                      <w:marRight w:val="0"/>
                      <w:marTop w:val="0"/>
                      <w:marBottom w:val="0"/>
                      <w:divBdr>
                        <w:top w:val="none" w:sz="0" w:space="0" w:color="auto"/>
                        <w:left w:val="none" w:sz="0" w:space="0" w:color="auto"/>
                        <w:bottom w:val="none" w:sz="0" w:space="0" w:color="auto"/>
                        <w:right w:val="none" w:sz="0" w:space="0" w:color="auto"/>
                      </w:divBdr>
                    </w:div>
                  </w:divsChild>
                </w:div>
                <w:div w:id="394860217">
                  <w:marLeft w:val="0"/>
                  <w:marRight w:val="0"/>
                  <w:marTop w:val="0"/>
                  <w:marBottom w:val="0"/>
                  <w:divBdr>
                    <w:top w:val="none" w:sz="0" w:space="0" w:color="auto"/>
                    <w:left w:val="none" w:sz="0" w:space="0" w:color="auto"/>
                    <w:bottom w:val="none" w:sz="0" w:space="0" w:color="auto"/>
                    <w:right w:val="none" w:sz="0" w:space="0" w:color="auto"/>
                  </w:divBdr>
                  <w:divsChild>
                    <w:div w:id="1426346290">
                      <w:marLeft w:val="0"/>
                      <w:marRight w:val="0"/>
                      <w:marTop w:val="0"/>
                      <w:marBottom w:val="0"/>
                      <w:divBdr>
                        <w:top w:val="none" w:sz="0" w:space="0" w:color="auto"/>
                        <w:left w:val="none" w:sz="0" w:space="0" w:color="auto"/>
                        <w:bottom w:val="none" w:sz="0" w:space="0" w:color="auto"/>
                        <w:right w:val="none" w:sz="0" w:space="0" w:color="auto"/>
                      </w:divBdr>
                    </w:div>
                  </w:divsChild>
                </w:div>
                <w:div w:id="400178596">
                  <w:marLeft w:val="0"/>
                  <w:marRight w:val="0"/>
                  <w:marTop w:val="0"/>
                  <w:marBottom w:val="0"/>
                  <w:divBdr>
                    <w:top w:val="none" w:sz="0" w:space="0" w:color="auto"/>
                    <w:left w:val="none" w:sz="0" w:space="0" w:color="auto"/>
                    <w:bottom w:val="none" w:sz="0" w:space="0" w:color="auto"/>
                    <w:right w:val="none" w:sz="0" w:space="0" w:color="auto"/>
                  </w:divBdr>
                  <w:divsChild>
                    <w:div w:id="1693651069">
                      <w:marLeft w:val="0"/>
                      <w:marRight w:val="0"/>
                      <w:marTop w:val="0"/>
                      <w:marBottom w:val="0"/>
                      <w:divBdr>
                        <w:top w:val="none" w:sz="0" w:space="0" w:color="auto"/>
                        <w:left w:val="none" w:sz="0" w:space="0" w:color="auto"/>
                        <w:bottom w:val="none" w:sz="0" w:space="0" w:color="auto"/>
                        <w:right w:val="none" w:sz="0" w:space="0" w:color="auto"/>
                      </w:divBdr>
                    </w:div>
                  </w:divsChild>
                </w:div>
                <w:div w:id="584414510">
                  <w:marLeft w:val="0"/>
                  <w:marRight w:val="0"/>
                  <w:marTop w:val="0"/>
                  <w:marBottom w:val="0"/>
                  <w:divBdr>
                    <w:top w:val="none" w:sz="0" w:space="0" w:color="auto"/>
                    <w:left w:val="none" w:sz="0" w:space="0" w:color="auto"/>
                    <w:bottom w:val="none" w:sz="0" w:space="0" w:color="auto"/>
                    <w:right w:val="none" w:sz="0" w:space="0" w:color="auto"/>
                  </w:divBdr>
                  <w:divsChild>
                    <w:div w:id="1141533251">
                      <w:marLeft w:val="0"/>
                      <w:marRight w:val="0"/>
                      <w:marTop w:val="0"/>
                      <w:marBottom w:val="0"/>
                      <w:divBdr>
                        <w:top w:val="none" w:sz="0" w:space="0" w:color="auto"/>
                        <w:left w:val="none" w:sz="0" w:space="0" w:color="auto"/>
                        <w:bottom w:val="none" w:sz="0" w:space="0" w:color="auto"/>
                        <w:right w:val="none" w:sz="0" w:space="0" w:color="auto"/>
                      </w:divBdr>
                    </w:div>
                  </w:divsChild>
                </w:div>
                <w:div w:id="919020594">
                  <w:marLeft w:val="0"/>
                  <w:marRight w:val="0"/>
                  <w:marTop w:val="0"/>
                  <w:marBottom w:val="0"/>
                  <w:divBdr>
                    <w:top w:val="none" w:sz="0" w:space="0" w:color="auto"/>
                    <w:left w:val="none" w:sz="0" w:space="0" w:color="auto"/>
                    <w:bottom w:val="none" w:sz="0" w:space="0" w:color="auto"/>
                    <w:right w:val="none" w:sz="0" w:space="0" w:color="auto"/>
                  </w:divBdr>
                  <w:divsChild>
                    <w:div w:id="1443188212">
                      <w:marLeft w:val="0"/>
                      <w:marRight w:val="0"/>
                      <w:marTop w:val="0"/>
                      <w:marBottom w:val="0"/>
                      <w:divBdr>
                        <w:top w:val="none" w:sz="0" w:space="0" w:color="auto"/>
                        <w:left w:val="none" w:sz="0" w:space="0" w:color="auto"/>
                        <w:bottom w:val="none" w:sz="0" w:space="0" w:color="auto"/>
                        <w:right w:val="none" w:sz="0" w:space="0" w:color="auto"/>
                      </w:divBdr>
                    </w:div>
                  </w:divsChild>
                </w:div>
                <w:div w:id="950473979">
                  <w:marLeft w:val="0"/>
                  <w:marRight w:val="0"/>
                  <w:marTop w:val="0"/>
                  <w:marBottom w:val="0"/>
                  <w:divBdr>
                    <w:top w:val="none" w:sz="0" w:space="0" w:color="auto"/>
                    <w:left w:val="none" w:sz="0" w:space="0" w:color="auto"/>
                    <w:bottom w:val="none" w:sz="0" w:space="0" w:color="auto"/>
                    <w:right w:val="none" w:sz="0" w:space="0" w:color="auto"/>
                  </w:divBdr>
                  <w:divsChild>
                    <w:div w:id="276834862">
                      <w:marLeft w:val="0"/>
                      <w:marRight w:val="0"/>
                      <w:marTop w:val="0"/>
                      <w:marBottom w:val="0"/>
                      <w:divBdr>
                        <w:top w:val="none" w:sz="0" w:space="0" w:color="auto"/>
                        <w:left w:val="none" w:sz="0" w:space="0" w:color="auto"/>
                        <w:bottom w:val="none" w:sz="0" w:space="0" w:color="auto"/>
                        <w:right w:val="none" w:sz="0" w:space="0" w:color="auto"/>
                      </w:divBdr>
                    </w:div>
                  </w:divsChild>
                </w:div>
                <w:div w:id="968630470">
                  <w:marLeft w:val="0"/>
                  <w:marRight w:val="0"/>
                  <w:marTop w:val="0"/>
                  <w:marBottom w:val="0"/>
                  <w:divBdr>
                    <w:top w:val="none" w:sz="0" w:space="0" w:color="auto"/>
                    <w:left w:val="none" w:sz="0" w:space="0" w:color="auto"/>
                    <w:bottom w:val="none" w:sz="0" w:space="0" w:color="auto"/>
                    <w:right w:val="none" w:sz="0" w:space="0" w:color="auto"/>
                  </w:divBdr>
                  <w:divsChild>
                    <w:div w:id="866262023">
                      <w:marLeft w:val="0"/>
                      <w:marRight w:val="0"/>
                      <w:marTop w:val="0"/>
                      <w:marBottom w:val="0"/>
                      <w:divBdr>
                        <w:top w:val="none" w:sz="0" w:space="0" w:color="auto"/>
                        <w:left w:val="none" w:sz="0" w:space="0" w:color="auto"/>
                        <w:bottom w:val="none" w:sz="0" w:space="0" w:color="auto"/>
                        <w:right w:val="none" w:sz="0" w:space="0" w:color="auto"/>
                      </w:divBdr>
                    </w:div>
                  </w:divsChild>
                </w:div>
                <w:div w:id="984316108">
                  <w:marLeft w:val="0"/>
                  <w:marRight w:val="0"/>
                  <w:marTop w:val="0"/>
                  <w:marBottom w:val="0"/>
                  <w:divBdr>
                    <w:top w:val="none" w:sz="0" w:space="0" w:color="auto"/>
                    <w:left w:val="none" w:sz="0" w:space="0" w:color="auto"/>
                    <w:bottom w:val="none" w:sz="0" w:space="0" w:color="auto"/>
                    <w:right w:val="none" w:sz="0" w:space="0" w:color="auto"/>
                  </w:divBdr>
                  <w:divsChild>
                    <w:div w:id="508132706">
                      <w:marLeft w:val="0"/>
                      <w:marRight w:val="0"/>
                      <w:marTop w:val="0"/>
                      <w:marBottom w:val="0"/>
                      <w:divBdr>
                        <w:top w:val="none" w:sz="0" w:space="0" w:color="auto"/>
                        <w:left w:val="none" w:sz="0" w:space="0" w:color="auto"/>
                        <w:bottom w:val="none" w:sz="0" w:space="0" w:color="auto"/>
                        <w:right w:val="none" w:sz="0" w:space="0" w:color="auto"/>
                      </w:divBdr>
                    </w:div>
                  </w:divsChild>
                </w:div>
                <w:div w:id="1040515895">
                  <w:marLeft w:val="0"/>
                  <w:marRight w:val="0"/>
                  <w:marTop w:val="0"/>
                  <w:marBottom w:val="0"/>
                  <w:divBdr>
                    <w:top w:val="none" w:sz="0" w:space="0" w:color="auto"/>
                    <w:left w:val="none" w:sz="0" w:space="0" w:color="auto"/>
                    <w:bottom w:val="none" w:sz="0" w:space="0" w:color="auto"/>
                    <w:right w:val="none" w:sz="0" w:space="0" w:color="auto"/>
                  </w:divBdr>
                  <w:divsChild>
                    <w:div w:id="1526940495">
                      <w:marLeft w:val="0"/>
                      <w:marRight w:val="0"/>
                      <w:marTop w:val="0"/>
                      <w:marBottom w:val="0"/>
                      <w:divBdr>
                        <w:top w:val="none" w:sz="0" w:space="0" w:color="auto"/>
                        <w:left w:val="none" w:sz="0" w:space="0" w:color="auto"/>
                        <w:bottom w:val="none" w:sz="0" w:space="0" w:color="auto"/>
                        <w:right w:val="none" w:sz="0" w:space="0" w:color="auto"/>
                      </w:divBdr>
                    </w:div>
                  </w:divsChild>
                </w:div>
                <w:div w:id="1217009004">
                  <w:marLeft w:val="0"/>
                  <w:marRight w:val="0"/>
                  <w:marTop w:val="0"/>
                  <w:marBottom w:val="0"/>
                  <w:divBdr>
                    <w:top w:val="none" w:sz="0" w:space="0" w:color="auto"/>
                    <w:left w:val="none" w:sz="0" w:space="0" w:color="auto"/>
                    <w:bottom w:val="none" w:sz="0" w:space="0" w:color="auto"/>
                    <w:right w:val="none" w:sz="0" w:space="0" w:color="auto"/>
                  </w:divBdr>
                  <w:divsChild>
                    <w:div w:id="1739668706">
                      <w:marLeft w:val="0"/>
                      <w:marRight w:val="0"/>
                      <w:marTop w:val="0"/>
                      <w:marBottom w:val="0"/>
                      <w:divBdr>
                        <w:top w:val="none" w:sz="0" w:space="0" w:color="auto"/>
                        <w:left w:val="none" w:sz="0" w:space="0" w:color="auto"/>
                        <w:bottom w:val="none" w:sz="0" w:space="0" w:color="auto"/>
                        <w:right w:val="none" w:sz="0" w:space="0" w:color="auto"/>
                      </w:divBdr>
                    </w:div>
                  </w:divsChild>
                </w:div>
                <w:div w:id="1229879649">
                  <w:marLeft w:val="0"/>
                  <w:marRight w:val="0"/>
                  <w:marTop w:val="0"/>
                  <w:marBottom w:val="0"/>
                  <w:divBdr>
                    <w:top w:val="none" w:sz="0" w:space="0" w:color="auto"/>
                    <w:left w:val="none" w:sz="0" w:space="0" w:color="auto"/>
                    <w:bottom w:val="none" w:sz="0" w:space="0" w:color="auto"/>
                    <w:right w:val="none" w:sz="0" w:space="0" w:color="auto"/>
                  </w:divBdr>
                  <w:divsChild>
                    <w:div w:id="1622492710">
                      <w:marLeft w:val="0"/>
                      <w:marRight w:val="0"/>
                      <w:marTop w:val="0"/>
                      <w:marBottom w:val="0"/>
                      <w:divBdr>
                        <w:top w:val="none" w:sz="0" w:space="0" w:color="auto"/>
                        <w:left w:val="none" w:sz="0" w:space="0" w:color="auto"/>
                        <w:bottom w:val="none" w:sz="0" w:space="0" w:color="auto"/>
                        <w:right w:val="none" w:sz="0" w:space="0" w:color="auto"/>
                      </w:divBdr>
                    </w:div>
                  </w:divsChild>
                </w:div>
                <w:div w:id="1263103359">
                  <w:marLeft w:val="0"/>
                  <w:marRight w:val="0"/>
                  <w:marTop w:val="0"/>
                  <w:marBottom w:val="0"/>
                  <w:divBdr>
                    <w:top w:val="none" w:sz="0" w:space="0" w:color="auto"/>
                    <w:left w:val="none" w:sz="0" w:space="0" w:color="auto"/>
                    <w:bottom w:val="none" w:sz="0" w:space="0" w:color="auto"/>
                    <w:right w:val="none" w:sz="0" w:space="0" w:color="auto"/>
                  </w:divBdr>
                  <w:divsChild>
                    <w:div w:id="1572735589">
                      <w:marLeft w:val="0"/>
                      <w:marRight w:val="0"/>
                      <w:marTop w:val="0"/>
                      <w:marBottom w:val="0"/>
                      <w:divBdr>
                        <w:top w:val="none" w:sz="0" w:space="0" w:color="auto"/>
                        <w:left w:val="none" w:sz="0" w:space="0" w:color="auto"/>
                        <w:bottom w:val="none" w:sz="0" w:space="0" w:color="auto"/>
                        <w:right w:val="none" w:sz="0" w:space="0" w:color="auto"/>
                      </w:divBdr>
                    </w:div>
                  </w:divsChild>
                </w:div>
                <w:div w:id="1307129959">
                  <w:marLeft w:val="0"/>
                  <w:marRight w:val="0"/>
                  <w:marTop w:val="0"/>
                  <w:marBottom w:val="0"/>
                  <w:divBdr>
                    <w:top w:val="none" w:sz="0" w:space="0" w:color="auto"/>
                    <w:left w:val="none" w:sz="0" w:space="0" w:color="auto"/>
                    <w:bottom w:val="none" w:sz="0" w:space="0" w:color="auto"/>
                    <w:right w:val="none" w:sz="0" w:space="0" w:color="auto"/>
                  </w:divBdr>
                  <w:divsChild>
                    <w:div w:id="1570505213">
                      <w:marLeft w:val="0"/>
                      <w:marRight w:val="0"/>
                      <w:marTop w:val="0"/>
                      <w:marBottom w:val="0"/>
                      <w:divBdr>
                        <w:top w:val="none" w:sz="0" w:space="0" w:color="auto"/>
                        <w:left w:val="none" w:sz="0" w:space="0" w:color="auto"/>
                        <w:bottom w:val="none" w:sz="0" w:space="0" w:color="auto"/>
                        <w:right w:val="none" w:sz="0" w:space="0" w:color="auto"/>
                      </w:divBdr>
                    </w:div>
                  </w:divsChild>
                </w:div>
                <w:div w:id="1343313573">
                  <w:marLeft w:val="0"/>
                  <w:marRight w:val="0"/>
                  <w:marTop w:val="0"/>
                  <w:marBottom w:val="0"/>
                  <w:divBdr>
                    <w:top w:val="none" w:sz="0" w:space="0" w:color="auto"/>
                    <w:left w:val="none" w:sz="0" w:space="0" w:color="auto"/>
                    <w:bottom w:val="none" w:sz="0" w:space="0" w:color="auto"/>
                    <w:right w:val="none" w:sz="0" w:space="0" w:color="auto"/>
                  </w:divBdr>
                  <w:divsChild>
                    <w:div w:id="1653172363">
                      <w:marLeft w:val="0"/>
                      <w:marRight w:val="0"/>
                      <w:marTop w:val="0"/>
                      <w:marBottom w:val="0"/>
                      <w:divBdr>
                        <w:top w:val="none" w:sz="0" w:space="0" w:color="auto"/>
                        <w:left w:val="none" w:sz="0" w:space="0" w:color="auto"/>
                        <w:bottom w:val="none" w:sz="0" w:space="0" w:color="auto"/>
                        <w:right w:val="none" w:sz="0" w:space="0" w:color="auto"/>
                      </w:divBdr>
                    </w:div>
                  </w:divsChild>
                </w:div>
                <w:div w:id="1351759649">
                  <w:marLeft w:val="0"/>
                  <w:marRight w:val="0"/>
                  <w:marTop w:val="0"/>
                  <w:marBottom w:val="0"/>
                  <w:divBdr>
                    <w:top w:val="none" w:sz="0" w:space="0" w:color="auto"/>
                    <w:left w:val="none" w:sz="0" w:space="0" w:color="auto"/>
                    <w:bottom w:val="none" w:sz="0" w:space="0" w:color="auto"/>
                    <w:right w:val="none" w:sz="0" w:space="0" w:color="auto"/>
                  </w:divBdr>
                  <w:divsChild>
                    <w:div w:id="1919827604">
                      <w:marLeft w:val="0"/>
                      <w:marRight w:val="0"/>
                      <w:marTop w:val="0"/>
                      <w:marBottom w:val="0"/>
                      <w:divBdr>
                        <w:top w:val="none" w:sz="0" w:space="0" w:color="auto"/>
                        <w:left w:val="none" w:sz="0" w:space="0" w:color="auto"/>
                        <w:bottom w:val="none" w:sz="0" w:space="0" w:color="auto"/>
                        <w:right w:val="none" w:sz="0" w:space="0" w:color="auto"/>
                      </w:divBdr>
                    </w:div>
                  </w:divsChild>
                </w:div>
                <w:div w:id="1430587429">
                  <w:marLeft w:val="0"/>
                  <w:marRight w:val="0"/>
                  <w:marTop w:val="0"/>
                  <w:marBottom w:val="0"/>
                  <w:divBdr>
                    <w:top w:val="none" w:sz="0" w:space="0" w:color="auto"/>
                    <w:left w:val="none" w:sz="0" w:space="0" w:color="auto"/>
                    <w:bottom w:val="none" w:sz="0" w:space="0" w:color="auto"/>
                    <w:right w:val="none" w:sz="0" w:space="0" w:color="auto"/>
                  </w:divBdr>
                  <w:divsChild>
                    <w:div w:id="1601984333">
                      <w:marLeft w:val="0"/>
                      <w:marRight w:val="0"/>
                      <w:marTop w:val="0"/>
                      <w:marBottom w:val="0"/>
                      <w:divBdr>
                        <w:top w:val="none" w:sz="0" w:space="0" w:color="auto"/>
                        <w:left w:val="none" w:sz="0" w:space="0" w:color="auto"/>
                        <w:bottom w:val="none" w:sz="0" w:space="0" w:color="auto"/>
                        <w:right w:val="none" w:sz="0" w:space="0" w:color="auto"/>
                      </w:divBdr>
                    </w:div>
                  </w:divsChild>
                </w:div>
                <w:div w:id="1568151559">
                  <w:marLeft w:val="0"/>
                  <w:marRight w:val="0"/>
                  <w:marTop w:val="0"/>
                  <w:marBottom w:val="0"/>
                  <w:divBdr>
                    <w:top w:val="none" w:sz="0" w:space="0" w:color="auto"/>
                    <w:left w:val="none" w:sz="0" w:space="0" w:color="auto"/>
                    <w:bottom w:val="none" w:sz="0" w:space="0" w:color="auto"/>
                    <w:right w:val="none" w:sz="0" w:space="0" w:color="auto"/>
                  </w:divBdr>
                  <w:divsChild>
                    <w:div w:id="568880889">
                      <w:marLeft w:val="0"/>
                      <w:marRight w:val="0"/>
                      <w:marTop w:val="0"/>
                      <w:marBottom w:val="0"/>
                      <w:divBdr>
                        <w:top w:val="none" w:sz="0" w:space="0" w:color="auto"/>
                        <w:left w:val="none" w:sz="0" w:space="0" w:color="auto"/>
                        <w:bottom w:val="none" w:sz="0" w:space="0" w:color="auto"/>
                        <w:right w:val="none" w:sz="0" w:space="0" w:color="auto"/>
                      </w:divBdr>
                    </w:div>
                  </w:divsChild>
                </w:div>
                <w:div w:id="1635257396">
                  <w:marLeft w:val="0"/>
                  <w:marRight w:val="0"/>
                  <w:marTop w:val="0"/>
                  <w:marBottom w:val="0"/>
                  <w:divBdr>
                    <w:top w:val="none" w:sz="0" w:space="0" w:color="auto"/>
                    <w:left w:val="none" w:sz="0" w:space="0" w:color="auto"/>
                    <w:bottom w:val="none" w:sz="0" w:space="0" w:color="auto"/>
                    <w:right w:val="none" w:sz="0" w:space="0" w:color="auto"/>
                  </w:divBdr>
                  <w:divsChild>
                    <w:div w:id="363752598">
                      <w:marLeft w:val="0"/>
                      <w:marRight w:val="0"/>
                      <w:marTop w:val="0"/>
                      <w:marBottom w:val="0"/>
                      <w:divBdr>
                        <w:top w:val="none" w:sz="0" w:space="0" w:color="auto"/>
                        <w:left w:val="none" w:sz="0" w:space="0" w:color="auto"/>
                        <w:bottom w:val="none" w:sz="0" w:space="0" w:color="auto"/>
                        <w:right w:val="none" w:sz="0" w:space="0" w:color="auto"/>
                      </w:divBdr>
                    </w:div>
                  </w:divsChild>
                </w:div>
                <w:div w:id="1767193390">
                  <w:marLeft w:val="0"/>
                  <w:marRight w:val="0"/>
                  <w:marTop w:val="0"/>
                  <w:marBottom w:val="0"/>
                  <w:divBdr>
                    <w:top w:val="none" w:sz="0" w:space="0" w:color="auto"/>
                    <w:left w:val="none" w:sz="0" w:space="0" w:color="auto"/>
                    <w:bottom w:val="none" w:sz="0" w:space="0" w:color="auto"/>
                    <w:right w:val="none" w:sz="0" w:space="0" w:color="auto"/>
                  </w:divBdr>
                  <w:divsChild>
                    <w:div w:id="2013215794">
                      <w:marLeft w:val="0"/>
                      <w:marRight w:val="0"/>
                      <w:marTop w:val="0"/>
                      <w:marBottom w:val="0"/>
                      <w:divBdr>
                        <w:top w:val="none" w:sz="0" w:space="0" w:color="auto"/>
                        <w:left w:val="none" w:sz="0" w:space="0" w:color="auto"/>
                        <w:bottom w:val="none" w:sz="0" w:space="0" w:color="auto"/>
                        <w:right w:val="none" w:sz="0" w:space="0" w:color="auto"/>
                      </w:divBdr>
                    </w:div>
                  </w:divsChild>
                </w:div>
                <w:div w:id="1968512151">
                  <w:marLeft w:val="0"/>
                  <w:marRight w:val="0"/>
                  <w:marTop w:val="0"/>
                  <w:marBottom w:val="0"/>
                  <w:divBdr>
                    <w:top w:val="none" w:sz="0" w:space="0" w:color="auto"/>
                    <w:left w:val="none" w:sz="0" w:space="0" w:color="auto"/>
                    <w:bottom w:val="none" w:sz="0" w:space="0" w:color="auto"/>
                    <w:right w:val="none" w:sz="0" w:space="0" w:color="auto"/>
                  </w:divBdr>
                  <w:divsChild>
                    <w:div w:id="521671671">
                      <w:marLeft w:val="0"/>
                      <w:marRight w:val="0"/>
                      <w:marTop w:val="0"/>
                      <w:marBottom w:val="0"/>
                      <w:divBdr>
                        <w:top w:val="none" w:sz="0" w:space="0" w:color="auto"/>
                        <w:left w:val="none" w:sz="0" w:space="0" w:color="auto"/>
                        <w:bottom w:val="none" w:sz="0" w:space="0" w:color="auto"/>
                        <w:right w:val="none" w:sz="0" w:space="0" w:color="auto"/>
                      </w:divBdr>
                    </w:div>
                  </w:divsChild>
                </w:div>
                <w:div w:id="2059277491">
                  <w:marLeft w:val="0"/>
                  <w:marRight w:val="0"/>
                  <w:marTop w:val="0"/>
                  <w:marBottom w:val="0"/>
                  <w:divBdr>
                    <w:top w:val="none" w:sz="0" w:space="0" w:color="auto"/>
                    <w:left w:val="none" w:sz="0" w:space="0" w:color="auto"/>
                    <w:bottom w:val="none" w:sz="0" w:space="0" w:color="auto"/>
                    <w:right w:val="none" w:sz="0" w:space="0" w:color="auto"/>
                  </w:divBdr>
                  <w:divsChild>
                    <w:div w:id="1584990008">
                      <w:marLeft w:val="0"/>
                      <w:marRight w:val="0"/>
                      <w:marTop w:val="0"/>
                      <w:marBottom w:val="0"/>
                      <w:divBdr>
                        <w:top w:val="none" w:sz="0" w:space="0" w:color="auto"/>
                        <w:left w:val="none" w:sz="0" w:space="0" w:color="auto"/>
                        <w:bottom w:val="none" w:sz="0" w:space="0" w:color="auto"/>
                        <w:right w:val="none" w:sz="0" w:space="0" w:color="auto"/>
                      </w:divBdr>
                    </w:div>
                  </w:divsChild>
                </w:div>
                <w:div w:id="2139295742">
                  <w:marLeft w:val="0"/>
                  <w:marRight w:val="0"/>
                  <w:marTop w:val="0"/>
                  <w:marBottom w:val="0"/>
                  <w:divBdr>
                    <w:top w:val="none" w:sz="0" w:space="0" w:color="auto"/>
                    <w:left w:val="none" w:sz="0" w:space="0" w:color="auto"/>
                    <w:bottom w:val="none" w:sz="0" w:space="0" w:color="auto"/>
                    <w:right w:val="none" w:sz="0" w:space="0" w:color="auto"/>
                  </w:divBdr>
                  <w:divsChild>
                    <w:div w:id="106483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06231">
          <w:marLeft w:val="0"/>
          <w:marRight w:val="0"/>
          <w:marTop w:val="0"/>
          <w:marBottom w:val="0"/>
          <w:divBdr>
            <w:top w:val="none" w:sz="0" w:space="0" w:color="auto"/>
            <w:left w:val="none" w:sz="0" w:space="0" w:color="auto"/>
            <w:bottom w:val="none" w:sz="0" w:space="0" w:color="auto"/>
            <w:right w:val="none" w:sz="0" w:space="0" w:color="auto"/>
          </w:divBdr>
          <w:divsChild>
            <w:div w:id="409040895">
              <w:marLeft w:val="0"/>
              <w:marRight w:val="0"/>
              <w:marTop w:val="0"/>
              <w:marBottom w:val="0"/>
              <w:divBdr>
                <w:top w:val="none" w:sz="0" w:space="0" w:color="auto"/>
                <w:left w:val="none" w:sz="0" w:space="0" w:color="auto"/>
                <w:bottom w:val="none" w:sz="0" w:space="0" w:color="auto"/>
                <w:right w:val="none" w:sz="0" w:space="0" w:color="auto"/>
              </w:divBdr>
            </w:div>
            <w:div w:id="410926423">
              <w:marLeft w:val="0"/>
              <w:marRight w:val="0"/>
              <w:marTop w:val="0"/>
              <w:marBottom w:val="0"/>
              <w:divBdr>
                <w:top w:val="none" w:sz="0" w:space="0" w:color="auto"/>
                <w:left w:val="none" w:sz="0" w:space="0" w:color="auto"/>
                <w:bottom w:val="none" w:sz="0" w:space="0" w:color="auto"/>
                <w:right w:val="none" w:sz="0" w:space="0" w:color="auto"/>
              </w:divBdr>
            </w:div>
            <w:div w:id="1754860550">
              <w:marLeft w:val="0"/>
              <w:marRight w:val="0"/>
              <w:marTop w:val="0"/>
              <w:marBottom w:val="0"/>
              <w:divBdr>
                <w:top w:val="none" w:sz="0" w:space="0" w:color="auto"/>
                <w:left w:val="none" w:sz="0" w:space="0" w:color="auto"/>
                <w:bottom w:val="none" w:sz="0" w:space="0" w:color="auto"/>
                <w:right w:val="none" w:sz="0" w:space="0" w:color="auto"/>
              </w:divBdr>
            </w:div>
          </w:divsChild>
        </w:div>
        <w:div w:id="1333485808">
          <w:marLeft w:val="0"/>
          <w:marRight w:val="0"/>
          <w:marTop w:val="0"/>
          <w:marBottom w:val="0"/>
          <w:divBdr>
            <w:top w:val="none" w:sz="0" w:space="0" w:color="auto"/>
            <w:left w:val="none" w:sz="0" w:space="0" w:color="auto"/>
            <w:bottom w:val="none" w:sz="0" w:space="0" w:color="auto"/>
            <w:right w:val="none" w:sz="0" w:space="0" w:color="auto"/>
          </w:divBdr>
        </w:div>
        <w:div w:id="1336223403">
          <w:marLeft w:val="0"/>
          <w:marRight w:val="0"/>
          <w:marTop w:val="0"/>
          <w:marBottom w:val="0"/>
          <w:divBdr>
            <w:top w:val="none" w:sz="0" w:space="0" w:color="auto"/>
            <w:left w:val="none" w:sz="0" w:space="0" w:color="auto"/>
            <w:bottom w:val="none" w:sz="0" w:space="0" w:color="auto"/>
            <w:right w:val="none" w:sz="0" w:space="0" w:color="auto"/>
          </w:divBdr>
        </w:div>
        <w:div w:id="1356006095">
          <w:marLeft w:val="0"/>
          <w:marRight w:val="0"/>
          <w:marTop w:val="0"/>
          <w:marBottom w:val="0"/>
          <w:divBdr>
            <w:top w:val="none" w:sz="0" w:space="0" w:color="auto"/>
            <w:left w:val="none" w:sz="0" w:space="0" w:color="auto"/>
            <w:bottom w:val="none" w:sz="0" w:space="0" w:color="auto"/>
            <w:right w:val="none" w:sz="0" w:space="0" w:color="auto"/>
          </w:divBdr>
        </w:div>
        <w:div w:id="1370951833">
          <w:marLeft w:val="0"/>
          <w:marRight w:val="0"/>
          <w:marTop w:val="0"/>
          <w:marBottom w:val="0"/>
          <w:divBdr>
            <w:top w:val="none" w:sz="0" w:space="0" w:color="auto"/>
            <w:left w:val="none" w:sz="0" w:space="0" w:color="auto"/>
            <w:bottom w:val="none" w:sz="0" w:space="0" w:color="auto"/>
            <w:right w:val="none" w:sz="0" w:space="0" w:color="auto"/>
          </w:divBdr>
        </w:div>
        <w:div w:id="1390154297">
          <w:marLeft w:val="0"/>
          <w:marRight w:val="0"/>
          <w:marTop w:val="0"/>
          <w:marBottom w:val="0"/>
          <w:divBdr>
            <w:top w:val="none" w:sz="0" w:space="0" w:color="auto"/>
            <w:left w:val="none" w:sz="0" w:space="0" w:color="auto"/>
            <w:bottom w:val="none" w:sz="0" w:space="0" w:color="auto"/>
            <w:right w:val="none" w:sz="0" w:space="0" w:color="auto"/>
          </w:divBdr>
        </w:div>
        <w:div w:id="1391657198">
          <w:marLeft w:val="0"/>
          <w:marRight w:val="0"/>
          <w:marTop w:val="0"/>
          <w:marBottom w:val="0"/>
          <w:divBdr>
            <w:top w:val="none" w:sz="0" w:space="0" w:color="auto"/>
            <w:left w:val="none" w:sz="0" w:space="0" w:color="auto"/>
            <w:bottom w:val="none" w:sz="0" w:space="0" w:color="auto"/>
            <w:right w:val="none" w:sz="0" w:space="0" w:color="auto"/>
          </w:divBdr>
        </w:div>
        <w:div w:id="1407728201">
          <w:marLeft w:val="0"/>
          <w:marRight w:val="0"/>
          <w:marTop w:val="0"/>
          <w:marBottom w:val="0"/>
          <w:divBdr>
            <w:top w:val="none" w:sz="0" w:space="0" w:color="auto"/>
            <w:left w:val="none" w:sz="0" w:space="0" w:color="auto"/>
            <w:bottom w:val="none" w:sz="0" w:space="0" w:color="auto"/>
            <w:right w:val="none" w:sz="0" w:space="0" w:color="auto"/>
          </w:divBdr>
          <w:divsChild>
            <w:div w:id="514615415">
              <w:marLeft w:val="0"/>
              <w:marRight w:val="0"/>
              <w:marTop w:val="0"/>
              <w:marBottom w:val="0"/>
              <w:divBdr>
                <w:top w:val="none" w:sz="0" w:space="0" w:color="auto"/>
                <w:left w:val="none" w:sz="0" w:space="0" w:color="auto"/>
                <w:bottom w:val="none" w:sz="0" w:space="0" w:color="auto"/>
                <w:right w:val="none" w:sz="0" w:space="0" w:color="auto"/>
              </w:divBdr>
            </w:div>
            <w:div w:id="1069232885">
              <w:marLeft w:val="0"/>
              <w:marRight w:val="0"/>
              <w:marTop w:val="0"/>
              <w:marBottom w:val="0"/>
              <w:divBdr>
                <w:top w:val="none" w:sz="0" w:space="0" w:color="auto"/>
                <w:left w:val="none" w:sz="0" w:space="0" w:color="auto"/>
                <w:bottom w:val="none" w:sz="0" w:space="0" w:color="auto"/>
                <w:right w:val="none" w:sz="0" w:space="0" w:color="auto"/>
              </w:divBdr>
            </w:div>
            <w:div w:id="1897817526">
              <w:marLeft w:val="0"/>
              <w:marRight w:val="0"/>
              <w:marTop w:val="0"/>
              <w:marBottom w:val="0"/>
              <w:divBdr>
                <w:top w:val="none" w:sz="0" w:space="0" w:color="auto"/>
                <w:left w:val="none" w:sz="0" w:space="0" w:color="auto"/>
                <w:bottom w:val="none" w:sz="0" w:space="0" w:color="auto"/>
                <w:right w:val="none" w:sz="0" w:space="0" w:color="auto"/>
              </w:divBdr>
            </w:div>
          </w:divsChild>
        </w:div>
        <w:div w:id="1439301857">
          <w:marLeft w:val="0"/>
          <w:marRight w:val="0"/>
          <w:marTop w:val="0"/>
          <w:marBottom w:val="0"/>
          <w:divBdr>
            <w:top w:val="none" w:sz="0" w:space="0" w:color="auto"/>
            <w:left w:val="none" w:sz="0" w:space="0" w:color="auto"/>
            <w:bottom w:val="none" w:sz="0" w:space="0" w:color="auto"/>
            <w:right w:val="none" w:sz="0" w:space="0" w:color="auto"/>
          </w:divBdr>
          <w:divsChild>
            <w:div w:id="70667782">
              <w:marLeft w:val="0"/>
              <w:marRight w:val="0"/>
              <w:marTop w:val="0"/>
              <w:marBottom w:val="0"/>
              <w:divBdr>
                <w:top w:val="none" w:sz="0" w:space="0" w:color="auto"/>
                <w:left w:val="none" w:sz="0" w:space="0" w:color="auto"/>
                <w:bottom w:val="none" w:sz="0" w:space="0" w:color="auto"/>
                <w:right w:val="none" w:sz="0" w:space="0" w:color="auto"/>
              </w:divBdr>
            </w:div>
            <w:div w:id="520704490">
              <w:marLeft w:val="0"/>
              <w:marRight w:val="0"/>
              <w:marTop w:val="0"/>
              <w:marBottom w:val="0"/>
              <w:divBdr>
                <w:top w:val="none" w:sz="0" w:space="0" w:color="auto"/>
                <w:left w:val="none" w:sz="0" w:space="0" w:color="auto"/>
                <w:bottom w:val="none" w:sz="0" w:space="0" w:color="auto"/>
                <w:right w:val="none" w:sz="0" w:space="0" w:color="auto"/>
              </w:divBdr>
            </w:div>
            <w:div w:id="521286026">
              <w:marLeft w:val="0"/>
              <w:marRight w:val="0"/>
              <w:marTop w:val="0"/>
              <w:marBottom w:val="0"/>
              <w:divBdr>
                <w:top w:val="none" w:sz="0" w:space="0" w:color="auto"/>
                <w:left w:val="none" w:sz="0" w:space="0" w:color="auto"/>
                <w:bottom w:val="none" w:sz="0" w:space="0" w:color="auto"/>
                <w:right w:val="none" w:sz="0" w:space="0" w:color="auto"/>
              </w:divBdr>
            </w:div>
            <w:div w:id="888300677">
              <w:marLeft w:val="0"/>
              <w:marRight w:val="0"/>
              <w:marTop w:val="0"/>
              <w:marBottom w:val="0"/>
              <w:divBdr>
                <w:top w:val="none" w:sz="0" w:space="0" w:color="auto"/>
                <w:left w:val="none" w:sz="0" w:space="0" w:color="auto"/>
                <w:bottom w:val="none" w:sz="0" w:space="0" w:color="auto"/>
                <w:right w:val="none" w:sz="0" w:space="0" w:color="auto"/>
              </w:divBdr>
            </w:div>
            <w:div w:id="1095369922">
              <w:marLeft w:val="0"/>
              <w:marRight w:val="0"/>
              <w:marTop w:val="0"/>
              <w:marBottom w:val="0"/>
              <w:divBdr>
                <w:top w:val="none" w:sz="0" w:space="0" w:color="auto"/>
                <w:left w:val="none" w:sz="0" w:space="0" w:color="auto"/>
                <w:bottom w:val="none" w:sz="0" w:space="0" w:color="auto"/>
                <w:right w:val="none" w:sz="0" w:space="0" w:color="auto"/>
              </w:divBdr>
            </w:div>
          </w:divsChild>
        </w:div>
        <w:div w:id="1471358500">
          <w:marLeft w:val="0"/>
          <w:marRight w:val="0"/>
          <w:marTop w:val="0"/>
          <w:marBottom w:val="0"/>
          <w:divBdr>
            <w:top w:val="none" w:sz="0" w:space="0" w:color="auto"/>
            <w:left w:val="none" w:sz="0" w:space="0" w:color="auto"/>
            <w:bottom w:val="none" w:sz="0" w:space="0" w:color="auto"/>
            <w:right w:val="none" w:sz="0" w:space="0" w:color="auto"/>
          </w:divBdr>
          <w:divsChild>
            <w:div w:id="2106220069">
              <w:marLeft w:val="-75"/>
              <w:marRight w:val="0"/>
              <w:marTop w:val="30"/>
              <w:marBottom w:val="30"/>
              <w:divBdr>
                <w:top w:val="none" w:sz="0" w:space="0" w:color="auto"/>
                <w:left w:val="none" w:sz="0" w:space="0" w:color="auto"/>
                <w:bottom w:val="none" w:sz="0" w:space="0" w:color="auto"/>
                <w:right w:val="none" w:sz="0" w:space="0" w:color="auto"/>
              </w:divBdr>
              <w:divsChild>
                <w:div w:id="165294893">
                  <w:marLeft w:val="0"/>
                  <w:marRight w:val="0"/>
                  <w:marTop w:val="0"/>
                  <w:marBottom w:val="0"/>
                  <w:divBdr>
                    <w:top w:val="none" w:sz="0" w:space="0" w:color="auto"/>
                    <w:left w:val="none" w:sz="0" w:space="0" w:color="auto"/>
                    <w:bottom w:val="none" w:sz="0" w:space="0" w:color="auto"/>
                    <w:right w:val="none" w:sz="0" w:space="0" w:color="auto"/>
                  </w:divBdr>
                  <w:divsChild>
                    <w:div w:id="539323026">
                      <w:marLeft w:val="0"/>
                      <w:marRight w:val="0"/>
                      <w:marTop w:val="0"/>
                      <w:marBottom w:val="0"/>
                      <w:divBdr>
                        <w:top w:val="none" w:sz="0" w:space="0" w:color="auto"/>
                        <w:left w:val="none" w:sz="0" w:space="0" w:color="auto"/>
                        <w:bottom w:val="none" w:sz="0" w:space="0" w:color="auto"/>
                        <w:right w:val="none" w:sz="0" w:space="0" w:color="auto"/>
                      </w:divBdr>
                    </w:div>
                  </w:divsChild>
                </w:div>
                <w:div w:id="190071563">
                  <w:marLeft w:val="0"/>
                  <w:marRight w:val="0"/>
                  <w:marTop w:val="0"/>
                  <w:marBottom w:val="0"/>
                  <w:divBdr>
                    <w:top w:val="none" w:sz="0" w:space="0" w:color="auto"/>
                    <w:left w:val="none" w:sz="0" w:space="0" w:color="auto"/>
                    <w:bottom w:val="none" w:sz="0" w:space="0" w:color="auto"/>
                    <w:right w:val="none" w:sz="0" w:space="0" w:color="auto"/>
                  </w:divBdr>
                  <w:divsChild>
                    <w:div w:id="653339735">
                      <w:marLeft w:val="0"/>
                      <w:marRight w:val="0"/>
                      <w:marTop w:val="0"/>
                      <w:marBottom w:val="0"/>
                      <w:divBdr>
                        <w:top w:val="none" w:sz="0" w:space="0" w:color="auto"/>
                        <w:left w:val="none" w:sz="0" w:space="0" w:color="auto"/>
                        <w:bottom w:val="none" w:sz="0" w:space="0" w:color="auto"/>
                        <w:right w:val="none" w:sz="0" w:space="0" w:color="auto"/>
                      </w:divBdr>
                    </w:div>
                  </w:divsChild>
                </w:div>
                <w:div w:id="269973035">
                  <w:marLeft w:val="0"/>
                  <w:marRight w:val="0"/>
                  <w:marTop w:val="0"/>
                  <w:marBottom w:val="0"/>
                  <w:divBdr>
                    <w:top w:val="none" w:sz="0" w:space="0" w:color="auto"/>
                    <w:left w:val="none" w:sz="0" w:space="0" w:color="auto"/>
                    <w:bottom w:val="none" w:sz="0" w:space="0" w:color="auto"/>
                    <w:right w:val="none" w:sz="0" w:space="0" w:color="auto"/>
                  </w:divBdr>
                  <w:divsChild>
                    <w:div w:id="1588033058">
                      <w:marLeft w:val="0"/>
                      <w:marRight w:val="0"/>
                      <w:marTop w:val="0"/>
                      <w:marBottom w:val="0"/>
                      <w:divBdr>
                        <w:top w:val="none" w:sz="0" w:space="0" w:color="auto"/>
                        <w:left w:val="none" w:sz="0" w:space="0" w:color="auto"/>
                        <w:bottom w:val="none" w:sz="0" w:space="0" w:color="auto"/>
                        <w:right w:val="none" w:sz="0" w:space="0" w:color="auto"/>
                      </w:divBdr>
                    </w:div>
                  </w:divsChild>
                </w:div>
                <w:div w:id="341008375">
                  <w:marLeft w:val="0"/>
                  <w:marRight w:val="0"/>
                  <w:marTop w:val="0"/>
                  <w:marBottom w:val="0"/>
                  <w:divBdr>
                    <w:top w:val="none" w:sz="0" w:space="0" w:color="auto"/>
                    <w:left w:val="none" w:sz="0" w:space="0" w:color="auto"/>
                    <w:bottom w:val="none" w:sz="0" w:space="0" w:color="auto"/>
                    <w:right w:val="none" w:sz="0" w:space="0" w:color="auto"/>
                  </w:divBdr>
                  <w:divsChild>
                    <w:div w:id="566498846">
                      <w:marLeft w:val="0"/>
                      <w:marRight w:val="0"/>
                      <w:marTop w:val="0"/>
                      <w:marBottom w:val="0"/>
                      <w:divBdr>
                        <w:top w:val="none" w:sz="0" w:space="0" w:color="auto"/>
                        <w:left w:val="none" w:sz="0" w:space="0" w:color="auto"/>
                        <w:bottom w:val="none" w:sz="0" w:space="0" w:color="auto"/>
                        <w:right w:val="none" w:sz="0" w:space="0" w:color="auto"/>
                      </w:divBdr>
                    </w:div>
                  </w:divsChild>
                </w:div>
                <w:div w:id="490294932">
                  <w:marLeft w:val="0"/>
                  <w:marRight w:val="0"/>
                  <w:marTop w:val="0"/>
                  <w:marBottom w:val="0"/>
                  <w:divBdr>
                    <w:top w:val="none" w:sz="0" w:space="0" w:color="auto"/>
                    <w:left w:val="none" w:sz="0" w:space="0" w:color="auto"/>
                    <w:bottom w:val="none" w:sz="0" w:space="0" w:color="auto"/>
                    <w:right w:val="none" w:sz="0" w:space="0" w:color="auto"/>
                  </w:divBdr>
                  <w:divsChild>
                    <w:div w:id="2087922371">
                      <w:marLeft w:val="0"/>
                      <w:marRight w:val="0"/>
                      <w:marTop w:val="0"/>
                      <w:marBottom w:val="0"/>
                      <w:divBdr>
                        <w:top w:val="none" w:sz="0" w:space="0" w:color="auto"/>
                        <w:left w:val="none" w:sz="0" w:space="0" w:color="auto"/>
                        <w:bottom w:val="none" w:sz="0" w:space="0" w:color="auto"/>
                        <w:right w:val="none" w:sz="0" w:space="0" w:color="auto"/>
                      </w:divBdr>
                    </w:div>
                  </w:divsChild>
                </w:div>
                <w:div w:id="521940350">
                  <w:marLeft w:val="0"/>
                  <w:marRight w:val="0"/>
                  <w:marTop w:val="0"/>
                  <w:marBottom w:val="0"/>
                  <w:divBdr>
                    <w:top w:val="none" w:sz="0" w:space="0" w:color="auto"/>
                    <w:left w:val="none" w:sz="0" w:space="0" w:color="auto"/>
                    <w:bottom w:val="none" w:sz="0" w:space="0" w:color="auto"/>
                    <w:right w:val="none" w:sz="0" w:space="0" w:color="auto"/>
                  </w:divBdr>
                  <w:divsChild>
                    <w:div w:id="1436749462">
                      <w:marLeft w:val="0"/>
                      <w:marRight w:val="0"/>
                      <w:marTop w:val="0"/>
                      <w:marBottom w:val="0"/>
                      <w:divBdr>
                        <w:top w:val="none" w:sz="0" w:space="0" w:color="auto"/>
                        <w:left w:val="none" w:sz="0" w:space="0" w:color="auto"/>
                        <w:bottom w:val="none" w:sz="0" w:space="0" w:color="auto"/>
                        <w:right w:val="none" w:sz="0" w:space="0" w:color="auto"/>
                      </w:divBdr>
                    </w:div>
                  </w:divsChild>
                </w:div>
                <w:div w:id="567493334">
                  <w:marLeft w:val="0"/>
                  <w:marRight w:val="0"/>
                  <w:marTop w:val="0"/>
                  <w:marBottom w:val="0"/>
                  <w:divBdr>
                    <w:top w:val="none" w:sz="0" w:space="0" w:color="auto"/>
                    <w:left w:val="none" w:sz="0" w:space="0" w:color="auto"/>
                    <w:bottom w:val="none" w:sz="0" w:space="0" w:color="auto"/>
                    <w:right w:val="none" w:sz="0" w:space="0" w:color="auto"/>
                  </w:divBdr>
                  <w:divsChild>
                    <w:div w:id="936016672">
                      <w:marLeft w:val="0"/>
                      <w:marRight w:val="0"/>
                      <w:marTop w:val="0"/>
                      <w:marBottom w:val="0"/>
                      <w:divBdr>
                        <w:top w:val="none" w:sz="0" w:space="0" w:color="auto"/>
                        <w:left w:val="none" w:sz="0" w:space="0" w:color="auto"/>
                        <w:bottom w:val="none" w:sz="0" w:space="0" w:color="auto"/>
                        <w:right w:val="none" w:sz="0" w:space="0" w:color="auto"/>
                      </w:divBdr>
                    </w:div>
                  </w:divsChild>
                </w:div>
                <w:div w:id="710033487">
                  <w:marLeft w:val="0"/>
                  <w:marRight w:val="0"/>
                  <w:marTop w:val="0"/>
                  <w:marBottom w:val="0"/>
                  <w:divBdr>
                    <w:top w:val="none" w:sz="0" w:space="0" w:color="auto"/>
                    <w:left w:val="none" w:sz="0" w:space="0" w:color="auto"/>
                    <w:bottom w:val="none" w:sz="0" w:space="0" w:color="auto"/>
                    <w:right w:val="none" w:sz="0" w:space="0" w:color="auto"/>
                  </w:divBdr>
                  <w:divsChild>
                    <w:div w:id="1987969295">
                      <w:marLeft w:val="0"/>
                      <w:marRight w:val="0"/>
                      <w:marTop w:val="0"/>
                      <w:marBottom w:val="0"/>
                      <w:divBdr>
                        <w:top w:val="none" w:sz="0" w:space="0" w:color="auto"/>
                        <w:left w:val="none" w:sz="0" w:space="0" w:color="auto"/>
                        <w:bottom w:val="none" w:sz="0" w:space="0" w:color="auto"/>
                        <w:right w:val="none" w:sz="0" w:space="0" w:color="auto"/>
                      </w:divBdr>
                    </w:div>
                  </w:divsChild>
                </w:div>
                <w:div w:id="734552447">
                  <w:marLeft w:val="0"/>
                  <w:marRight w:val="0"/>
                  <w:marTop w:val="0"/>
                  <w:marBottom w:val="0"/>
                  <w:divBdr>
                    <w:top w:val="none" w:sz="0" w:space="0" w:color="auto"/>
                    <w:left w:val="none" w:sz="0" w:space="0" w:color="auto"/>
                    <w:bottom w:val="none" w:sz="0" w:space="0" w:color="auto"/>
                    <w:right w:val="none" w:sz="0" w:space="0" w:color="auto"/>
                  </w:divBdr>
                  <w:divsChild>
                    <w:div w:id="557744021">
                      <w:marLeft w:val="0"/>
                      <w:marRight w:val="0"/>
                      <w:marTop w:val="0"/>
                      <w:marBottom w:val="0"/>
                      <w:divBdr>
                        <w:top w:val="none" w:sz="0" w:space="0" w:color="auto"/>
                        <w:left w:val="none" w:sz="0" w:space="0" w:color="auto"/>
                        <w:bottom w:val="none" w:sz="0" w:space="0" w:color="auto"/>
                        <w:right w:val="none" w:sz="0" w:space="0" w:color="auto"/>
                      </w:divBdr>
                    </w:div>
                  </w:divsChild>
                </w:div>
                <w:div w:id="762455744">
                  <w:marLeft w:val="0"/>
                  <w:marRight w:val="0"/>
                  <w:marTop w:val="0"/>
                  <w:marBottom w:val="0"/>
                  <w:divBdr>
                    <w:top w:val="none" w:sz="0" w:space="0" w:color="auto"/>
                    <w:left w:val="none" w:sz="0" w:space="0" w:color="auto"/>
                    <w:bottom w:val="none" w:sz="0" w:space="0" w:color="auto"/>
                    <w:right w:val="none" w:sz="0" w:space="0" w:color="auto"/>
                  </w:divBdr>
                  <w:divsChild>
                    <w:div w:id="2036728910">
                      <w:marLeft w:val="0"/>
                      <w:marRight w:val="0"/>
                      <w:marTop w:val="0"/>
                      <w:marBottom w:val="0"/>
                      <w:divBdr>
                        <w:top w:val="none" w:sz="0" w:space="0" w:color="auto"/>
                        <w:left w:val="none" w:sz="0" w:space="0" w:color="auto"/>
                        <w:bottom w:val="none" w:sz="0" w:space="0" w:color="auto"/>
                        <w:right w:val="none" w:sz="0" w:space="0" w:color="auto"/>
                      </w:divBdr>
                    </w:div>
                  </w:divsChild>
                </w:div>
                <w:div w:id="885139490">
                  <w:marLeft w:val="0"/>
                  <w:marRight w:val="0"/>
                  <w:marTop w:val="0"/>
                  <w:marBottom w:val="0"/>
                  <w:divBdr>
                    <w:top w:val="none" w:sz="0" w:space="0" w:color="auto"/>
                    <w:left w:val="none" w:sz="0" w:space="0" w:color="auto"/>
                    <w:bottom w:val="none" w:sz="0" w:space="0" w:color="auto"/>
                    <w:right w:val="none" w:sz="0" w:space="0" w:color="auto"/>
                  </w:divBdr>
                  <w:divsChild>
                    <w:div w:id="1943801798">
                      <w:marLeft w:val="0"/>
                      <w:marRight w:val="0"/>
                      <w:marTop w:val="0"/>
                      <w:marBottom w:val="0"/>
                      <w:divBdr>
                        <w:top w:val="none" w:sz="0" w:space="0" w:color="auto"/>
                        <w:left w:val="none" w:sz="0" w:space="0" w:color="auto"/>
                        <w:bottom w:val="none" w:sz="0" w:space="0" w:color="auto"/>
                        <w:right w:val="none" w:sz="0" w:space="0" w:color="auto"/>
                      </w:divBdr>
                    </w:div>
                  </w:divsChild>
                </w:div>
                <w:div w:id="953250358">
                  <w:marLeft w:val="0"/>
                  <w:marRight w:val="0"/>
                  <w:marTop w:val="0"/>
                  <w:marBottom w:val="0"/>
                  <w:divBdr>
                    <w:top w:val="none" w:sz="0" w:space="0" w:color="auto"/>
                    <w:left w:val="none" w:sz="0" w:space="0" w:color="auto"/>
                    <w:bottom w:val="none" w:sz="0" w:space="0" w:color="auto"/>
                    <w:right w:val="none" w:sz="0" w:space="0" w:color="auto"/>
                  </w:divBdr>
                  <w:divsChild>
                    <w:div w:id="348414958">
                      <w:marLeft w:val="0"/>
                      <w:marRight w:val="0"/>
                      <w:marTop w:val="0"/>
                      <w:marBottom w:val="0"/>
                      <w:divBdr>
                        <w:top w:val="none" w:sz="0" w:space="0" w:color="auto"/>
                        <w:left w:val="none" w:sz="0" w:space="0" w:color="auto"/>
                        <w:bottom w:val="none" w:sz="0" w:space="0" w:color="auto"/>
                        <w:right w:val="none" w:sz="0" w:space="0" w:color="auto"/>
                      </w:divBdr>
                    </w:div>
                  </w:divsChild>
                </w:div>
                <w:div w:id="1105151478">
                  <w:marLeft w:val="0"/>
                  <w:marRight w:val="0"/>
                  <w:marTop w:val="0"/>
                  <w:marBottom w:val="0"/>
                  <w:divBdr>
                    <w:top w:val="none" w:sz="0" w:space="0" w:color="auto"/>
                    <w:left w:val="none" w:sz="0" w:space="0" w:color="auto"/>
                    <w:bottom w:val="none" w:sz="0" w:space="0" w:color="auto"/>
                    <w:right w:val="none" w:sz="0" w:space="0" w:color="auto"/>
                  </w:divBdr>
                  <w:divsChild>
                    <w:div w:id="731734628">
                      <w:marLeft w:val="0"/>
                      <w:marRight w:val="0"/>
                      <w:marTop w:val="0"/>
                      <w:marBottom w:val="0"/>
                      <w:divBdr>
                        <w:top w:val="none" w:sz="0" w:space="0" w:color="auto"/>
                        <w:left w:val="none" w:sz="0" w:space="0" w:color="auto"/>
                        <w:bottom w:val="none" w:sz="0" w:space="0" w:color="auto"/>
                        <w:right w:val="none" w:sz="0" w:space="0" w:color="auto"/>
                      </w:divBdr>
                    </w:div>
                  </w:divsChild>
                </w:div>
                <w:div w:id="1163741348">
                  <w:marLeft w:val="0"/>
                  <w:marRight w:val="0"/>
                  <w:marTop w:val="0"/>
                  <w:marBottom w:val="0"/>
                  <w:divBdr>
                    <w:top w:val="none" w:sz="0" w:space="0" w:color="auto"/>
                    <w:left w:val="none" w:sz="0" w:space="0" w:color="auto"/>
                    <w:bottom w:val="none" w:sz="0" w:space="0" w:color="auto"/>
                    <w:right w:val="none" w:sz="0" w:space="0" w:color="auto"/>
                  </w:divBdr>
                  <w:divsChild>
                    <w:div w:id="1247617268">
                      <w:marLeft w:val="0"/>
                      <w:marRight w:val="0"/>
                      <w:marTop w:val="0"/>
                      <w:marBottom w:val="0"/>
                      <w:divBdr>
                        <w:top w:val="none" w:sz="0" w:space="0" w:color="auto"/>
                        <w:left w:val="none" w:sz="0" w:space="0" w:color="auto"/>
                        <w:bottom w:val="none" w:sz="0" w:space="0" w:color="auto"/>
                        <w:right w:val="none" w:sz="0" w:space="0" w:color="auto"/>
                      </w:divBdr>
                    </w:div>
                  </w:divsChild>
                </w:div>
                <w:div w:id="1305700257">
                  <w:marLeft w:val="0"/>
                  <w:marRight w:val="0"/>
                  <w:marTop w:val="0"/>
                  <w:marBottom w:val="0"/>
                  <w:divBdr>
                    <w:top w:val="none" w:sz="0" w:space="0" w:color="auto"/>
                    <w:left w:val="none" w:sz="0" w:space="0" w:color="auto"/>
                    <w:bottom w:val="none" w:sz="0" w:space="0" w:color="auto"/>
                    <w:right w:val="none" w:sz="0" w:space="0" w:color="auto"/>
                  </w:divBdr>
                  <w:divsChild>
                    <w:div w:id="1639148867">
                      <w:marLeft w:val="0"/>
                      <w:marRight w:val="0"/>
                      <w:marTop w:val="0"/>
                      <w:marBottom w:val="0"/>
                      <w:divBdr>
                        <w:top w:val="none" w:sz="0" w:space="0" w:color="auto"/>
                        <w:left w:val="none" w:sz="0" w:space="0" w:color="auto"/>
                        <w:bottom w:val="none" w:sz="0" w:space="0" w:color="auto"/>
                        <w:right w:val="none" w:sz="0" w:space="0" w:color="auto"/>
                      </w:divBdr>
                    </w:div>
                  </w:divsChild>
                </w:div>
                <w:div w:id="1321276141">
                  <w:marLeft w:val="0"/>
                  <w:marRight w:val="0"/>
                  <w:marTop w:val="0"/>
                  <w:marBottom w:val="0"/>
                  <w:divBdr>
                    <w:top w:val="none" w:sz="0" w:space="0" w:color="auto"/>
                    <w:left w:val="none" w:sz="0" w:space="0" w:color="auto"/>
                    <w:bottom w:val="none" w:sz="0" w:space="0" w:color="auto"/>
                    <w:right w:val="none" w:sz="0" w:space="0" w:color="auto"/>
                  </w:divBdr>
                  <w:divsChild>
                    <w:div w:id="1127163422">
                      <w:marLeft w:val="0"/>
                      <w:marRight w:val="0"/>
                      <w:marTop w:val="0"/>
                      <w:marBottom w:val="0"/>
                      <w:divBdr>
                        <w:top w:val="none" w:sz="0" w:space="0" w:color="auto"/>
                        <w:left w:val="none" w:sz="0" w:space="0" w:color="auto"/>
                        <w:bottom w:val="none" w:sz="0" w:space="0" w:color="auto"/>
                        <w:right w:val="none" w:sz="0" w:space="0" w:color="auto"/>
                      </w:divBdr>
                    </w:div>
                  </w:divsChild>
                </w:div>
                <w:div w:id="1346244645">
                  <w:marLeft w:val="0"/>
                  <w:marRight w:val="0"/>
                  <w:marTop w:val="0"/>
                  <w:marBottom w:val="0"/>
                  <w:divBdr>
                    <w:top w:val="none" w:sz="0" w:space="0" w:color="auto"/>
                    <w:left w:val="none" w:sz="0" w:space="0" w:color="auto"/>
                    <w:bottom w:val="none" w:sz="0" w:space="0" w:color="auto"/>
                    <w:right w:val="none" w:sz="0" w:space="0" w:color="auto"/>
                  </w:divBdr>
                  <w:divsChild>
                    <w:div w:id="818691388">
                      <w:marLeft w:val="0"/>
                      <w:marRight w:val="0"/>
                      <w:marTop w:val="0"/>
                      <w:marBottom w:val="0"/>
                      <w:divBdr>
                        <w:top w:val="none" w:sz="0" w:space="0" w:color="auto"/>
                        <w:left w:val="none" w:sz="0" w:space="0" w:color="auto"/>
                        <w:bottom w:val="none" w:sz="0" w:space="0" w:color="auto"/>
                        <w:right w:val="none" w:sz="0" w:space="0" w:color="auto"/>
                      </w:divBdr>
                    </w:div>
                  </w:divsChild>
                </w:div>
                <w:div w:id="1399398563">
                  <w:marLeft w:val="0"/>
                  <w:marRight w:val="0"/>
                  <w:marTop w:val="0"/>
                  <w:marBottom w:val="0"/>
                  <w:divBdr>
                    <w:top w:val="none" w:sz="0" w:space="0" w:color="auto"/>
                    <w:left w:val="none" w:sz="0" w:space="0" w:color="auto"/>
                    <w:bottom w:val="none" w:sz="0" w:space="0" w:color="auto"/>
                    <w:right w:val="none" w:sz="0" w:space="0" w:color="auto"/>
                  </w:divBdr>
                  <w:divsChild>
                    <w:div w:id="461969435">
                      <w:marLeft w:val="0"/>
                      <w:marRight w:val="0"/>
                      <w:marTop w:val="0"/>
                      <w:marBottom w:val="0"/>
                      <w:divBdr>
                        <w:top w:val="none" w:sz="0" w:space="0" w:color="auto"/>
                        <w:left w:val="none" w:sz="0" w:space="0" w:color="auto"/>
                        <w:bottom w:val="none" w:sz="0" w:space="0" w:color="auto"/>
                        <w:right w:val="none" w:sz="0" w:space="0" w:color="auto"/>
                      </w:divBdr>
                    </w:div>
                  </w:divsChild>
                </w:div>
                <w:div w:id="1432362603">
                  <w:marLeft w:val="0"/>
                  <w:marRight w:val="0"/>
                  <w:marTop w:val="0"/>
                  <w:marBottom w:val="0"/>
                  <w:divBdr>
                    <w:top w:val="none" w:sz="0" w:space="0" w:color="auto"/>
                    <w:left w:val="none" w:sz="0" w:space="0" w:color="auto"/>
                    <w:bottom w:val="none" w:sz="0" w:space="0" w:color="auto"/>
                    <w:right w:val="none" w:sz="0" w:space="0" w:color="auto"/>
                  </w:divBdr>
                  <w:divsChild>
                    <w:div w:id="87580454">
                      <w:marLeft w:val="0"/>
                      <w:marRight w:val="0"/>
                      <w:marTop w:val="0"/>
                      <w:marBottom w:val="0"/>
                      <w:divBdr>
                        <w:top w:val="none" w:sz="0" w:space="0" w:color="auto"/>
                        <w:left w:val="none" w:sz="0" w:space="0" w:color="auto"/>
                        <w:bottom w:val="none" w:sz="0" w:space="0" w:color="auto"/>
                        <w:right w:val="none" w:sz="0" w:space="0" w:color="auto"/>
                      </w:divBdr>
                    </w:div>
                  </w:divsChild>
                </w:div>
                <w:div w:id="1450080417">
                  <w:marLeft w:val="0"/>
                  <w:marRight w:val="0"/>
                  <w:marTop w:val="0"/>
                  <w:marBottom w:val="0"/>
                  <w:divBdr>
                    <w:top w:val="none" w:sz="0" w:space="0" w:color="auto"/>
                    <w:left w:val="none" w:sz="0" w:space="0" w:color="auto"/>
                    <w:bottom w:val="none" w:sz="0" w:space="0" w:color="auto"/>
                    <w:right w:val="none" w:sz="0" w:space="0" w:color="auto"/>
                  </w:divBdr>
                  <w:divsChild>
                    <w:div w:id="1487623756">
                      <w:marLeft w:val="0"/>
                      <w:marRight w:val="0"/>
                      <w:marTop w:val="0"/>
                      <w:marBottom w:val="0"/>
                      <w:divBdr>
                        <w:top w:val="none" w:sz="0" w:space="0" w:color="auto"/>
                        <w:left w:val="none" w:sz="0" w:space="0" w:color="auto"/>
                        <w:bottom w:val="none" w:sz="0" w:space="0" w:color="auto"/>
                        <w:right w:val="none" w:sz="0" w:space="0" w:color="auto"/>
                      </w:divBdr>
                    </w:div>
                  </w:divsChild>
                </w:div>
                <w:div w:id="1450391062">
                  <w:marLeft w:val="0"/>
                  <w:marRight w:val="0"/>
                  <w:marTop w:val="0"/>
                  <w:marBottom w:val="0"/>
                  <w:divBdr>
                    <w:top w:val="none" w:sz="0" w:space="0" w:color="auto"/>
                    <w:left w:val="none" w:sz="0" w:space="0" w:color="auto"/>
                    <w:bottom w:val="none" w:sz="0" w:space="0" w:color="auto"/>
                    <w:right w:val="none" w:sz="0" w:space="0" w:color="auto"/>
                  </w:divBdr>
                  <w:divsChild>
                    <w:div w:id="696203207">
                      <w:marLeft w:val="0"/>
                      <w:marRight w:val="0"/>
                      <w:marTop w:val="0"/>
                      <w:marBottom w:val="0"/>
                      <w:divBdr>
                        <w:top w:val="none" w:sz="0" w:space="0" w:color="auto"/>
                        <w:left w:val="none" w:sz="0" w:space="0" w:color="auto"/>
                        <w:bottom w:val="none" w:sz="0" w:space="0" w:color="auto"/>
                        <w:right w:val="none" w:sz="0" w:space="0" w:color="auto"/>
                      </w:divBdr>
                    </w:div>
                  </w:divsChild>
                </w:div>
                <w:div w:id="1493063861">
                  <w:marLeft w:val="0"/>
                  <w:marRight w:val="0"/>
                  <w:marTop w:val="0"/>
                  <w:marBottom w:val="0"/>
                  <w:divBdr>
                    <w:top w:val="none" w:sz="0" w:space="0" w:color="auto"/>
                    <w:left w:val="none" w:sz="0" w:space="0" w:color="auto"/>
                    <w:bottom w:val="none" w:sz="0" w:space="0" w:color="auto"/>
                    <w:right w:val="none" w:sz="0" w:space="0" w:color="auto"/>
                  </w:divBdr>
                  <w:divsChild>
                    <w:div w:id="712997005">
                      <w:marLeft w:val="0"/>
                      <w:marRight w:val="0"/>
                      <w:marTop w:val="0"/>
                      <w:marBottom w:val="0"/>
                      <w:divBdr>
                        <w:top w:val="none" w:sz="0" w:space="0" w:color="auto"/>
                        <w:left w:val="none" w:sz="0" w:space="0" w:color="auto"/>
                        <w:bottom w:val="none" w:sz="0" w:space="0" w:color="auto"/>
                        <w:right w:val="none" w:sz="0" w:space="0" w:color="auto"/>
                      </w:divBdr>
                    </w:div>
                  </w:divsChild>
                </w:div>
                <w:div w:id="1572693297">
                  <w:marLeft w:val="0"/>
                  <w:marRight w:val="0"/>
                  <w:marTop w:val="0"/>
                  <w:marBottom w:val="0"/>
                  <w:divBdr>
                    <w:top w:val="none" w:sz="0" w:space="0" w:color="auto"/>
                    <w:left w:val="none" w:sz="0" w:space="0" w:color="auto"/>
                    <w:bottom w:val="none" w:sz="0" w:space="0" w:color="auto"/>
                    <w:right w:val="none" w:sz="0" w:space="0" w:color="auto"/>
                  </w:divBdr>
                  <w:divsChild>
                    <w:div w:id="1346860166">
                      <w:marLeft w:val="0"/>
                      <w:marRight w:val="0"/>
                      <w:marTop w:val="0"/>
                      <w:marBottom w:val="0"/>
                      <w:divBdr>
                        <w:top w:val="none" w:sz="0" w:space="0" w:color="auto"/>
                        <w:left w:val="none" w:sz="0" w:space="0" w:color="auto"/>
                        <w:bottom w:val="none" w:sz="0" w:space="0" w:color="auto"/>
                        <w:right w:val="none" w:sz="0" w:space="0" w:color="auto"/>
                      </w:divBdr>
                    </w:div>
                  </w:divsChild>
                </w:div>
                <w:div w:id="1591618299">
                  <w:marLeft w:val="0"/>
                  <w:marRight w:val="0"/>
                  <w:marTop w:val="0"/>
                  <w:marBottom w:val="0"/>
                  <w:divBdr>
                    <w:top w:val="none" w:sz="0" w:space="0" w:color="auto"/>
                    <w:left w:val="none" w:sz="0" w:space="0" w:color="auto"/>
                    <w:bottom w:val="none" w:sz="0" w:space="0" w:color="auto"/>
                    <w:right w:val="none" w:sz="0" w:space="0" w:color="auto"/>
                  </w:divBdr>
                  <w:divsChild>
                    <w:div w:id="1041325151">
                      <w:marLeft w:val="0"/>
                      <w:marRight w:val="0"/>
                      <w:marTop w:val="0"/>
                      <w:marBottom w:val="0"/>
                      <w:divBdr>
                        <w:top w:val="none" w:sz="0" w:space="0" w:color="auto"/>
                        <w:left w:val="none" w:sz="0" w:space="0" w:color="auto"/>
                        <w:bottom w:val="none" w:sz="0" w:space="0" w:color="auto"/>
                        <w:right w:val="none" w:sz="0" w:space="0" w:color="auto"/>
                      </w:divBdr>
                    </w:div>
                  </w:divsChild>
                </w:div>
                <w:div w:id="1661733197">
                  <w:marLeft w:val="0"/>
                  <w:marRight w:val="0"/>
                  <w:marTop w:val="0"/>
                  <w:marBottom w:val="0"/>
                  <w:divBdr>
                    <w:top w:val="none" w:sz="0" w:space="0" w:color="auto"/>
                    <w:left w:val="none" w:sz="0" w:space="0" w:color="auto"/>
                    <w:bottom w:val="none" w:sz="0" w:space="0" w:color="auto"/>
                    <w:right w:val="none" w:sz="0" w:space="0" w:color="auto"/>
                  </w:divBdr>
                  <w:divsChild>
                    <w:div w:id="1088231788">
                      <w:marLeft w:val="0"/>
                      <w:marRight w:val="0"/>
                      <w:marTop w:val="0"/>
                      <w:marBottom w:val="0"/>
                      <w:divBdr>
                        <w:top w:val="none" w:sz="0" w:space="0" w:color="auto"/>
                        <w:left w:val="none" w:sz="0" w:space="0" w:color="auto"/>
                        <w:bottom w:val="none" w:sz="0" w:space="0" w:color="auto"/>
                        <w:right w:val="none" w:sz="0" w:space="0" w:color="auto"/>
                      </w:divBdr>
                    </w:div>
                  </w:divsChild>
                </w:div>
                <w:div w:id="1722706162">
                  <w:marLeft w:val="0"/>
                  <w:marRight w:val="0"/>
                  <w:marTop w:val="0"/>
                  <w:marBottom w:val="0"/>
                  <w:divBdr>
                    <w:top w:val="none" w:sz="0" w:space="0" w:color="auto"/>
                    <w:left w:val="none" w:sz="0" w:space="0" w:color="auto"/>
                    <w:bottom w:val="none" w:sz="0" w:space="0" w:color="auto"/>
                    <w:right w:val="none" w:sz="0" w:space="0" w:color="auto"/>
                  </w:divBdr>
                  <w:divsChild>
                    <w:div w:id="651178931">
                      <w:marLeft w:val="0"/>
                      <w:marRight w:val="0"/>
                      <w:marTop w:val="0"/>
                      <w:marBottom w:val="0"/>
                      <w:divBdr>
                        <w:top w:val="none" w:sz="0" w:space="0" w:color="auto"/>
                        <w:left w:val="none" w:sz="0" w:space="0" w:color="auto"/>
                        <w:bottom w:val="none" w:sz="0" w:space="0" w:color="auto"/>
                        <w:right w:val="none" w:sz="0" w:space="0" w:color="auto"/>
                      </w:divBdr>
                    </w:div>
                  </w:divsChild>
                </w:div>
                <w:div w:id="1737128236">
                  <w:marLeft w:val="0"/>
                  <w:marRight w:val="0"/>
                  <w:marTop w:val="0"/>
                  <w:marBottom w:val="0"/>
                  <w:divBdr>
                    <w:top w:val="none" w:sz="0" w:space="0" w:color="auto"/>
                    <w:left w:val="none" w:sz="0" w:space="0" w:color="auto"/>
                    <w:bottom w:val="none" w:sz="0" w:space="0" w:color="auto"/>
                    <w:right w:val="none" w:sz="0" w:space="0" w:color="auto"/>
                  </w:divBdr>
                  <w:divsChild>
                    <w:div w:id="2068145732">
                      <w:marLeft w:val="0"/>
                      <w:marRight w:val="0"/>
                      <w:marTop w:val="0"/>
                      <w:marBottom w:val="0"/>
                      <w:divBdr>
                        <w:top w:val="none" w:sz="0" w:space="0" w:color="auto"/>
                        <w:left w:val="none" w:sz="0" w:space="0" w:color="auto"/>
                        <w:bottom w:val="none" w:sz="0" w:space="0" w:color="auto"/>
                        <w:right w:val="none" w:sz="0" w:space="0" w:color="auto"/>
                      </w:divBdr>
                    </w:div>
                  </w:divsChild>
                </w:div>
                <w:div w:id="1745882576">
                  <w:marLeft w:val="0"/>
                  <w:marRight w:val="0"/>
                  <w:marTop w:val="0"/>
                  <w:marBottom w:val="0"/>
                  <w:divBdr>
                    <w:top w:val="none" w:sz="0" w:space="0" w:color="auto"/>
                    <w:left w:val="none" w:sz="0" w:space="0" w:color="auto"/>
                    <w:bottom w:val="none" w:sz="0" w:space="0" w:color="auto"/>
                    <w:right w:val="none" w:sz="0" w:space="0" w:color="auto"/>
                  </w:divBdr>
                  <w:divsChild>
                    <w:div w:id="1228027720">
                      <w:marLeft w:val="0"/>
                      <w:marRight w:val="0"/>
                      <w:marTop w:val="0"/>
                      <w:marBottom w:val="0"/>
                      <w:divBdr>
                        <w:top w:val="none" w:sz="0" w:space="0" w:color="auto"/>
                        <w:left w:val="none" w:sz="0" w:space="0" w:color="auto"/>
                        <w:bottom w:val="none" w:sz="0" w:space="0" w:color="auto"/>
                        <w:right w:val="none" w:sz="0" w:space="0" w:color="auto"/>
                      </w:divBdr>
                    </w:div>
                  </w:divsChild>
                </w:div>
                <w:div w:id="1910462069">
                  <w:marLeft w:val="0"/>
                  <w:marRight w:val="0"/>
                  <w:marTop w:val="0"/>
                  <w:marBottom w:val="0"/>
                  <w:divBdr>
                    <w:top w:val="none" w:sz="0" w:space="0" w:color="auto"/>
                    <w:left w:val="none" w:sz="0" w:space="0" w:color="auto"/>
                    <w:bottom w:val="none" w:sz="0" w:space="0" w:color="auto"/>
                    <w:right w:val="none" w:sz="0" w:space="0" w:color="auto"/>
                  </w:divBdr>
                  <w:divsChild>
                    <w:div w:id="522288560">
                      <w:marLeft w:val="0"/>
                      <w:marRight w:val="0"/>
                      <w:marTop w:val="0"/>
                      <w:marBottom w:val="0"/>
                      <w:divBdr>
                        <w:top w:val="none" w:sz="0" w:space="0" w:color="auto"/>
                        <w:left w:val="none" w:sz="0" w:space="0" w:color="auto"/>
                        <w:bottom w:val="none" w:sz="0" w:space="0" w:color="auto"/>
                        <w:right w:val="none" w:sz="0" w:space="0" w:color="auto"/>
                      </w:divBdr>
                    </w:div>
                  </w:divsChild>
                </w:div>
                <w:div w:id="2016959963">
                  <w:marLeft w:val="0"/>
                  <w:marRight w:val="0"/>
                  <w:marTop w:val="0"/>
                  <w:marBottom w:val="0"/>
                  <w:divBdr>
                    <w:top w:val="none" w:sz="0" w:space="0" w:color="auto"/>
                    <w:left w:val="none" w:sz="0" w:space="0" w:color="auto"/>
                    <w:bottom w:val="none" w:sz="0" w:space="0" w:color="auto"/>
                    <w:right w:val="none" w:sz="0" w:space="0" w:color="auto"/>
                  </w:divBdr>
                  <w:divsChild>
                    <w:div w:id="176078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015885">
          <w:marLeft w:val="0"/>
          <w:marRight w:val="0"/>
          <w:marTop w:val="0"/>
          <w:marBottom w:val="0"/>
          <w:divBdr>
            <w:top w:val="none" w:sz="0" w:space="0" w:color="auto"/>
            <w:left w:val="none" w:sz="0" w:space="0" w:color="auto"/>
            <w:bottom w:val="none" w:sz="0" w:space="0" w:color="auto"/>
            <w:right w:val="none" w:sz="0" w:space="0" w:color="auto"/>
          </w:divBdr>
        </w:div>
        <w:div w:id="1493790082">
          <w:marLeft w:val="0"/>
          <w:marRight w:val="0"/>
          <w:marTop w:val="0"/>
          <w:marBottom w:val="0"/>
          <w:divBdr>
            <w:top w:val="none" w:sz="0" w:space="0" w:color="auto"/>
            <w:left w:val="none" w:sz="0" w:space="0" w:color="auto"/>
            <w:bottom w:val="none" w:sz="0" w:space="0" w:color="auto"/>
            <w:right w:val="none" w:sz="0" w:space="0" w:color="auto"/>
          </w:divBdr>
        </w:div>
        <w:div w:id="1503933479">
          <w:marLeft w:val="0"/>
          <w:marRight w:val="0"/>
          <w:marTop w:val="0"/>
          <w:marBottom w:val="0"/>
          <w:divBdr>
            <w:top w:val="none" w:sz="0" w:space="0" w:color="auto"/>
            <w:left w:val="none" w:sz="0" w:space="0" w:color="auto"/>
            <w:bottom w:val="none" w:sz="0" w:space="0" w:color="auto"/>
            <w:right w:val="none" w:sz="0" w:space="0" w:color="auto"/>
          </w:divBdr>
        </w:div>
        <w:div w:id="1507284299">
          <w:marLeft w:val="0"/>
          <w:marRight w:val="0"/>
          <w:marTop w:val="0"/>
          <w:marBottom w:val="0"/>
          <w:divBdr>
            <w:top w:val="none" w:sz="0" w:space="0" w:color="auto"/>
            <w:left w:val="none" w:sz="0" w:space="0" w:color="auto"/>
            <w:bottom w:val="none" w:sz="0" w:space="0" w:color="auto"/>
            <w:right w:val="none" w:sz="0" w:space="0" w:color="auto"/>
          </w:divBdr>
          <w:divsChild>
            <w:div w:id="239368642">
              <w:marLeft w:val="0"/>
              <w:marRight w:val="0"/>
              <w:marTop w:val="0"/>
              <w:marBottom w:val="0"/>
              <w:divBdr>
                <w:top w:val="none" w:sz="0" w:space="0" w:color="auto"/>
                <w:left w:val="none" w:sz="0" w:space="0" w:color="auto"/>
                <w:bottom w:val="none" w:sz="0" w:space="0" w:color="auto"/>
                <w:right w:val="none" w:sz="0" w:space="0" w:color="auto"/>
              </w:divBdr>
            </w:div>
            <w:div w:id="1081832989">
              <w:marLeft w:val="0"/>
              <w:marRight w:val="0"/>
              <w:marTop w:val="0"/>
              <w:marBottom w:val="0"/>
              <w:divBdr>
                <w:top w:val="none" w:sz="0" w:space="0" w:color="auto"/>
                <w:left w:val="none" w:sz="0" w:space="0" w:color="auto"/>
                <w:bottom w:val="none" w:sz="0" w:space="0" w:color="auto"/>
                <w:right w:val="none" w:sz="0" w:space="0" w:color="auto"/>
              </w:divBdr>
            </w:div>
            <w:div w:id="1269464257">
              <w:marLeft w:val="0"/>
              <w:marRight w:val="0"/>
              <w:marTop w:val="0"/>
              <w:marBottom w:val="0"/>
              <w:divBdr>
                <w:top w:val="none" w:sz="0" w:space="0" w:color="auto"/>
                <w:left w:val="none" w:sz="0" w:space="0" w:color="auto"/>
                <w:bottom w:val="none" w:sz="0" w:space="0" w:color="auto"/>
                <w:right w:val="none" w:sz="0" w:space="0" w:color="auto"/>
              </w:divBdr>
            </w:div>
            <w:div w:id="1430157803">
              <w:marLeft w:val="0"/>
              <w:marRight w:val="0"/>
              <w:marTop w:val="0"/>
              <w:marBottom w:val="0"/>
              <w:divBdr>
                <w:top w:val="none" w:sz="0" w:space="0" w:color="auto"/>
                <w:left w:val="none" w:sz="0" w:space="0" w:color="auto"/>
                <w:bottom w:val="none" w:sz="0" w:space="0" w:color="auto"/>
                <w:right w:val="none" w:sz="0" w:space="0" w:color="auto"/>
              </w:divBdr>
            </w:div>
            <w:div w:id="1637640320">
              <w:marLeft w:val="0"/>
              <w:marRight w:val="0"/>
              <w:marTop w:val="0"/>
              <w:marBottom w:val="0"/>
              <w:divBdr>
                <w:top w:val="none" w:sz="0" w:space="0" w:color="auto"/>
                <w:left w:val="none" w:sz="0" w:space="0" w:color="auto"/>
                <w:bottom w:val="none" w:sz="0" w:space="0" w:color="auto"/>
                <w:right w:val="none" w:sz="0" w:space="0" w:color="auto"/>
              </w:divBdr>
            </w:div>
          </w:divsChild>
        </w:div>
        <w:div w:id="1532525678">
          <w:marLeft w:val="0"/>
          <w:marRight w:val="0"/>
          <w:marTop w:val="0"/>
          <w:marBottom w:val="0"/>
          <w:divBdr>
            <w:top w:val="none" w:sz="0" w:space="0" w:color="auto"/>
            <w:left w:val="none" w:sz="0" w:space="0" w:color="auto"/>
            <w:bottom w:val="none" w:sz="0" w:space="0" w:color="auto"/>
            <w:right w:val="none" w:sz="0" w:space="0" w:color="auto"/>
          </w:divBdr>
        </w:div>
        <w:div w:id="1540318107">
          <w:marLeft w:val="0"/>
          <w:marRight w:val="0"/>
          <w:marTop w:val="0"/>
          <w:marBottom w:val="0"/>
          <w:divBdr>
            <w:top w:val="none" w:sz="0" w:space="0" w:color="auto"/>
            <w:left w:val="none" w:sz="0" w:space="0" w:color="auto"/>
            <w:bottom w:val="none" w:sz="0" w:space="0" w:color="auto"/>
            <w:right w:val="none" w:sz="0" w:space="0" w:color="auto"/>
          </w:divBdr>
        </w:div>
        <w:div w:id="1554270530">
          <w:marLeft w:val="0"/>
          <w:marRight w:val="0"/>
          <w:marTop w:val="0"/>
          <w:marBottom w:val="0"/>
          <w:divBdr>
            <w:top w:val="none" w:sz="0" w:space="0" w:color="auto"/>
            <w:left w:val="none" w:sz="0" w:space="0" w:color="auto"/>
            <w:bottom w:val="none" w:sz="0" w:space="0" w:color="auto"/>
            <w:right w:val="none" w:sz="0" w:space="0" w:color="auto"/>
          </w:divBdr>
        </w:div>
        <w:div w:id="1580140099">
          <w:marLeft w:val="0"/>
          <w:marRight w:val="0"/>
          <w:marTop w:val="0"/>
          <w:marBottom w:val="0"/>
          <w:divBdr>
            <w:top w:val="none" w:sz="0" w:space="0" w:color="auto"/>
            <w:left w:val="none" w:sz="0" w:space="0" w:color="auto"/>
            <w:bottom w:val="none" w:sz="0" w:space="0" w:color="auto"/>
            <w:right w:val="none" w:sz="0" w:space="0" w:color="auto"/>
          </w:divBdr>
        </w:div>
        <w:div w:id="1583366361">
          <w:marLeft w:val="0"/>
          <w:marRight w:val="0"/>
          <w:marTop w:val="0"/>
          <w:marBottom w:val="0"/>
          <w:divBdr>
            <w:top w:val="none" w:sz="0" w:space="0" w:color="auto"/>
            <w:left w:val="none" w:sz="0" w:space="0" w:color="auto"/>
            <w:bottom w:val="none" w:sz="0" w:space="0" w:color="auto"/>
            <w:right w:val="none" w:sz="0" w:space="0" w:color="auto"/>
          </w:divBdr>
          <w:divsChild>
            <w:div w:id="111023689">
              <w:marLeft w:val="0"/>
              <w:marRight w:val="0"/>
              <w:marTop w:val="0"/>
              <w:marBottom w:val="0"/>
              <w:divBdr>
                <w:top w:val="none" w:sz="0" w:space="0" w:color="auto"/>
                <w:left w:val="none" w:sz="0" w:space="0" w:color="auto"/>
                <w:bottom w:val="none" w:sz="0" w:space="0" w:color="auto"/>
                <w:right w:val="none" w:sz="0" w:space="0" w:color="auto"/>
              </w:divBdr>
            </w:div>
            <w:div w:id="545996052">
              <w:marLeft w:val="0"/>
              <w:marRight w:val="0"/>
              <w:marTop w:val="0"/>
              <w:marBottom w:val="0"/>
              <w:divBdr>
                <w:top w:val="none" w:sz="0" w:space="0" w:color="auto"/>
                <w:left w:val="none" w:sz="0" w:space="0" w:color="auto"/>
                <w:bottom w:val="none" w:sz="0" w:space="0" w:color="auto"/>
                <w:right w:val="none" w:sz="0" w:space="0" w:color="auto"/>
              </w:divBdr>
            </w:div>
            <w:div w:id="620458652">
              <w:marLeft w:val="0"/>
              <w:marRight w:val="0"/>
              <w:marTop w:val="0"/>
              <w:marBottom w:val="0"/>
              <w:divBdr>
                <w:top w:val="none" w:sz="0" w:space="0" w:color="auto"/>
                <w:left w:val="none" w:sz="0" w:space="0" w:color="auto"/>
                <w:bottom w:val="none" w:sz="0" w:space="0" w:color="auto"/>
                <w:right w:val="none" w:sz="0" w:space="0" w:color="auto"/>
              </w:divBdr>
            </w:div>
            <w:div w:id="1084494186">
              <w:marLeft w:val="0"/>
              <w:marRight w:val="0"/>
              <w:marTop w:val="0"/>
              <w:marBottom w:val="0"/>
              <w:divBdr>
                <w:top w:val="none" w:sz="0" w:space="0" w:color="auto"/>
                <w:left w:val="none" w:sz="0" w:space="0" w:color="auto"/>
                <w:bottom w:val="none" w:sz="0" w:space="0" w:color="auto"/>
                <w:right w:val="none" w:sz="0" w:space="0" w:color="auto"/>
              </w:divBdr>
            </w:div>
            <w:div w:id="1182664250">
              <w:marLeft w:val="0"/>
              <w:marRight w:val="0"/>
              <w:marTop w:val="0"/>
              <w:marBottom w:val="0"/>
              <w:divBdr>
                <w:top w:val="none" w:sz="0" w:space="0" w:color="auto"/>
                <w:left w:val="none" w:sz="0" w:space="0" w:color="auto"/>
                <w:bottom w:val="none" w:sz="0" w:space="0" w:color="auto"/>
                <w:right w:val="none" w:sz="0" w:space="0" w:color="auto"/>
              </w:divBdr>
            </w:div>
          </w:divsChild>
        </w:div>
        <w:div w:id="1592621810">
          <w:marLeft w:val="0"/>
          <w:marRight w:val="0"/>
          <w:marTop w:val="0"/>
          <w:marBottom w:val="0"/>
          <w:divBdr>
            <w:top w:val="none" w:sz="0" w:space="0" w:color="auto"/>
            <w:left w:val="none" w:sz="0" w:space="0" w:color="auto"/>
            <w:bottom w:val="none" w:sz="0" w:space="0" w:color="auto"/>
            <w:right w:val="none" w:sz="0" w:space="0" w:color="auto"/>
          </w:divBdr>
          <w:divsChild>
            <w:div w:id="113599650">
              <w:marLeft w:val="0"/>
              <w:marRight w:val="0"/>
              <w:marTop w:val="0"/>
              <w:marBottom w:val="0"/>
              <w:divBdr>
                <w:top w:val="none" w:sz="0" w:space="0" w:color="auto"/>
                <w:left w:val="none" w:sz="0" w:space="0" w:color="auto"/>
                <w:bottom w:val="none" w:sz="0" w:space="0" w:color="auto"/>
                <w:right w:val="none" w:sz="0" w:space="0" w:color="auto"/>
              </w:divBdr>
            </w:div>
            <w:div w:id="983385887">
              <w:marLeft w:val="0"/>
              <w:marRight w:val="0"/>
              <w:marTop w:val="0"/>
              <w:marBottom w:val="0"/>
              <w:divBdr>
                <w:top w:val="none" w:sz="0" w:space="0" w:color="auto"/>
                <w:left w:val="none" w:sz="0" w:space="0" w:color="auto"/>
                <w:bottom w:val="none" w:sz="0" w:space="0" w:color="auto"/>
                <w:right w:val="none" w:sz="0" w:space="0" w:color="auto"/>
              </w:divBdr>
            </w:div>
            <w:div w:id="1346859979">
              <w:marLeft w:val="0"/>
              <w:marRight w:val="0"/>
              <w:marTop w:val="0"/>
              <w:marBottom w:val="0"/>
              <w:divBdr>
                <w:top w:val="none" w:sz="0" w:space="0" w:color="auto"/>
                <w:left w:val="none" w:sz="0" w:space="0" w:color="auto"/>
                <w:bottom w:val="none" w:sz="0" w:space="0" w:color="auto"/>
                <w:right w:val="none" w:sz="0" w:space="0" w:color="auto"/>
              </w:divBdr>
            </w:div>
          </w:divsChild>
        </w:div>
        <w:div w:id="1640921632">
          <w:marLeft w:val="0"/>
          <w:marRight w:val="0"/>
          <w:marTop w:val="0"/>
          <w:marBottom w:val="0"/>
          <w:divBdr>
            <w:top w:val="none" w:sz="0" w:space="0" w:color="auto"/>
            <w:left w:val="none" w:sz="0" w:space="0" w:color="auto"/>
            <w:bottom w:val="none" w:sz="0" w:space="0" w:color="auto"/>
            <w:right w:val="none" w:sz="0" w:space="0" w:color="auto"/>
          </w:divBdr>
        </w:div>
        <w:div w:id="1657760949">
          <w:marLeft w:val="0"/>
          <w:marRight w:val="0"/>
          <w:marTop w:val="0"/>
          <w:marBottom w:val="0"/>
          <w:divBdr>
            <w:top w:val="none" w:sz="0" w:space="0" w:color="auto"/>
            <w:left w:val="none" w:sz="0" w:space="0" w:color="auto"/>
            <w:bottom w:val="none" w:sz="0" w:space="0" w:color="auto"/>
            <w:right w:val="none" w:sz="0" w:space="0" w:color="auto"/>
          </w:divBdr>
          <w:divsChild>
            <w:div w:id="1072313634">
              <w:marLeft w:val="-75"/>
              <w:marRight w:val="0"/>
              <w:marTop w:val="30"/>
              <w:marBottom w:val="30"/>
              <w:divBdr>
                <w:top w:val="none" w:sz="0" w:space="0" w:color="auto"/>
                <w:left w:val="none" w:sz="0" w:space="0" w:color="auto"/>
                <w:bottom w:val="none" w:sz="0" w:space="0" w:color="auto"/>
                <w:right w:val="none" w:sz="0" w:space="0" w:color="auto"/>
              </w:divBdr>
              <w:divsChild>
                <w:div w:id="115803202">
                  <w:marLeft w:val="0"/>
                  <w:marRight w:val="0"/>
                  <w:marTop w:val="0"/>
                  <w:marBottom w:val="0"/>
                  <w:divBdr>
                    <w:top w:val="none" w:sz="0" w:space="0" w:color="auto"/>
                    <w:left w:val="none" w:sz="0" w:space="0" w:color="auto"/>
                    <w:bottom w:val="none" w:sz="0" w:space="0" w:color="auto"/>
                    <w:right w:val="none" w:sz="0" w:space="0" w:color="auto"/>
                  </w:divBdr>
                  <w:divsChild>
                    <w:div w:id="252663494">
                      <w:marLeft w:val="0"/>
                      <w:marRight w:val="0"/>
                      <w:marTop w:val="0"/>
                      <w:marBottom w:val="0"/>
                      <w:divBdr>
                        <w:top w:val="none" w:sz="0" w:space="0" w:color="auto"/>
                        <w:left w:val="none" w:sz="0" w:space="0" w:color="auto"/>
                        <w:bottom w:val="none" w:sz="0" w:space="0" w:color="auto"/>
                        <w:right w:val="none" w:sz="0" w:space="0" w:color="auto"/>
                      </w:divBdr>
                    </w:div>
                  </w:divsChild>
                </w:div>
                <w:div w:id="221644865">
                  <w:marLeft w:val="0"/>
                  <w:marRight w:val="0"/>
                  <w:marTop w:val="0"/>
                  <w:marBottom w:val="0"/>
                  <w:divBdr>
                    <w:top w:val="none" w:sz="0" w:space="0" w:color="auto"/>
                    <w:left w:val="none" w:sz="0" w:space="0" w:color="auto"/>
                    <w:bottom w:val="none" w:sz="0" w:space="0" w:color="auto"/>
                    <w:right w:val="none" w:sz="0" w:space="0" w:color="auto"/>
                  </w:divBdr>
                  <w:divsChild>
                    <w:div w:id="41297873">
                      <w:marLeft w:val="0"/>
                      <w:marRight w:val="0"/>
                      <w:marTop w:val="0"/>
                      <w:marBottom w:val="0"/>
                      <w:divBdr>
                        <w:top w:val="none" w:sz="0" w:space="0" w:color="auto"/>
                        <w:left w:val="none" w:sz="0" w:space="0" w:color="auto"/>
                        <w:bottom w:val="none" w:sz="0" w:space="0" w:color="auto"/>
                        <w:right w:val="none" w:sz="0" w:space="0" w:color="auto"/>
                      </w:divBdr>
                    </w:div>
                  </w:divsChild>
                </w:div>
                <w:div w:id="257494264">
                  <w:marLeft w:val="0"/>
                  <w:marRight w:val="0"/>
                  <w:marTop w:val="0"/>
                  <w:marBottom w:val="0"/>
                  <w:divBdr>
                    <w:top w:val="none" w:sz="0" w:space="0" w:color="auto"/>
                    <w:left w:val="none" w:sz="0" w:space="0" w:color="auto"/>
                    <w:bottom w:val="none" w:sz="0" w:space="0" w:color="auto"/>
                    <w:right w:val="none" w:sz="0" w:space="0" w:color="auto"/>
                  </w:divBdr>
                  <w:divsChild>
                    <w:div w:id="985471679">
                      <w:marLeft w:val="0"/>
                      <w:marRight w:val="0"/>
                      <w:marTop w:val="0"/>
                      <w:marBottom w:val="0"/>
                      <w:divBdr>
                        <w:top w:val="none" w:sz="0" w:space="0" w:color="auto"/>
                        <w:left w:val="none" w:sz="0" w:space="0" w:color="auto"/>
                        <w:bottom w:val="none" w:sz="0" w:space="0" w:color="auto"/>
                        <w:right w:val="none" w:sz="0" w:space="0" w:color="auto"/>
                      </w:divBdr>
                    </w:div>
                  </w:divsChild>
                </w:div>
                <w:div w:id="418063087">
                  <w:marLeft w:val="0"/>
                  <w:marRight w:val="0"/>
                  <w:marTop w:val="0"/>
                  <w:marBottom w:val="0"/>
                  <w:divBdr>
                    <w:top w:val="none" w:sz="0" w:space="0" w:color="auto"/>
                    <w:left w:val="none" w:sz="0" w:space="0" w:color="auto"/>
                    <w:bottom w:val="none" w:sz="0" w:space="0" w:color="auto"/>
                    <w:right w:val="none" w:sz="0" w:space="0" w:color="auto"/>
                  </w:divBdr>
                  <w:divsChild>
                    <w:div w:id="627783334">
                      <w:marLeft w:val="0"/>
                      <w:marRight w:val="0"/>
                      <w:marTop w:val="0"/>
                      <w:marBottom w:val="0"/>
                      <w:divBdr>
                        <w:top w:val="none" w:sz="0" w:space="0" w:color="auto"/>
                        <w:left w:val="none" w:sz="0" w:space="0" w:color="auto"/>
                        <w:bottom w:val="none" w:sz="0" w:space="0" w:color="auto"/>
                        <w:right w:val="none" w:sz="0" w:space="0" w:color="auto"/>
                      </w:divBdr>
                    </w:div>
                  </w:divsChild>
                </w:div>
                <w:div w:id="468522393">
                  <w:marLeft w:val="0"/>
                  <w:marRight w:val="0"/>
                  <w:marTop w:val="0"/>
                  <w:marBottom w:val="0"/>
                  <w:divBdr>
                    <w:top w:val="none" w:sz="0" w:space="0" w:color="auto"/>
                    <w:left w:val="none" w:sz="0" w:space="0" w:color="auto"/>
                    <w:bottom w:val="none" w:sz="0" w:space="0" w:color="auto"/>
                    <w:right w:val="none" w:sz="0" w:space="0" w:color="auto"/>
                  </w:divBdr>
                  <w:divsChild>
                    <w:div w:id="1987051958">
                      <w:marLeft w:val="0"/>
                      <w:marRight w:val="0"/>
                      <w:marTop w:val="0"/>
                      <w:marBottom w:val="0"/>
                      <w:divBdr>
                        <w:top w:val="none" w:sz="0" w:space="0" w:color="auto"/>
                        <w:left w:val="none" w:sz="0" w:space="0" w:color="auto"/>
                        <w:bottom w:val="none" w:sz="0" w:space="0" w:color="auto"/>
                        <w:right w:val="none" w:sz="0" w:space="0" w:color="auto"/>
                      </w:divBdr>
                    </w:div>
                  </w:divsChild>
                </w:div>
                <w:div w:id="663312886">
                  <w:marLeft w:val="0"/>
                  <w:marRight w:val="0"/>
                  <w:marTop w:val="0"/>
                  <w:marBottom w:val="0"/>
                  <w:divBdr>
                    <w:top w:val="none" w:sz="0" w:space="0" w:color="auto"/>
                    <w:left w:val="none" w:sz="0" w:space="0" w:color="auto"/>
                    <w:bottom w:val="none" w:sz="0" w:space="0" w:color="auto"/>
                    <w:right w:val="none" w:sz="0" w:space="0" w:color="auto"/>
                  </w:divBdr>
                  <w:divsChild>
                    <w:div w:id="1811291576">
                      <w:marLeft w:val="0"/>
                      <w:marRight w:val="0"/>
                      <w:marTop w:val="0"/>
                      <w:marBottom w:val="0"/>
                      <w:divBdr>
                        <w:top w:val="none" w:sz="0" w:space="0" w:color="auto"/>
                        <w:left w:val="none" w:sz="0" w:space="0" w:color="auto"/>
                        <w:bottom w:val="none" w:sz="0" w:space="0" w:color="auto"/>
                        <w:right w:val="none" w:sz="0" w:space="0" w:color="auto"/>
                      </w:divBdr>
                    </w:div>
                  </w:divsChild>
                </w:div>
                <w:div w:id="762845328">
                  <w:marLeft w:val="0"/>
                  <w:marRight w:val="0"/>
                  <w:marTop w:val="0"/>
                  <w:marBottom w:val="0"/>
                  <w:divBdr>
                    <w:top w:val="none" w:sz="0" w:space="0" w:color="auto"/>
                    <w:left w:val="none" w:sz="0" w:space="0" w:color="auto"/>
                    <w:bottom w:val="none" w:sz="0" w:space="0" w:color="auto"/>
                    <w:right w:val="none" w:sz="0" w:space="0" w:color="auto"/>
                  </w:divBdr>
                  <w:divsChild>
                    <w:div w:id="977026724">
                      <w:marLeft w:val="0"/>
                      <w:marRight w:val="0"/>
                      <w:marTop w:val="0"/>
                      <w:marBottom w:val="0"/>
                      <w:divBdr>
                        <w:top w:val="none" w:sz="0" w:space="0" w:color="auto"/>
                        <w:left w:val="none" w:sz="0" w:space="0" w:color="auto"/>
                        <w:bottom w:val="none" w:sz="0" w:space="0" w:color="auto"/>
                        <w:right w:val="none" w:sz="0" w:space="0" w:color="auto"/>
                      </w:divBdr>
                    </w:div>
                  </w:divsChild>
                </w:div>
                <w:div w:id="789057993">
                  <w:marLeft w:val="0"/>
                  <w:marRight w:val="0"/>
                  <w:marTop w:val="0"/>
                  <w:marBottom w:val="0"/>
                  <w:divBdr>
                    <w:top w:val="none" w:sz="0" w:space="0" w:color="auto"/>
                    <w:left w:val="none" w:sz="0" w:space="0" w:color="auto"/>
                    <w:bottom w:val="none" w:sz="0" w:space="0" w:color="auto"/>
                    <w:right w:val="none" w:sz="0" w:space="0" w:color="auto"/>
                  </w:divBdr>
                  <w:divsChild>
                    <w:div w:id="1322465952">
                      <w:marLeft w:val="0"/>
                      <w:marRight w:val="0"/>
                      <w:marTop w:val="0"/>
                      <w:marBottom w:val="0"/>
                      <w:divBdr>
                        <w:top w:val="none" w:sz="0" w:space="0" w:color="auto"/>
                        <w:left w:val="none" w:sz="0" w:space="0" w:color="auto"/>
                        <w:bottom w:val="none" w:sz="0" w:space="0" w:color="auto"/>
                        <w:right w:val="none" w:sz="0" w:space="0" w:color="auto"/>
                      </w:divBdr>
                    </w:div>
                  </w:divsChild>
                </w:div>
                <w:div w:id="793249617">
                  <w:marLeft w:val="0"/>
                  <w:marRight w:val="0"/>
                  <w:marTop w:val="0"/>
                  <w:marBottom w:val="0"/>
                  <w:divBdr>
                    <w:top w:val="none" w:sz="0" w:space="0" w:color="auto"/>
                    <w:left w:val="none" w:sz="0" w:space="0" w:color="auto"/>
                    <w:bottom w:val="none" w:sz="0" w:space="0" w:color="auto"/>
                    <w:right w:val="none" w:sz="0" w:space="0" w:color="auto"/>
                  </w:divBdr>
                  <w:divsChild>
                    <w:div w:id="2125153873">
                      <w:marLeft w:val="0"/>
                      <w:marRight w:val="0"/>
                      <w:marTop w:val="0"/>
                      <w:marBottom w:val="0"/>
                      <w:divBdr>
                        <w:top w:val="none" w:sz="0" w:space="0" w:color="auto"/>
                        <w:left w:val="none" w:sz="0" w:space="0" w:color="auto"/>
                        <w:bottom w:val="none" w:sz="0" w:space="0" w:color="auto"/>
                        <w:right w:val="none" w:sz="0" w:space="0" w:color="auto"/>
                      </w:divBdr>
                    </w:div>
                  </w:divsChild>
                </w:div>
                <w:div w:id="947397278">
                  <w:marLeft w:val="0"/>
                  <w:marRight w:val="0"/>
                  <w:marTop w:val="0"/>
                  <w:marBottom w:val="0"/>
                  <w:divBdr>
                    <w:top w:val="none" w:sz="0" w:space="0" w:color="auto"/>
                    <w:left w:val="none" w:sz="0" w:space="0" w:color="auto"/>
                    <w:bottom w:val="none" w:sz="0" w:space="0" w:color="auto"/>
                    <w:right w:val="none" w:sz="0" w:space="0" w:color="auto"/>
                  </w:divBdr>
                  <w:divsChild>
                    <w:div w:id="642465608">
                      <w:marLeft w:val="0"/>
                      <w:marRight w:val="0"/>
                      <w:marTop w:val="0"/>
                      <w:marBottom w:val="0"/>
                      <w:divBdr>
                        <w:top w:val="none" w:sz="0" w:space="0" w:color="auto"/>
                        <w:left w:val="none" w:sz="0" w:space="0" w:color="auto"/>
                        <w:bottom w:val="none" w:sz="0" w:space="0" w:color="auto"/>
                        <w:right w:val="none" w:sz="0" w:space="0" w:color="auto"/>
                      </w:divBdr>
                    </w:div>
                  </w:divsChild>
                </w:div>
                <w:div w:id="1045835192">
                  <w:marLeft w:val="0"/>
                  <w:marRight w:val="0"/>
                  <w:marTop w:val="0"/>
                  <w:marBottom w:val="0"/>
                  <w:divBdr>
                    <w:top w:val="none" w:sz="0" w:space="0" w:color="auto"/>
                    <w:left w:val="none" w:sz="0" w:space="0" w:color="auto"/>
                    <w:bottom w:val="none" w:sz="0" w:space="0" w:color="auto"/>
                    <w:right w:val="none" w:sz="0" w:space="0" w:color="auto"/>
                  </w:divBdr>
                  <w:divsChild>
                    <w:div w:id="1528829628">
                      <w:marLeft w:val="0"/>
                      <w:marRight w:val="0"/>
                      <w:marTop w:val="0"/>
                      <w:marBottom w:val="0"/>
                      <w:divBdr>
                        <w:top w:val="none" w:sz="0" w:space="0" w:color="auto"/>
                        <w:left w:val="none" w:sz="0" w:space="0" w:color="auto"/>
                        <w:bottom w:val="none" w:sz="0" w:space="0" w:color="auto"/>
                        <w:right w:val="none" w:sz="0" w:space="0" w:color="auto"/>
                      </w:divBdr>
                    </w:div>
                  </w:divsChild>
                </w:div>
                <w:div w:id="1057096000">
                  <w:marLeft w:val="0"/>
                  <w:marRight w:val="0"/>
                  <w:marTop w:val="0"/>
                  <w:marBottom w:val="0"/>
                  <w:divBdr>
                    <w:top w:val="none" w:sz="0" w:space="0" w:color="auto"/>
                    <w:left w:val="none" w:sz="0" w:space="0" w:color="auto"/>
                    <w:bottom w:val="none" w:sz="0" w:space="0" w:color="auto"/>
                    <w:right w:val="none" w:sz="0" w:space="0" w:color="auto"/>
                  </w:divBdr>
                  <w:divsChild>
                    <w:div w:id="542982337">
                      <w:marLeft w:val="0"/>
                      <w:marRight w:val="0"/>
                      <w:marTop w:val="0"/>
                      <w:marBottom w:val="0"/>
                      <w:divBdr>
                        <w:top w:val="none" w:sz="0" w:space="0" w:color="auto"/>
                        <w:left w:val="none" w:sz="0" w:space="0" w:color="auto"/>
                        <w:bottom w:val="none" w:sz="0" w:space="0" w:color="auto"/>
                        <w:right w:val="none" w:sz="0" w:space="0" w:color="auto"/>
                      </w:divBdr>
                    </w:div>
                  </w:divsChild>
                </w:div>
                <w:div w:id="1212615728">
                  <w:marLeft w:val="0"/>
                  <w:marRight w:val="0"/>
                  <w:marTop w:val="0"/>
                  <w:marBottom w:val="0"/>
                  <w:divBdr>
                    <w:top w:val="none" w:sz="0" w:space="0" w:color="auto"/>
                    <w:left w:val="none" w:sz="0" w:space="0" w:color="auto"/>
                    <w:bottom w:val="none" w:sz="0" w:space="0" w:color="auto"/>
                    <w:right w:val="none" w:sz="0" w:space="0" w:color="auto"/>
                  </w:divBdr>
                  <w:divsChild>
                    <w:div w:id="453527802">
                      <w:marLeft w:val="0"/>
                      <w:marRight w:val="0"/>
                      <w:marTop w:val="0"/>
                      <w:marBottom w:val="0"/>
                      <w:divBdr>
                        <w:top w:val="none" w:sz="0" w:space="0" w:color="auto"/>
                        <w:left w:val="none" w:sz="0" w:space="0" w:color="auto"/>
                        <w:bottom w:val="none" w:sz="0" w:space="0" w:color="auto"/>
                        <w:right w:val="none" w:sz="0" w:space="0" w:color="auto"/>
                      </w:divBdr>
                    </w:div>
                  </w:divsChild>
                </w:div>
                <w:div w:id="1237394663">
                  <w:marLeft w:val="0"/>
                  <w:marRight w:val="0"/>
                  <w:marTop w:val="0"/>
                  <w:marBottom w:val="0"/>
                  <w:divBdr>
                    <w:top w:val="none" w:sz="0" w:space="0" w:color="auto"/>
                    <w:left w:val="none" w:sz="0" w:space="0" w:color="auto"/>
                    <w:bottom w:val="none" w:sz="0" w:space="0" w:color="auto"/>
                    <w:right w:val="none" w:sz="0" w:space="0" w:color="auto"/>
                  </w:divBdr>
                  <w:divsChild>
                    <w:div w:id="1667398359">
                      <w:marLeft w:val="0"/>
                      <w:marRight w:val="0"/>
                      <w:marTop w:val="0"/>
                      <w:marBottom w:val="0"/>
                      <w:divBdr>
                        <w:top w:val="none" w:sz="0" w:space="0" w:color="auto"/>
                        <w:left w:val="none" w:sz="0" w:space="0" w:color="auto"/>
                        <w:bottom w:val="none" w:sz="0" w:space="0" w:color="auto"/>
                        <w:right w:val="none" w:sz="0" w:space="0" w:color="auto"/>
                      </w:divBdr>
                    </w:div>
                  </w:divsChild>
                </w:div>
                <w:div w:id="1254974879">
                  <w:marLeft w:val="0"/>
                  <w:marRight w:val="0"/>
                  <w:marTop w:val="0"/>
                  <w:marBottom w:val="0"/>
                  <w:divBdr>
                    <w:top w:val="none" w:sz="0" w:space="0" w:color="auto"/>
                    <w:left w:val="none" w:sz="0" w:space="0" w:color="auto"/>
                    <w:bottom w:val="none" w:sz="0" w:space="0" w:color="auto"/>
                    <w:right w:val="none" w:sz="0" w:space="0" w:color="auto"/>
                  </w:divBdr>
                  <w:divsChild>
                    <w:div w:id="1288045507">
                      <w:marLeft w:val="0"/>
                      <w:marRight w:val="0"/>
                      <w:marTop w:val="0"/>
                      <w:marBottom w:val="0"/>
                      <w:divBdr>
                        <w:top w:val="none" w:sz="0" w:space="0" w:color="auto"/>
                        <w:left w:val="none" w:sz="0" w:space="0" w:color="auto"/>
                        <w:bottom w:val="none" w:sz="0" w:space="0" w:color="auto"/>
                        <w:right w:val="none" w:sz="0" w:space="0" w:color="auto"/>
                      </w:divBdr>
                    </w:div>
                  </w:divsChild>
                </w:div>
                <w:div w:id="1259675997">
                  <w:marLeft w:val="0"/>
                  <w:marRight w:val="0"/>
                  <w:marTop w:val="0"/>
                  <w:marBottom w:val="0"/>
                  <w:divBdr>
                    <w:top w:val="none" w:sz="0" w:space="0" w:color="auto"/>
                    <w:left w:val="none" w:sz="0" w:space="0" w:color="auto"/>
                    <w:bottom w:val="none" w:sz="0" w:space="0" w:color="auto"/>
                    <w:right w:val="none" w:sz="0" w:space="0" w:color="auto"/>
                  </w:divBdr>
                  <w:divsChild>
                    <w:div w:id="815337432">
                      <w:marLeft w:val="0"/>
                      <w:marRight w:val="0"/>
                      <w:marTop w:val="0"/>
                      <w:marBottom w:val="0"/>
                      <w:divBdr>
                        <w:top w:val="none" w:sz="0" w:space="0" w:color="auto"/>
                        <w:left w:val="none" w:sz="0" w:space="0" w:color="auto"/>
                        <w:bottom w:val="none" w:sz="0" w:space="0" w:color="auto"/>
                        <w:right w:val="none" w:sz="0" w:space="0" w:color="auto"/>
                      </w:divBdr>
                    </w:div>
                  </w:divsChild>
                </w:div>
                <w:div w:id="1386222239">
                  <w:marLeft w:val="0"/>
                  <w:marRight w:val="0"/>
                  <w:marTop w:val="0"/>
                  <w:marBottom w:val="0"/>
                  <w:divBdr>
                    <w:top w:val="none" w:sz="0" w:space="0" w:color="auto"/>
                    <w:left w:val="none" w:sz="0" w:space="0" w:color="auto"/>
                    <w:bottom w:val="none" w:sz="0" w:space="0" w:color="auto"/>
                    <w:right w:val="none" w:sz="0" w:space="0" w:color="auto"/>
                  </w:divBdr>
                  <w:divsChild>
                    <w:div w:id="1595437103">
                      <w:marLeft w:val="0"/>
                      <w:marRight w:val="0"/>
                      <w:marTop w:val="0"/>
                      <w:marBottom w:val="0"/>
                      <w:divBdr>
                        <w:top w:val="none" w:sz="0" w:space="0" w:color="auto"/>
                        <w:left w:val="none" w:sz="0" w:space="0" w:color="auto"/>
                        <w:bottom w:val="none" w:sz="0" w:space="0" w:color="auto"/>
                        <w:right w:val="none" w:sz="0" w:space="0" w:color="auto"/>
                      </w:divBdr>
                    </w:div>
                  </w:divsChild>
                </w:div>
                <w:div w:id="1397313866">
                  <w:marLeft w:val="0"/>
                  <w:marRight w:val="0"/>
                  <w:marTop w:val="0"/>
                  <w:marBottom w:val="0"/>
                  <w:divBdr>
                    <w:top w:val="none" w:sz="0" w:space="0" w:color="auto"/>
                    <w:left w:val="none" w:sz="0" w:space="0" w:color="auto"/>
                    <w:bottom w:val="none" w:sz="0" w:space="0" w:color="auto"/>
                    <w:right w:val="none" w:sz="0" w:space="0" w:color="auto"/>
                  </w:divBdr>
                  <w:divsChild>
                    <w:div w:id="1180201407">
                      <w:marLeft w:val="0"/>
                      <w:marRight w:val="0"/>
                      <w:marTop w:val="0"/>
                      <w:marBottom w:val="0"/>
                      <w:divBdr>
                        <w:top w:val="none" w:sz="0" w:space="0" w:color="auto"/>
                        <w:left w:val="none" w:sz="0" w:space="0" w:color="auto"/>
                        <w:bottom w:val="none" w:sz="0" w:space="0" w:color="auto"/>
                        <w:right w:val="none" w:sz="0" w:space="0" w:color="auto"/>
                      </w:divBdr>
                    </w:div>
                  </w:divsChild>
                </w:div>
                <w:div w:id="1402869279">
                  <w:marLeft w:val="0"/>
                  <w:marRight w:val="0"/>
                  <w:marTop w:val="0"/>
                  <w:marBottom w:val="0"/>
                  <w:divBdr>
                    <w:top w:val="none" w:sz="0" w:space="0" w:color="auto"/>
                    <w:left w:val="none" w:sz="0" w:space="0" w:color="auto"/>
                    <w:bottom w:val="none" w:sz="0" w:space="0" w:color="auto"/>
                    <w:right w:val="none" w:sz="0" w:space="0" w:color="auto"/>
                  </w:divBdr>
                  <w:divsChild>
                    <w:div w:id="1174568687">
                      <w:marLeft w:val="0"/>
                      <w:marRight w:val="0"/>
                      <w:marTop w:val="0"/>
                      <w:marBottom w:val="0"/>
                      <w:divBdr>
                        <w:top w:val="none" w:sz="0" w:space="0" w:color="auto"/>
                        <w:left w:val="none" w:sz="0" w:space="0" w:color="auto"/>
                        <w:bottom w:val="none" w:sz="0" w:space="0" w:color="auto"/>
                        <w:right w:val="none" w:sz="0" w:space="0" w:color="auto"/>
                      </w:divBdr>
                    </w:div>
                  </w:divsChild>
                </w:div>
                <w:div w:id="1403598808">
                  <w:marLeft w:val="0"/>
                  <w:marRight w:val="0"/>
                  <w:marTop w:val="0"/>
                  <w:marBottom w:val="0"/>
                  <w:divBdr>
                    <w:top w:val="none" w:sz="0" w:space="0" w:color="auto"/>
                    <w:left w:val="none" w:sz="0" w:space="0" w:color="auto"/>
                    <w:bottom w:val="none" w:sz="0" w:space="0" w:color="auto"/>
                    <w:right w:val="none" w:sz="0" w:space="0" w:color="auto"/>
                  </w:divBdr>
                  <w:divsChild>
                    <w:div w:id="214198351">
                      <w:marLeft w:val="0"/>
                      <w:marRight w:val="0"/>
                      <w:marTop w:val="0"/>
                      <w:marBottom w:val="0"/>
                      <w:divBdr>
                        <w:top w:val="none" w:sz="0" w:space="0" w:color="auto"/>
                        <w:left w:val="none" w:sz="0" w:space="0" w:color="auto"/>
                        <w:bottom w:val="none" w:sz="0" w:space="0" w:color="auto"/>
                        <w:right w:val="none" w:sz="0" w:space="0" w:color="auto"/>
                      </w:divBdr>
                    </w:div>
                  </w:divsChild>
                </w:div>
                <w:div w:id="1493331184">
                  <w:marLeft w:val="0"/>
                  <w:marRight w:val="0"/>
                  <w:marTop w:val="0"/>
                  <w:marBottom w:val="0"/>
                  <w:divBdr>
                    <w:top w:val="none" w:sz="0" w:space="0" w:color="auto"/>
                    <w:left w:val="none" w:sz="0" w:space="0" w:color="auto"/>
                    <w:bottom w:val="none" w:sz="0" w:space="0" w:color="auto"/>
                    <w:right w:val="none" w:sz="0" w:space="0" w:color="auto"/>
                  </w:divBdr>
                  <w:divsChild>
                    <w:div w:id="1871726659">
                      <w:marLeft w:val="0"/>
                      <w:marRight w:val="0"/>
                      <w:marTop w:val="0"/>
                      <w:marBottom w:val="0"/>
                      <w:divBdr>
                        <w:top w:val="none" w:sz="0" w:space="0" w:color="auto"/>
                        <w:left w:val="none" w:sz="0" w:space="0" w:color="auto"/>
                        <w:bottom w:val="none" w:sz="0" w:space="0" w:color="auto"/>
                        <w:right w:val="none" w:sz="0" w:space="0" w:color="auto"/>
                      </w:divBdr>
                    </w:div>
                  </w:divsChild>
                </w:div>
                <w:div w:id="1670403183">
                  <w:marLeft w:val="0"/>
                  <w:marRight w:val="0"/>
                  <w:marTop w:val="0"/>
                  <w:marBottom w:val="0"/>
                  <w:divBdr>
                    <w:top w:val="none" w:sz="0" w:space="0" w:color="auto"/>
                    <w:left w:val="none" w:sz="0" w:space="0" w:color="auto"/>
                    <w:bottom w:val="none" w:sz="0" w:space="0" w:color="auto"/>
                    <w:right w:val="none" w:sz="0" w:space="0" w:color="auto"/>
                  </w:divBdr>
                  <w:divsChild>
                    <w:div w:id="1628270809">
                      <w:marLeft w:val="0"/>
                      <w:marRight w:val="0"/>
                      <w:marTop w:val="0"/>
                      <w:marBottom w:val="0"/>
                      <w:divBdr>
                        <w:top w:val="none" w:sz="0" w:space="0" w:color="auto"/>
                        <w:left w:val="none" w:sz="0" w:space="0" w:color="auto"/>
                        <w:bottom w:val="none" w:sz="0" w:space="0" w:color="auto"/>
                        <w:right w:val="none" w:sz="0" w:space="0" w:color="auto"/>
                      </w:divBdr>
                    </w:div>
                  </w:divsChild>
                </w:div>
                <w:div w:id="1784765966">
                  <w:marLeft w:val="0"/>
                  <w:marRight w:val="0"/>
                  <w:marTop w:val="0"/>
                  <w:marBottom w:val="0"/>
                  <w:divBdr>
                    <w:top w:val="none" w:sz="0" w:space="0" w:color="auto"/>
                    <w:left w:val="none" w:sz="0" w:space="0" w:color="auto"/>
                    <w:bottom w:val="none" w:sz="0" w:space="0" w:color="auto"/>
                    <w:right w:val="none" w:sz="0" w:space="0" w:color="auto"/>
                  </w:divBdr>
                  <w:divsChild>
                    <w:div w:id="330181971">
                      <w:marLeft w:val="0"/>
                      <w:marRight w:val="0"/>
                      <w:marTop w:val="0"/>
                      <w:marBottom w:val="0"/>
                      <w:divBdr>
                        <w:top w:val="none" w:sz="0" w:space="0" w:color="auto"/>
                        <w:left w:val="none" w:sz="0" w:space="0" w:color="auto"/>
                        <w:bottom w:val="none" w:sz="0" w:space="0" w:color="auto"/>
                        <w:right w:val="none" w:sz="0" w:space="0" w:color="auto"/>
                      </w:divBdr>
                    </w:div>
                  </w:divsChild>
                </w:div>
                <w:div w:id="1813716028">
                  <w:marLeft w:val="0"/>
                  <w:marRight w:val="0"/>
                  <w:marTop w:val="0"/>
                  <w:marBottom w:val="0"/>
                  <w:divBdr>
                    <w:top w:val="none" w:sz="0" w:space="0" w:color="auto"/>
                    <w:left w:val="none" w:sz="0" w:space="0" w:color="auto"/>
                    <w:bottom w:val="none" w:sz="0" w:space="0" w:color="auto"/>
                    <w:right w:val="none" w:sz="0" w:space="0" w:color="auto"/>
                  </w:divBdr>
                  <w:divsChild>
                    <w:div w:id="2013559813">
                      <w:marLeft w:val="0"/>
                      <w:marRight w:val="0"/>
                      <w:marTop w:val="0"/>
                      <w:marBottom w:val="0"/>
                      <w:divBdr>
                        <w:top w:val="none" w:sz="0" w:space="0" w:color="auto"/>
                        <w:left w:val="none" w:sz="0" w:space="0" w:color="auto"/>
                        <w:bottom w:val="none" w:sz="0" w:space="0" w:color="auto"/>
                        <w:right w:val="none" w:sz="0" w:space="0" w:color="auto"/>
                      </w:divBdr>
                    </w:div>
                  </w:divsChild>
                </w:div>
                <w:div w:id="1932197995">
                  <w:marLeft w:val="0"/>
                  <w:marRight w:val="0"/>
                  <w:marTop w:val="0"/>
                  <w:marBottom w:val="0"/>
                  <w:divBdr>
                    <w:top w:val="none" w:sz="0" w:space="0" w:color="auto"/>
                    <w:left w:val="none" w:sz="0" w:space="0" w:color="auto"/>
                    <w:bottom w:val="none" w:sz="0" w:space="0" w:color="auto"/>
                    <w:right w:val="none" w:sz="0" w:space="0" w:color="auto"/>
                  </w:divBdr>
                  <w:divsChild>
                    <w:div w:id="1253932624">
                      <w:marLeft w:val="0"/>
                      <w:marRight w:val="0"/>
                      <w:marTop w:val="0"/>
                      <w:marBottom w:val="0"/>
                      <w:divBdr>
                        <w:top w:val="none" w:sz="0" w:space="0" w:color="auto"/>
                        <w:left w:val="none" w:sz="0" w:space="0" w:color="auto"/>
                        <w:bottom w:val="none" w:sz="0" w:space="0" w:color="auto"/>
                        <w:right w:val="none" w:sz="0" w:space="0" w:color="auto"/>
                      </w:divBdr>
                    </w:div>
                  </w:divsChild>
                </w:div>
                <w:div w:id="1941449928">
                  <w:marLeft w:val="0"/>
                  <w:marRight w:val="0"/>
                  <w:marTop w:val="0"/>
                  <w:marBottom w:val="0"/>
                  <w:divBdr>
                    <w:top w:val="none" w:sz="0" w:space="0" w:color="auto"/>
                    <w:left w:val="none" w:sz="0" w:space="0" w:color="auto"/>
                    <w:bottom w:val="none" w:sz="0" w:space="0" w:color="auto"/>
                    <w:right w:val="none" w:sz="0" w:space="0" w:color="auto"/>
                  </w:divBdr>
                  <w:divsChild>
                    <w:div w:id="110519890">
                      <w:marLeft w:val="0"/>
                      <w:marRight w:val="0"/>
                      <w:marTop w:val="0"/>
                      <w:marBottom w:val="0"/>
                      <w:divBdr>
                        <w:top w:val="none" w:sz="0" w:space="0" w:color="auto"/>
                        <w:left w:val="none" w:sz="0" w:space="0" w:color="auto"/>
                        <w:bottom w:val="none" w:sz="0" w:space="0" w:color="auto"/>
                        <w:right w:val="none" w:sz="0" w:space="0" w:color="auto"/>
                      </w:divBdr>
                    </w:div>
                  </w:divsChild>
                </w:div>
                <w:div w:id="2115007668">
                  <w:marLeft w:val="0"/>
                  <w:marRight w:val="0"/>
                  <w:marTop w:val="0"/>
                  <w:marBottom w:val="0"/>
                  <w:divBdr>
                    <w:top w:val="none" w:sz="0" w:space="0" w:color="auto"/>
                    <w:left w:val="none" w:sz="0" w:space="0" w:color="auto"/>
                    <w:bottom w:val="none" w:sz="0" w:space="0" w:color="auto"/>
                    <w:right w:val="none" w:sz="0" w:space="0" w:color="auto"/>
                  </w:divBdr>
                  <w:divsChild>
                    <w:div w:id="205993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1543401">
          <w:marLeft w:val="0"/>
          <w:marRight w:val="0"/>
          <w:marTop w:val="0"/>
          <w:marBottom w:val="0"/>
          <w:divBdr>
            <w:top w:val="none" w:sz="0" w:space="0" w:color="auto"/>
            <w:left w:val="none" w:sz="0" w:space="0" w:color="auto"/>
            <w:bottom w:val="none" w:sz="0" w:space="0" w:color="auto"/>
            <w:right w:val="none" w:sz="0" w:space="0" w:color="auto"/>
          </w:divBdr>
        </w:div>
        <w:div w:id="1677154117">
          <w:marLeft w:val="0"/>
          <w:marRight w:val="0"/>
          <w:marTop w:val="0"/>
          <w:marBottom w:val="0"/>
          <w:divBdr>
            <w:top w:val="none" w:sz="0" w:space="0" w:color="auto"/>
            <w:left w:val="none" w:sz="0" w:space="0" w:color="auto"/>
            <w:bottom w:val="none" w:sz="0" w:space="0" w:color="auto"/>
            <w:right w:val="none" w:sz="0" w:space="0" w:color="auto"/>
          </w:divBdr>
        </w:div>
        <w:div w:id="1685863823">
          <w:marLeft w:val="0"/>
          <w:marRight w:val="0"/>
          <w:marTop w:val="0"/>
          <w:marBottom w:val="0"/>
          <w:divBdr>
            <w:top w:val="none" w:sz="0" w:space="0" w:color="auto"/>
            <w:left w:val="none" w:sz="0" w:space="0" w:color="auto"/>
            <w:bottom w:val="none" w:sz="0" w:space="0" w:color="auto"/>
            <w:right w:val="none" w:sz="0" w:space="0" w:color="auto"/>
          </w:divBdr>
        </w:div>
        <w:div w:id="1718507867">
          <w:marLeft w:val="0"/>
          <w:marRight w:val="0"/>
          <w:marTop w:val="0"/>
          <w:marBottom w:val="0"/>
          <w:divBdr>
            <w:top w:val="none" w:sz="0" w:space="0" w:color="auto"/>
            <w:left w:val="none" w:sz="0" w:space="0" w:color="auto"/>
            <w:bottom w:val="none" w:sz="0" w:space="0" w:color="auto"/>
            <w:right w:val="none" w:sz="0" w:space="0" w:color="auto"/>
          </w:divBdr>
        </w:div>
        <w:div w:id="1739551077">
          <w:marLeft w:val="0"/>
          <w:marRight w:val="0"/>
          <w:marTop w:val="0"/>
          <w:marBottom w:val="0"/>
          <w:divBdr>
            <w:top w:val="none" w:sz="0" w:space="0" w:color="auto"/>
            <w:left w:val="none" w:sz="0" w:space="0" w:color="auto"/>
            <w:bottom w:val="none" w:sz="0" w:space="0" w:color="auto"/>
            <w:right w:val="none" w:sz="0" w:space="0" w:color="auto"/>
          </w:divBdr>
        </w:div>
        <w:div w:id="1754739563">
          <w:marLeft w:val="0"/>
          <w:marRight w:val="0"/>
          <w:marTop w:val="0"/>
          <w:marBottom w:val="0"/>
          <w:divBdr>
            <w:top w:val="none" w:sz="0" w:space="0" w:color="auto"/>
            <w:left w:val="none" w:sz="0" w:space="0" w:color="auto"/>
            <w:bottom w:val="none" w:sz="0" w:space="0" w:color="auto"/>
            <w:right w:val="none" w:sz="0" w:space="0" w:color="auto"/>
          </w:divBdr>
        </w:div>
        <w:div w:id="1773471775">
          <w:marLeft w:val="0"/>
          <w:marRight w:val="0"/>
          <w:marTop w:val="0"/>
          <w:marBottom w:val="0"/>
          <w:divBdr>
            <w:top w:val="none" w:sz="0" w:space="0" w:color="auto"/>
            <w:left w:val="none" w:sz="0" w:space="0" w:color="auto"/>
            <w:bottom w:val="none" w:sz="0" w:space="0" w:color="auto"/>
            <w:right w:val="none" w:sz="0" w:space="0" w:color="auto"/>
          </w:divBdr>
        </w:div>
        <w:div w:id="1780641058">
          <w:marLeft w:val="0"/>
          <w:marRight w:val="0"/>
          <w:marTop w:val="0"/>
          <w:marBottom w:val="0"/>
          <w:divBdr>
            <w:top w:val="none" w:sz="0" w:space="0" w:color="auto"/>
            <w:left w:val="none" w:sz="0" w:space="0" w:color="auto"/>
            <w:bottom w:val="none" w:sz="0" w:space="0" w:color="auto"/>
            <w:right w:val="none" w:sz="0" w:space="0" w:color="auto"/>
          </w:divBdr>
        </w:div>
        <w:div w:id="1790279338">
          <w:marLeft w:val="0"/>
          <w:marRight w:val="0"/>
          <w:marTop w:val="0"/>
          <w:marBottom w:val="0"/>
          <w:divBdr>
            <w:top w:val="none" w:sz="0" w:space="0" w:color="auto"/>
            <w:left w:val="none" w:sz="0" w:space="0" w:color="auto"/>
            <w:bottom w:val="none" w:sz="0" w:space="0" w:color="auto"/>
            <w:right w:val="none" w:sz="0" w:space="0" w:color="auto"/>
          </w:divBdr>
          <w:divsChild>
            <w:div w:id="844176872">
              <w:marLeft w:val="-75"/>
              <w:marRight w:val="0"/>
              <w:marTop w:val="30"/>
              <w:marBottom w:val="30"/>
              <w:divBdr>
                <w:top w:val="none" w:sz="0" w:space="0" w:color="auto"/>
                <w:left w:val="none" w:sz="0" w:space="0" w:color="auto"/>
                <w:bottom w:val="none" w:sz="0" w:space="0" w:color="auto"/>
                <w:right w:val="none" w:sz="0" w:space="0" w:color="auto"/>
              </w:divBdr>
              <w:divsChild>
                <w:div w:id="23945399">
                  <w:marLeft w:val="0"/>
                  <w:marRight w:val="0"/>
                  <w:marTop w:val="0"/>
                  <w:marBottom w:val="0"/>
                  <w:divBdr>
                    <w:top w:val="none" w:sz="0" w:space="0" w:color="auto"/>
                    <w:left w:val="none" w:sz="0" w:space="0" w:color="auto"/>
                    <w:bottom w:val="none" w:sz="0" w:space="0" w:color="auto"/>
                    <w:right w:val="none" w:sz="0" w:space="0" w:color="auto"/>
                  </w:divBdr>
                  <w:divsChild>
                    <w:div w:id="1137725155">
                      <w:marLeft w:val="0"/>
                      <w:marRight w:val="0"/>
                      <w:marTop w:val="0"/>
                      <w:marBottom w:val="0"/>
                      <w:divBdr>
                        <w:top w:val="none" w:sz="0" w:space="0" w:color="auto"/>
                        <w:left w:val="none" w:sz="0" w:space="0" w:color="auto"/>
                        <w:bottom w:val="none" w:sz="0" w:space="0" w:color="auto"/>
                        <w:right w:val="none" w:sz="0" w:space="0" w:color="auto"/>
                      </w:divBdr>
                    </w:div>
                  </w:divsChild>
                </w:div>
                <w:div w:id="96565791">
                  <w:marLeft w:val="0"/>
                  <w:marRight w:val="0"/>
                  <w:marTop w:val="0"/>
                  <w:marBottom w:val="0"/>
                  <w:divBdr>
                    <w:top w:val="none" w:sz="0" w:space="0" w:color="auto"/>
                    <w:left w:val="none" w:sz="0" w:space="0" w:color="auto"/>
                    <w:bottom w:val="none" w:sz="0" w:space="0" w:color="auto"/>
                    <w:right w:val="none" w:sz="0" w:space="0" w:color="auto"/>
                  </w:divBdr>
                  <w:divsChild>
                    <w:div w:id="2130277010">
                      <w:marLeft w:val="0"/>
                      <w:marRight w:val="0"/>
                      <w:marTop w:val="0"/>
                      <w:marBottom w:val="0"/>
                      <w:divBdr>
                        <w:top w:val="none" w:sz="0" w:space="0" w:color="auto"/>
                        <w:left w:val="none" w:sz="0" w:space="0" w:color="auto"/>
                        <w:bottom w:val="none" w:sz="0" w:space="0" w:color="auto"/>
                        <w:right w:val="none" w:sz="0" w:space="0" w:color="auto"/>
                      </w:divBdr>
                    </w:div>
                  </w:divsChild>
                </w:div>
                <w:div w:id="118303427">
                  <w:marLeft w:val="0"/>
                  <w:marRight w:val="0"/>
                  <w:marTop w:val="0"/>
                  <w:marBottom w:val="0"/>
                  <w:divBdr>
                    <w:top w:val="none" w:sz="0" w:space="0" w:color="auto"/>
                    <w:left w:val="none" w:sz="0" w:space="0" w:color="auto"/>
                    <w:bottom w:val="none" w:sz="0" w:space="0" w:color="auto"/>
                    <w:right w:val="none" w:sz="0" w:space="0" w:color="auto"/>
                  </w:divBdr>
                  <w:divsChild>
                    <w:div w:id="373192379">
                      <w:marLeft w:val="0"/>
                      <w:marRight w:val="0"/>
                      <w:marTop w:val="0"/>
                      <w:marBottom w:val="0"/>
                      <w:divBdr>
                        <w:top w:val="none" w:sz="0" w:space="0" w:color="auto"/>
                        <w:left w:val="none" w:sz="0" w:space="0" w:color="auto"/>
                        <w:bottom w:val="none" w:sz="0" w:space="0" w:color="auto"/>
                        <w:right w:val="none" w:sz="0" w:space="0" w:color="auto"/>
                      </w:divBdr>
                    </w:div>
                  </w:divsChild>
                </w:div>
                <w:div w:id="138573681">
                  <w:marLeft w:val="0"/>
                  <w:marRight w:val="0"/>
                  <w:marTop w:val="0"/>
                  <w:marBottom w:val="0"/>
                  <w:divBdr>
                    <w:top w:val="none" w:sz="0" w:space="0" w:color="auto"/>
                    <w:left w:val="none" w:sz="0" w:space="0" w:color="auto"/>
                    <w:bottom w:val="none" w:sz="0" w:space="0" w:color="auto"/>
                    <w:right w:val="none" w:sz="0" w:space="0" w:color="auto"/>
                  </w:divBdr>
                  <w:divsChild>
                    <w:div w:id="1346899362">
                      <w:marLeft w:val="0"/>
                      <w:marRight w:val="0"/>
                      <w:marTop w:val="0"/>
                      <w:marBottom w:val="0"/>
                      <w:divBdr>
                        <w:top w:val="none" w:sz="0" w:space="0" w:color="auto"/>
                        <w:left w:val="none" w:sz="0" w:space="0" w:color="auto"/>
                        <w:bottom w:val="none" w:sz="0" w:space="0" w:color="auto"/>
                        <w:right w:val="none" w:sz="0" w:space="0" w:color="auto"/>
                      </w:divBdr>
                    </w:div>
                  </w:divsChild>
                </w:div>
                <w:div w:id="161162928">
                  <w:marLeft w:val="0"/>
                  <w:marRight w:val="0"/>
                  <w:marTop w:val="0"/>
                  <w:marBottom w:val="0"/>
                  <w:divBdr>
                    <w:top w:val="none" w:sz="0" w:space="0" w:color="auto"/>
                    <w:left w:val="none" w:sz="0" w:space="0" w:color="auto"/>
                    <w:bottom w:val="none" w:sz="0" w:space="0" w:color="auto"/>
                    <w:right w:val="none" w:sz="0" w:space="0" w:color="auto"/>
                  </w:divBdr>
                  <w:divsChild>
                    <w:div w:id="1425229022">
                      <w:marLeft w:val="0"/>
                      <w:marRight w:val="0"/>
                      <w:marTop w:val="0"/>
                      <w:marBottom w:val="0"/>
                      <w:divBdr>
                        <w:top w:val="none" w:sz="0" w:space="0" w:color="auto"/>
                        <w:left w:val="none" w:sz="0" w:space="0" w:color="auto"/>
                        <w:bottom w:val="none" w:sz="0" w:space="0" w:color="auto"/>
                        <w:right w:val="none" w:sz="0" w:space="0" w:color="auto"/>
                      </w:divBdr>
                    </w:div>
                  </w:divsChild>
                </w:div>
                <w:div w:id="184828068">
                  <w:marLeft w:val="0"/>
                  <w:marRight w:val="0"/>
                  <w:marTop w:val="0"/>
                  <w:marBottom w:val="0"/>
                  <w:divBdr>
                    <w:top w:val="none" w:sz="0" w:space="0" w:color="auto"/>
                    <w:left w:val="none" w:sz="0" w:space="0" w:color="auto"/>
                    <w:bottom w:val="none" w:sz="0" w:space="0" w:color="auto"/>
                    <w:right w:val="none" w:sz="0" w:space="0" w:color="auto"/>
                  </w:divBdr>
                  <w:divsChild>
                    <w:div w:id="1944262788">
                      <w:marLeft w:val="0"/>
                      <w:marRight w:val="0"/>
                      <w:marTop w:val="0"/>
                      <w:marBottom w:val="0"/>
                      <w:divBdr>
                        <w:top w:val="none" w:sz="0" w:space="0" w:color="auto"/>
                        <w:left w:val="none" w:sz="0" w:space="0" w:color="auto"/>
                        <w:bottom w:val="none" w:sz="0" w:space="0" w:color="auto"/>
                        <w:right w:val="none" w:sz="0" w:space="0" w:color="auto"/>
                      </w:divBdr>
                    </w:div>
                  </w:divsChild>
                </w:div>
                <w:div w:id="311644879">
                  <w:marLeft w:val="0"/>
                  <w:marRight w:val="0"/>
                  <w:marTop w:val="0"/>
                  <w:marBottom w:val="0"/>
                  <w:divBdr>
                    <w:top w:val="none" w:sz="0" w:space="0" w:color="auto"/>
                    <w:left w:val="none" w:sz="0" w:space="0" w:color="auto"/>
                    <w:bottom w:val="none" w:sz="0" w:space="0" w:color="auto"/>
                    <w:right w:val="none" w:sz="0" w:space="0" w:color="auto"/>
                  </w:divBdr>
                  <w:divsChild>
                    <w:div w:id="2119325092">
                      <w:marLeft w:val="0"/>
                      <w:marRight w:val="0"/>
                      <w:marTop w:val="0"/>
                      <w:marBottom w:val="0"/>
                      <w:divBdr>
                        <w:top w:val="none" w:sz="0" w:space="0" w:color="auto"/>
                        <w:left w:val="none" w:sz="0" w:space="0" w:color="auto"/>
                        <w:bottom w:val="none" w:sz="0" w:space="0" w:color="auto"/>
                        <w:right w:val="none" w:sz="0" w:space="0" w:color="auto"/>
                      </w:divBdr>
                    </w:div>
                  </w:divsChild>
                </w:div>
                <w:div w:id="314915010">
                  <w:marLeft w:val="0"/>
                  <w:marRight w:val="0"/>
                  <w:marTop w:val="0"/>
                  <w:marBottom w:val="0"/>
                  <w:divBdr>
                    <w:top w:val="none" w:sz="0" w:space="0" w:color="auto"/>
                    <w:left w:val="none" w:sz="0" w:space="0" w:color="auto"/>
                    <w:bottom w:val="none" w:sz="0" w:space="0" w:color="auto"/>
                    <w:right w:val="none" w:sz="0" w:space="0" w:color="auto"/>
                  </w:divBdr>
                  <w:divsChild>
                    <w:div w:id="925306144">
                      <w:marLeft w:val="0"/>
                      <w:marRight w:val="0"/>
                      <w:marTop w:val="0"/>
                      <w:marBottom w:val="0"/>
                      <w:divBdr>
                        <w:top w:val="none" w:sz="0" w:space="0" w:color="auto"/>
                        <w:left w:val="none" w:sz="0" w:space="0" w:color="auto"/>
                        <w:bottom w:val="none" w:sz="0" w:space="0" w:color="auto"/>
                        <w:right w:val="none" w:sz="0" w:space="0" w:color="auto"/>
                      </w:divBdr>
                    </w:div>
                  </w:divsChild>
                </w:div>
                <w:div w:id="320819116">
                  <w:marLeft w:val="0"/>
                  <w:marRight w:val="0"/>
                  <w:marTop w:val="0"/>
                  <w:marBottom w:val="0"/>
                  <w:divBdr>
                    <w:top w:val="none" w:sz="0" w:space="0" w:color="auto"/>
                    <w:left w:val="none" w:sz="0" w:space="0" w:color="auto"/>
                    <w:bottom w:val="none" w:sz="0" w:space="0" w:color="auto"/>
                    <w:right w:val="none" w:sz="0" w:space="0" w:color="auto"/>
                  </w:divBdr>
                  <w:divsChild>
                    <w:div w:id="1375274181">
                      <w:marLeft w:val="0"/>
                      <w:marRight w:val="0"/>
                      <w:marTop w:val="0"/>
                      <w:marBottom w:val="0"/>
                      <w:divBdr>
                        <w:top w:val="none" w:sz="0" w:space="0" w:color="auto"/>
                        <w:left w:val="none" w:sz="0" w:space="0" w:color="auto"/>
                        <w:bottom w:val="none" w:sz="0" w:space="0" w:color="auto"/>
                        <w:right w:val="none" w:sz="0" w:space="0" w:color="auto"/>
                      </w:divBdr>
                    </w:div>
                  </w:divsChild>
                </w:div>
                <w:div w:id="348681698">
                  <w:marLeft w:val="0"/>
                  <w:marRight w:val="0"/>
                  <w:marTop w:val="0"/>
                  <w:marBottom w:val="0"/>
                  <w:divBdr>
                    <w:top w:val="none" w:sz="0" w:space="0" w:color="auto"/>
                    <w:left w:val="none" w:sz="0" w:space="0" w:color="auto"/>
                    <w:bottom w:val="none" w:sz="0" w:space="0" w:color="auto"/>
                    <w:right w:val="none" w:sz="0" w:space="0" w:color="auto"/>
                  </w:divBdr>
                  <w:divsChild>
                    <w:div w:id="838541558">
                      <w:marLeft w:val="0"/>
                      <w:marRight w:val="0"/>
                      <w:marTop w:val="0"/>
                      <w:marBottom w:val="0"/>
                      <w:divBdr>
                        <w:top w:val="none" w:sz="0" w:space="0" w:color="auto"/>
                        <w:left w:val="none" w:sz="0" w:space="0" w:color="auto"/>
                        <w:bottom w:val="none" w:sz="0" w:space="0" w:color="auto"/>
                        <w:right w:val="none" w:sz="0" w:space="0" w:color="auto"/>
                      </w:divBdr>
                    </w:div>
                  </w:divsChild>
                </w:div>
                <w:div w:id="423889301">
                  <w:marLeft w:val="0"/>
                  <w:marRight w:val="0"/>
                  <w:marTop w:val="0"/>
                  <w:marBottom w:val="0"/>
                  <w:divBdr>
                    <w:top w:val="none" w:sz="0" w:space="0" w:color="auto"/>
                    <w:left w:val="none" w:sz="0" w:space="0" w:color="auto"/>
                    <w:bottom w:val="none" w:sz="0" w:space="0" w:color="auto"/>
                    <w:right w:val="none" w:sz="0" w:space="0" w:color="auto"/>
                  </w:divBdr>
                  <w:divsChild>
                    <w:div w:id="676154791">
                      <w:marLeft w:val="0"/>
                      <w:marRight w:val="0"/>
                      <w:marTop w:val="0"/>
                      <w:marBottom w:val="0"/>
                      <w:divBdr>
                        <w:top w:val="none" w:sz="0" w:space="0" w:color="auto"/>
                        <w:left w:val="none" w:sz="0" w:space="0" w:color="auto"/>
                        <w:bottom w:val="none" w:sz="0" w:space="0" w:color="auto"/>
                        <w:right w:val="none" w:sz="0" w:space="0" w:color="auto"/>
                      </w:divBdr>
                    </w:div>
                  </w:divsChild>
                </w:div>
                <w:div w:id="493685525">
                  <w:marLeft w:val="0"/>
                  <w:marRight w:val="0"/>
                  <w:marTop w:val="0"/>
                  <w:marBottom w:val="0"/>
                  <w:divBdr>
                    <w:top w:val="none" w:sz="0" w:space="0" w:color="auto"/>
                    <w:left w:val="none" w:sz="0" w:space="0" w:color="auto"/>
                    <w:bottom w:val="none" w:sz="0" w:space="0" w:color="auto"/>
                    <w:right w:val="none" w:sz="0" w:space="0" w:color="auto"/>
                  </w:divBdr>
                  <w:divsChild>
                    <w:div w:id="205608143">
                      <w:marLeft w:val="0"/>
                      <w:marRight w:val="0"/>
                      <w:marTop w:val="0"/>
                      <w:marBottom w:val="0"/>
                      <w:divBdr>
                        <w:top w:val="none" w:sz="0" w:space="0" w:color="auto"/>
                        <w:left w:val="none" w:sz="0" w:space="0" w:color="auto"/>
                        <w:bottom w:val="none" w:sz="0" w:space="0" w:color="auto"/>
                        <w:right w:val="none" w:sz="0" w:space="0" w:color="auto"/>
                      </w:divBdr>
                    </w:div>
                  </w:divsChild>
                </w:div>
                <w:div w:id="542324602">
                  <w:marLeft w:val="0"/>
                  <w:marRight w:val="0"/>
                  <w:marTop w:val="0"/>
                  <w:marBottom w:val="0"/>
                  <w:divBdr>
                    <w:top w:val="none" w:sz="0" w:space="0" w:color="auto"/>
                    <w:left w:val="none" w:sz="0" w:space="0" w:color="auto"/>
                    <w:bottom w:val="none" w:sz="0" w:space="0" w:color="auto"/>
                    <w:right w:val="none" w:sz="0" w:space="0" w:color="auto"/>
                  </w:divBdr>
                  <w:divsChild>
                    <w:div w:id="1640769086">
                      <w:marLeft w:val="0"/>
                      <w:marRight w:val="0"/>
                      <w:marTop w:val="0"/>
                      <w:marBottom w:val="0"/>
                      <w:divBdr>
                        <w:top w:val="none" w:sz="0" w:space="0" w:color="auto"/>
                        <w:left w:val="none" w:sz="0" w:space="0" w:color="auto"/>
                        <w:bottom w:val="none" w:sz="0" w:space="0" w:color="auto"/>
                        <w:right w:val="none" w:sz="0" w:space="0" w:color="auto"/>
                      </w:divBdr>
                    </w:div>
                  </w:divsChild>
                </w:div>
                <w:div w:id="560024396">
                  <w:marLeft w:val="0"/>
                  <w:marRight w:val="0"/>
                  <w:marTop w:val="0"/>
                  <w:marBottom w:val="0"/>
                  <w:divBdr>
                    <w:top w:val="none" w:sz="0" w:space="0" w:color="auto"/>
                    <w:left w:val="none" w:sz="0" w:space="0" w:color="auto"/>
                    <w:bottom w:val="none" w:sz="0" w:space="0" w:color="auto"/>
                    <w:right w:val="none" w:sz="0" w:space="0" w:color="auto"/>
                  </w:divBdr>
                  <w:divsChild>
                    <w:div w:id="637809008">
                      <w:marLeft w:val="0"/>
                      <w:marRight w:val="0"/>
                      <w:marTop w:val="0"/>
                      <w:marBottom w:val="0"/>
                      <w:divBdr>
                        <w:top w:val="none" w:sz="0" w:space="0" w:color="auto"/>
                        <w:left w:val="none" w:sz="0" w:space="0" w:color="auto"/>
                        <w:bottom w:val="none" w:sz="0" w:space="0" w:color="auto"/>
                        <w:right w:val="none" w:sz="0" w:space="0" w:color="auto"/>
                      </w:divBdr>
                    </w:div>
                  </w:divsChild>
                </w:div>
                <w:div w:id="573780522">
                  <w:marLeft w:val="0"/>
                  <w:marRight w:val="0"/>
                  <w:marTop w:val="0"/>
                  <w:marBottom w:val="0"/>
                  <w:divBdr>
                    <w:top w:val="none" w:sz="0" w:space="0" w:color="auto"/>
                    <w:left w:val="none" w:sz="0" w:space="0" w:color="auto"/>
                    <w:bottom w:val="none" w:sz="0" w:space="0" w:color="auto"/>
                    <w:right w:val="none" w:sz="0" w:space="0" w:color="auto"/>
                  </w:divBdr>
                  <w:divsChild>
                    <w:div w:id="948315002">
                      <w:marLeft w:val="0"/>
                      <w:marRight w:val="0"/>
                      <w:marTop w:val="0"/>
                      <w:marBottom w:val="0"/>
                      <w:divBdr>
                        <w:top w:val="none" w:sz="0" w:space="0" w:color="auto"/>
                        <w:left w:val="none" w:sz="0" w:space="0" w:color="auto"/>
                        <w:bottom w:val="none" w:sz="0" w:space="0" w:color="auto"/>
                        <w:right w:val="none" w:sz="0" w:space="0" w:color="auto"/>
                      </w:divBdr>
                    </w:div>
                  </w:divsChild>
                </w:div>
                <w:div w:id="576398690">
                  <w:marLeft w:val="0"/>
                  <w:marRight w:val="0"/>
                  <w:marTop w:val="0"/>
                  <w:marBottom w:val="0"/>
                  <w:divBdr>
                    <w:top w:val="none" w:sz="0" w:space="0" w:color="auto"/>
                    <w:left w:val="none" w:sz="0" w:space="0" w:color="auto"/>
                    <w:bottom w:val="none" w:sz="0" w:space="0" w:color="auto"/>
                    <w:right w:val="none" w:sz="0" w:space="0" w:color="auto"/>
                  </w:divBdr>
                  <w:divsChild>
                    <w:div w:id="1858348392">
                      <w:marLeft w:val="0"/>
                      <w:marRight w:val="0"/>
                      <w:marTop w:val="0"/>
                      <w:marBottom w:val="0"/>
                      <w:divBdr>
                        <w:top w:val="none" w:sz="0" w:space="0" w:color="auto"/>
                        <w:left w:val="none" w:sz="0" w:space="0" w:color="auto"/>
                        <w:bottom w:val="none" w:sz="0" w:space="0" w:color="auto"/>
                        <w:right w:val="none" w:sz="0" w:space="0" w:color="auto"/>
                      </w:divBdr>
                    </w:div>
                  </w:divsChild>
                </w:div>
                <w:div w:id="677272844">
                  <w:marLeft w:val="0"/>
                  <w:marRight w:val="0"/>
                  <w:marTop w:val="0"/>
                  <w:marBottom w:val="0"/>
                  <w:divBdr>
                    <w:top w:val="none" w:sz="0" w:space="0" w:color="auto"/>
                    <w:left w:val="none" w:sz="0" w:space="0" w:color="auto"/>
                    <w:bottom w:val="none" w:sz="0" w:space="0" w:color="auto"/>
                    <w:right w:val="none" w:sz="0" w:space="0" w:color="auto"/>
                  </w:divBdr>
                  <w:divsChild>
                    <w:div w:id="437681742">
                      <w:marLeft w:val="0"/>
                      <w:marRight w:val="0"/>
                      <w:marTop w:val="0"/>
                      <w:marBottom w:val="0"/>
                      <w:divBdr>
                        <w:top w:val="none" w:sz="0" w:space="0" w:color="auto"/>
                        <w:left w:val="none" w:sz="0" w:space="0" w:color="auto"/>
                        <w:bottom w:val="none" w:sz="0" w:space="0" w:color="auto"/>
                        <w:right w:val="none" w:sz="0" w:space="0" w:color="auto"/>
                      </w:divBdr>
                    </w:div>
                  </w:divsChild>
                </w:div>
                <w:div w:id="705562544">
                  <w:marLeft w:val="0"/>
                  <w:marRight w:val="0"/>
                  <w:marTop w:val="0"/>
                  <w:marBottom w:val="0"/>
                  <w:divBdr>
                    <w:top w:val="none" w:sz="0" w:space="0" w:color="auto"/>
                    <w:left w:val="none" w:sz="0" w:space="0" w:color="auto"/>
                    <w:bottom w:val="none" w:sz="0" w:space="0" w:color="auto"/>
                    <w:right w:val="none" w:sz="0" w:space="0" w:color="auto"/>
                  </w:divBdr>
                  <w:divsChild>
                    <w:div w:id="1754159298">
                      <w:marLeft w:val="0"/>
                      <w:marRight w:val="0"/>
                      <w:marTop w:val="0"/>
                      <w:marBottom w:val="0"/>
                      <w:divBdr>
                        <w:top w:val="none" w:sz="0" w:space="0" w:color="auto"/>
                        <w:left w:val="none" w:sz="0" w:space="0" w:color="auto"/>
                        <w:bottom w:val="none" w:sz="0" w:space="0" w:color="auto"/>
                        <w:right w:val="none" w:sz="0" w:space="0" w:color="auto"/>
                      </w:divBdr>
                    </w:div>
                  </w:divsChild>
                </w:div>
                <w:div w:id="760566924">
                  <w:marLeft w:val="0"/>
                  <w:marRight w:val="0"/>
                  <w:marTop w:val="0"/>
                  <w:marBottom w:val="0"/>
                  <w:divBdr>
                    <w:top w:val="none" w:sz="0" w:space="0" w:color="auto"/>
                    <w:left w:val="none" w:sz="0" w:space="0" w:color="auto"/>
                    <w:bottom w:val="none" w:sz="0" w:space="0" w:color="auto"/>
                    <w:right w:val="none" w:sz="0" w:space="0" w:color="auto"/>
                  </w:divBdr>
                  <w:divsChild>
                    <w:div w:id="1275405165">
                      <w:marLeft w:val="0"/>
                      <w:marRight w:val="0"/>
                      <w:marTop w:val="0"/>
                      <w:marBottom w:val="0"/>
                      <w:divBdr>
                        <w:top w:val="none" w:sz="0" w:space="0" w:color="auto"/>
                        <w:left w:val="none" w:sz="0" w:space="0" w:color="auto"/>
                        <w:bottom w:val="none" w:sz="0" w:space="0" w:color="auto"/>
                        <w:right w:val="none" w:sz="0" w:space="0" w:color="auto"/>
                      </w:divBdr>
                    </w:div>
                  </w:divsChild>
                </w:div>
                <w:div w:id="776406194">
                  <w:marLeft w:val="0"/>
                  <w:marRight w:val="0"/>
                  <w:marTop w:val="0"/>
                  <w:marBottom w:val="0"/>
                  <w:divBdr>
                    <w:top w:val="none" w:sz="0" w:space="0" w:color="auto"/>
                    <w:left w:val="none" w:sz="0" w:space="0" w:color="auto"/>
                    <w:bottom w:val="none" w:sz="0" w:space="0" w:color="auto"/>
                    <w:right w:val="none" w:sz="0" w:space="0" w:color="auto"/>
                  </w:divBdr>
                  <w:divsChild>
                    <w:div w:id="635574308">
                      <w:marLeft w:val="0"/>
                      <w:marRight w:val="0"/>
                      <w:marTop w:val="0"/>
                      <w:marBottom w:val="0"/>
                      <w:divBdr>
                        <w:top w:val="none" w:sz="0" w:space="0" w:color="auto"/>
                        <w:left w:val="none" w:sz="0" w:space="0" w:color="auto"/>
                        <w:bottom w:val="none" w:sz="0" w:space="0" w:color="auto"/>
                        <w:right w:val="none" w:sz="0" w:space="0" w:color="auto"/>
                      </w:divBdr>
                    </w:div>
                  </w:divsChild>
                </w:div>
                <w:div w:id="799957883">
                  <w:marLeft w:val="0"/>
                  <w:marRight w:val="0"/>
                  <w:marTop w:val="0"/>
                  <w:marBottom w:val="0"/>
                  <w:divBdr>
                    <w:top w:val="none" w:sz="0" w:space="0" w:color="auto"/>
                    <w:left w:val="none" w:sz="0" w:space="0" w:color="auto"/>
                    <w:bottom w:val="none" w:sz="0" w:space="0" w:color="auto"/>
                    <w:right w:val="none" w:sz="0" w:space="0" w:color="auto"/>
                  </w:divBdr>
                  <w:divsChild>
                    <w:div w:id="732702077">
                      <w:marLeft w:val="0"/>
                      <w:marRight w:val="0"/>
                      <w:marTop w:val="0"/>
                      <w:marBottom w:val="0"/>
                      <w:divBdr>
                        <w:top w:val="none" w:sz="0" w:space="0" w:color="auto"/>
                        <w:left w:val="none" w:sz="0" w:space="0" w:color="auto"/>
                        <w:bottom w:val="none" w:sz="0" w:space="0" w:color="auto"/>
                        <w:right w:val="none" w:sz="0" w:space="0" w:color="auto"/>
                      </w:divBdr>
                    </w:div>
                  </w:divsChild>
                </w:div>
                <w:div w:id="832718818">
                  <w:marLeft w:val="0"/>
                  <w:marRight w:val="0"/>
                  <w:marTop w:val="0"/>
                  <w:marBottom w:val="0"/>
                  <w:divBdr>
                    <w:top w:val="none" w:sz="0" w:space="0" w:color="auto"/>
                    <w:left w:val="none" w:sz="0" w:space="0" w:color="auto"/>
                    <w:bottom w:val="none" w:sz="0" w:space="0" w:color="auto"/>
                    <w:right w:val="none" w:sz="0" w:space="0" w:color="auto"/>
                  </w:divBdr>
                  <w:divsChild>
                    <w:div w:id="1934893089">
                      <w:marLeft w:val="0"/>
                      <w:marRight w:val="0"/>
                      <w:marTop w:val="0"/>
                      <w:marBottom w:val="0"/>
                      <w:divBdr>
                        <w:top w:val="none" w:sz="0" w:space="0" w:color="auto"/>
                        <w:left w:val="none" w:sz="0" w:space="0" w:color="auto"/>
                        <w:bottom w:val="none" w:sz="0" w:space="0" w:color="auto"/>
                        <w:right w:val="none" w:sz="0" w:space="0" w:color="auto"/>
                      </w:divBdr>
                    </w:div>
                  </w:divsChild>
                </w:div>
                <w:div w:id="868299762">
                  <w:marLeft w:val="0"/>
                  <w:marRight w:val="0"/>
                  <w:marTop w:val="0"/>
                  <w:marBottom w:val="0"/>
                  <w:divBdr>
                    <w:top w:val="none" w:sz="0" w:space="0" w:color="auto"/>
                    <w:left w:val="none" w:sz="0" w:space="0" w:color="auto"/>
                    <w:bottom w:val="none" w:sz="0" w:space="0" w:color="auto"/>
                    <w:right w:val="none" w:sz="0" w:space="0" w:color="auto"/>
                  </w:divBdr>
                  <w:divsChild>
                    <w:div w:id="1090086010">
                      <w:marLeft w:val="0"/>
                      <w:marRight w:val="0"/>
                      <w:marTop w:val="0"/>
                      <w:marBottom w:val="0"/>
                      <w:divBdr>
                        <w:top w:val="none" w:sz="0" w:space="0" w:color="auto"/>
                        <w:left w:val="none" w:sz="0" w:space="0" w:color="auto"/>
                        <w:bottom w:val="none" w:sz="0" w:space="0" w:color="auto"/>
                        <w:right w:val="none" w:sz="0" w:space="0" w:color="auto"/>
                      </w:divBdr>
                    </w:div>
                  </w:divsChild>
                </w:div>
                <w:div w:id="890652581">
                  <w:marLeft w:val="0"/>
                  <w:marRight w:val="0"/>
                  <w:marTop w:val="0"/>
                  <w:marBottom w:val="0"/>
                  <w:divBdr>
                    <w:top w:val="none" w:sz="0" w:space="0" w:color="auto"/>
                    <w:left w:val="none" w:sz="0" w:space="0" w:color="auto"/>
                    <w:bottom w:val="none" w:sz="0" w:space="0" w:color="auto"/>
                    <w:right w:val="none" w:sz="0" w:space="0" w:color="auto"/>
                  </w:divBdr>
                  <w:divsChild>
                    <w:div w:id="1638803353">
                      <w:marLeft w:val="0"/>
                      <w:marRight w:val="0"/>
                      <w:marTop w:val="0"/>
                      <w:marBottom w:val="0"/>
                      <w:divBdr>
                        <w:top w:val="none" w:sz="0" w:space="0" w:color="auto"/>
                        <w:left w:val="none" w:sz="0" w:space="0" w:color="auto"/>
                        <w:bottom w:val="none" w:sz="0" w:space="0" w:color="auto"/>
                        <w:right w:val="none" w:sz="0" w:space="0" w:color="auto"/>
                      </w:divBdr>
                    </w:div>
                  </w:divsChild>
                </w:div>
                <w:div w:id="891961992">
                  <w:marLeft w:val="0"/>
                  <w:marRight w:val="0"/>
                  <w:marTop w:val="0"/>
                  <w:marBottom w:val="0"/>
                  <w:divBdr>
                    <w:top w:val="none" w:sz="0" w:space="0" w:color="auto"/>
                    <w:left w:val="none" w:sz="0" w:space="0" w:color="auto"/>
                    <w:bottom w:val="none" w:sz="0" w:space="0" w:color="auto"/>
                    <w:right w:val="none" w:sz="0" w:space="0" w:color="auto"/>
                  </w:divBdr>
                  <w:divsChild>
                    <w:div w:id="992100631">
                      <w:marLeft w:val="0"/>
                      <w:marRight w:val="0"/>
                      <w:marTop w:val="0"/>
                      <w:marBottom w:val="0"/>
                      <w:divBdr>
                        <w:top w:val="none" w:sz="0" w:space="0" w:color="auto"/>
                        <w:left w:val="none" w:sz="0" w:space="0" w:color="auto"/>
                        <w:bottom w:val="none" w:sz="0" w:space="0" w:color="auto"/>
                        <w:right w:val="none" w:sz="0" w:space="0" w:color="auto"/>
                      </w:divBdr>
                    </w:div>
                  </w:divsChild>
                </w:div>
                <w:div w:id="934825327">
                  <w:marLeft w:val="0"/>
                  <w:marRight w:val="0"/>
                  <w:marTop w:val="0"/>
                  <w:marBottom w:val="0"/>
                  <w:divBdr>
                    <w:top w:val="none" w:sz="0" w:space="0" w:color="auto"/>
                    <w:left w:val="none" w:sz="0" w:space="0" w:color="auto"/>
                    <w:bottom w:val="none" w:sz="0" w:space="0" w:color="auto"/>
                    <w:right w:val="none" w:sz="0" w:space="0" w:color="auto"/>
                  </w:divBdr>
                  <w:divsChild>
                    <w:div w:id="129980116">
                      <w:marLeft w:val="0"/>
                      <w:marRight w:val="0"/>
                      <w:marTop w:val="0"/>
                      <w:marBottom w:val="0"/>
                      <w:divBdr>
                        <w:top w:val="none" w:sz="0" w:space="0" w:color="auto"/>
                        <w:left w:val="none" w:sz="0" w:space="0" w:color="auto"/>
                        <w:bottom w:val="none" w:sz="0" w:space="0" w:color="auto"/>
                        <w:right w:val="none" w:sz="0" w:space="0" w:color="auto"/>
                      </w:divBdr>
                    </w:div>
                  </w:divsChild>
                </w:div>
                <w:div w:id="1048070881">
                  <w:marLeft w:val="0"/>
                  <w:marRight w:val="0"/>
                  <w:marTop w:val="0"/>
                  <w:marBottom w:val="0"/>
                  <w:divBdr>
                    <w:top w:val="none" w:sz="0" w:space="0" w:color="auto"/>
                    <w:left w:val="none" w:sz="0" w:space="0" w:color="auto"/>
                    <w:bottom w:val="none" w:sz="0" w:space="0" w:color="auto"/>
                    <w:right w:val="none" w:sz="0" w:space="0" w:color="auto"/>
                  </w:divBdr>
                  <w:divsChild>
                    <w:div w:id="705832367">
                      <w:marLeft w:val="0"/>
                      <w:marRight w:val="0"/>
                      <w:marTop w:val="0"/>
                      <w:marBottom w:val="0"/>
                      <w:divBdr>
                        <w:top w:val="none" w:sz="0" w:space="0" w:color="auto"/>
                        <w:left w:val="none" w:sz="0" w:space="0" w:color="auto"/>
                        <w:bottom w:val="none" w:sz="0" w:space="0" w:color="auto"/>
                        <w:right w:val="none" w:sz="0" w:space="0" w:color="auto"/>
                      </w:divBdr>
                    </w:div>
                  </w:divsChild>
                </w:div>
                <w:div w:id="1085495154">
                  <w:marLeft w:val="0"/>
                  <w:marRight w:val="0"/>
                  <w:marTop w:val="0"/>
                  <w:marBottom w:val="0"/>
                  <w:divBdr>
                    <w:top w:val="none" w:sz="0" w:space="0" w:color="auto"/>
                    <w:left w:val="none" w:sz="0" w:space="0" w:color="auto"/>
                    <w:bottom w:val="none" w:sz="0" w:space="0" w:color="auto"/>
                    <w:right w:val="none" w:sz="0" w:space="0" w:color="auto"/>
                  </w:divBdr>
                  <w:divsChild>
                    <w:div w:id="163710114">
                      <w:marLeft w:val="0"/>
                      <w:marRight w:val="0"/>
                      <w:marTop w:val="0"/>
                      <w:marBottom w:val="0"/>
                      <w:divBdr>
                        <w:top w:val="none" w:sz="0" w:space="0" w:color="auto"/>
                        <w:left w:val="none" w:sz="0" w:space="0" w:color="auto"/>
                        <w:bottom w:val="none" w:sz="0" w:space="0" w:color="auto"/>
                        <w:right w:val="none" w:sz="0" w:space="0" w:color="auto"/>
                      </w:divBdr>
                    </w:div>
                  </w:divsChild>
                </w:div>
                <w:div w:id="1194608429">
                  <w:marLeft w:val="0"/>
                  <w:marRight w:val="0"/>
                  <w:marTop w:val="0"/>
                  <w:marBottom w:val="0"/>
                  <w:divBdr>
                    <w:top w:val="none" w:sz="0" w:space="0" w:color="auto"/>
                    <w:left w:val="none" w:sz="0" w:space="0" w:color="auto"/>
                    <w:bottom w:val="none" w:sz="0" w:space="0" w:color="auto"/>
                    <w:right w:val="none" w:sz="0" w:space="0" w:color="auto"/>
                  </w:divBdr>
                  <w:divsChild>
                    <w:div w:id="1881938457">
                      <w:marLeft w:val="0"/>
                      <w:marRight w:val="0"/>
                      <w:marTop w:val="0"/>
                      <w:marBottom w:val="0"/>
                      <w:divBdr>
                        <w:top w:val="none" w:sz="0" w:space="0" w:color="auto"/>
                        <w:left w:val="none" w:sz="0" w:space="0" w:color="auto"/>
                        <w:bottom w:val="none" w:sz="0" w:space="0" w:color="auto"/>
                        <w:right w:val="none" w:sz="0" w:space="0" w:color="auto"/>
                      </w:divBdr>
                    </w:div>
                  </w:divsChild>
                </w:div>
                <w:div w:id="1200363207">
                  <w:marLeft w:val="0"/>
                  <w:marRight w:val="0"/>
                  <w:marTop w:val="0"/>
                  <w:marBottom w:val="0"/>
                  <w:divBdr>
                    <w:top w:val="none" w:sz="0" w:space="0" w:color="auto"/>
                    <w:left w:val="none" w:sz="0" w:space="0" w:color="auto"/>
                    <w:bottom w:val="none" w:sz="0" w:space="0" w:color="auto"/>
                    <w:right w:val="none" w:sz="0" w:space="0" w:color="auto"/>
                  </w:divBdr>
                  <w:divsChild>
                    <w:div w:id="615599018">
                      <w:marLeft w:val="0"/>
                      <w:marRight w:val="0"/>
                      <w:marTop w:val="0"/>
                      <w:marBottom w:val="0"/>
                      <w:divBdr>
                        <w:top w:val="none" w:sz="0" w:space="0" w:color="auto"/>
                        <w:left w:val="none" w:sz="0" w:space="0" w:color="auto"/>
                        <w:bottom w:val="none" w:sz="0" w:space="0" w:color="auto"/>
                        <w:right w:val="none" w:sz="0" w:space="0" w:color="auto"/>
                      </w:divBdr>
                    </w:div>
                  </w:divsChild>
                </w:div>
                <w:div w:id="1316835165">
                  <w:marLeft w:val="0"/>
                  <w:marRight w:val="0"/>
                  <w:marTop w:val="0"/>
                  <w:marBottom w:val="0"/>
                  <w:divBdr>
                    <w:top w:val="none" w:sz="0" w:space="0" w:color="auto"/>
                    <w:left w:val="none" w:sz="0" w:space="0" w:color="auto"/>
                    <w:bottom w:val="none" w:sz="0" w:space="0" w:color="auto"/>
                    <w:right w:val="none" w:sz="0" w:space="0" w:color="auto"/>
                  </w:divBdr>
                  <w:divsChild>
                    <w:div w:id="1157917328">
                      <w:marLeft w:val="0"/>
                      <w:marRight w:val="0"/>
                      <w:marTop w:val="0"/>
                      <w:marBottom w:val="0"/>
                      <w:divBdr>
                        <w:top w:val="none" w:sz="0" w:space="0" w:color="auto"/>
                        <w:left w:val="none" w:sz="0" w:space="0" w:color="auto"/>
                        <w:bottom w:val="none" w:sz="0" w:space="0" w:color="auto"/>
                        <w:right w:val="none" w:sz="0" w:space="0" w:color="auto"/>
                      </w:divBdr>
                    </w:div>
                  </w:divsChild>
                </w:div>
                <w:div w:id="1325862818">
                  <w:marLeft w:val="0"/>
                  <w:marRight w:val="0"/>
                  <w:marTop w:val="0"/>
                  <w:marBottom w:val="0"/>
                  <w:divBdr>
                    <w:top w:val="none" w:sz="0" w:space="0" w:color="auto"/>
                    <w:left w:val="none" w:sz="0" w:space="0" w:color="auto"/>
                    <w:bottom w:val="none" w:sz="0" w:space="0" w:color="auto"/>
                    <w:right w:val="none" w:sz="0" w:space="0" w:color="auto"/>
                  </w:divBdr>
                  <w:divsChild>
                    <w:div w:id="1542402857">
                      <w:marLeft w:val="0"/>
                      <w:marRight w:val="0"/>
                      <w:marTop w:val="0"/>
                      <w:marBottom w:val="0"/>
                      <w:divBdr>
                        <w:top w:val="none" w:sz="0" w:space="0" w:color="auto"/>
                        <w:left w:val="none" w:sz="0" w:space="0" w:color="auto"/>
                        <w:bottom w:val="none" w:sz="0" w:space="0" w:color="auto"/>
                        <w:right w:val="none" w:sz="0" w:space="0" w:color="auto"/>
                      </w:divBdr>
                    </w:div>
                  </w:divsChild>
                </w:div>
                <w:div w:id="1381514562">
                  <w:marLeft w:val="0"/>
                  <w:marRight w:val="0"/>
                  <w:marTop w:val="0"/>
                  <w:marBottom w:val="0"/>
                  <w:divBdr>
                    <w:top w:val="none" w:sz="0" w:space="0" w:color="auto"/>
                    <w:left w:val="none" w:sz="0" w:space="0" w:color="auto"/>
                    <w:bottom w:val="none" w:sz="0" w:space="0" w:color="auto"/>
                    <w:right w:val="none" w:sz="0" w:space="0" w:color="auto"/>
                  </w:divBdr>
                  <w:divsChild>
                    <w:div w:id="1749837566">
                      <w:marLeft w:val="0"/>
                      <w:marRight w:val="0"/>
                      <w:marTop w:val="0"/>
                      <w:marBottom w:val="0"/>
                      <w:divBdr>
                        <w:top w:val="none" w:sz="0" w:space="0" w:color="auto"/>
                        <w:left w:val="none" w:sz="0" w:space="0" w:color="auto"/>
                        <w:bottom w:val="none" w:sz="0" w:space="0" w:color="auto"/>
                        <w:right w:val="none" w:sz="0" w:space="0" w:color="auto"/>
                      </w:divBdr>
                    </w:div>
                  </w:divsChild>
                </w:div>
                <w:div w:id="1410300680">
                  <w:marLeft w:val="0"/>
                  <w:marRight w:val="0"/>
                  <w:marTop w:val="0"/>
                  <w:marBottom w:val="0"/>
                  <w:divBdr>
                    <w:top w:val="none" w:sz="0" w:space="0" w:color="auto"/>
                    <w:left w:val="none" w:sz="0" w:space="0" w:color="auto"/>
                    <w:bottom w:val="none" w:sz="0" w:space="0" w:color="auto"/>
                    <w:right w:val="none" w:sz="0" w:space="0" w:color="auto"/>
                  </w:divBdr>
                  <w:divsChild>
                    <w:div w:id="184903119">
                      <w:marLeft w:val="0"/>
                      <w:marRight w:val="0"/>
                      <w:marTop w:val="0"/>
                      <w:marBottom w:val="0"/>
                      <w:divBdr>
                        <w:top w:val="none" w:sz="0" w:space="0" w:color="auto"/>
                        <w:left w:val="none" w:sz="0" w:space="0" w:color="auto"/>
                        <w:bottom w:val="none" w:sz="0" w:space="0" w:color="auto"/>
                        <w:right w:val="none" w:sz="0" w:space="0" w:color="auto"/>
                      </w:divBdr>
                    </w:div>
                  </w:divsChild>
                </w:div>
                <w:div w:id="1427111939">
                  <w:marLeft w:val="0"/>
                  <w:marRight w:val="0"/>
                  <w:marTop w:val="0"/>
                  <w:marBottom w:val="0"/>
                  <w:divBdr>
                    <w:top w:val="none" w:sz="0" w:space="0" w:color="auto"/>
                    <w:left w:val="none" w:sz="0" w:space="0" w:color="auto"/>
                    <w:bottom w:val="none" w:sz="0" w:space="0" w:color="auto"/>
                    <w:right w:val="none" w:sz="0" w:space="0" w:color="auto"/>
                  </w:divBdr>
                  <w:divsChild>
                    <w:div w:id="414938529">
                      <w:marLeft w:val="0"/>
                      <w:marRight w:val="0"/>
                      <w:marTop w:val="0"/>
                      <w:marBottom w:val="0"/>
                      <w:divBdr>
                        <w:top w:val="none" w:sz="0" w:space="0" w:color="auto"/>
                        <w:left w:val="none" w:sz="0" w:space="0" w:color="auto"/>
                        <w:bottom w:val="none" w:sz="0" w:space="0" w:color="auto"/>
                        <w:right w:val="none" w:sz="0" w:space="0" w:color="auto"/>
                      </w:divBdr>
                    </w:div>
                  </w:divsChild>
                </w:div>
                <w:div w:id="1466893653">
                  <w:marLeft w:val="0"/>
                  <w:marRight w:val="0"/>
                  <w:marTop w:val="0"/>
                  <w:marBottom w:val="0"/>
                  <w:divBdr>
                    <w:top w:val="none" w:sz="0" w:space="0" w:color="auto"/>
                    <w:left w:val="none" w:sz="0" w:space="0" w:color="auto"/>
                    <w:bottom w:val="none" w:sz="0" w:space="0" w:color="auto"/>
                    <w:right w:val="none" w:sz="0" w:space="0" w:color="auto"/>
                  </w:divBdr>
                  <w:divsChild>
                    <w:div w:id="1794863705">
                      <w:marLeft w:val="0"/>
                      <w:marRight w:val="0"/>
                      <w:marTop w:val="0"/>
                      <w:marBottom w:val="0"/>
                      <w:divBdr>
                        <w:top w:val="none" w:sz="0" w:space="0" w:color="auto"/>
                        <w:left w:val="none" w:sz="0" w:space="0" w:color="auto"/>
                        <w:bottom w:val="none" w:sz="0" w:space="0" w:color="auto"/>
                        <w:right w:val="none" w:sz="0" w:space="0" w:color="auto"/>
                      </w:divBdr>
                    </w:div>
                  </w:divsChild>
                </w:div>
                <w:div w:id="1555434510">
                  <w:marLeft w:val="0"/>
                  <w:marRight w:val="0"/>
                  <w:marTop w:val="0"/>
                  <w:marBottom w:val="0"/>
                  <w:divBdr>
                    <w:top w:val="none" w:sz="0" w:space="0" w:color="auto"/>
                    <w:left w:val="none" w:sz="0" w:space="0" w:color="auto"/>
                    <w:bottom w:val="none" w:sz="0" w:space="0" w:color="auto"/>
                    <w:right w:val="none" w:sz="0" w:space="0" w:color="auto"/>
                  </w:divBdr>
                  <w:divsChild>
                    <w:div w:id="1150251749">
                      <w:marLeft w:val="0"/>
                      <w:marRight w:val="0"/>
                      <w:marTop w:val="0"/>
                      <w:marBottom w:val="0"/>
                      <w:divBdr>
                        <w:top w:val="none" w:sz="0" w:space="0" w:color="auto"/>
                        <w:left w:val="none" w:sz="0" w:space="0" w:color="auto"/>
                        <w:bottom w:val="none" w:sz="0" w:space="0" w:color="auto"/>
                        <w:right w:val="none" w:sz="0" w:space="0" w:color="auto"/>
                      </w:divBdr>
                    </w:div>
                  </w:divsChild>
                </w:div>
                <w:div w:id="1599488568">
                  <w:marLeft w:val="0"/>
                  <w:marRight w:val="0"/>
                  <w:marTop w:val="0"/>
                  <w:marBottom w:val="0"/>
                  <w:divBdr>
                    <w:top w:val="none" w:sz="0" w:space="0" w:color="auto"/>
                    <w:left w:val="none" w:sz="0" w:space="0" w:color="auto"/>
                    <w:bottom w:val="none" w:sz="0" w:space="0" w:color="auto"/>
                    <w:right w:val="none" w:sz="0" w:space="0" w:color="auto"/>
                  </w:divBdr>
                  <w:divsChild>
                    <w:div w:id="1541894761">
                      <w:marLeft w:val="0"/>
                      <w:marRight w:val="0"/>
                      <w:marTop w:val="0"/>
                      <w:marBottom w:val="0"/>
                      <w:divBdr>
                        <w:top w:val="none" w:sz="0" w:space="0" w:color="auto"/>
                        <w:left w:val="none" w:sz="0" w:space="0" w:color="auto"/>
                        <w:bottom w:val="none" w:sz="0" w:space="0" w:color="auto"/>
                        <w:right w:val="none" w:sz="0" w:space="0" w:color="auto"/>
                      </w:divBdr>
                    </w:div>
                  </w:divsChild>
                </w:div>
                <w:div w:id="1721831066">
                  <w:marLeft w:val="0"/>
                  <w:marRight w:val="0"/>
                  <w:marTop w:val="0"/>
                  <w:marBottom w:val="0"/>
                  <w:divBdr>
                    <w:top w:val="none" w:sz="0" w:space="0" w:color="auto"/>
                    <w:left w:val="none" w:sz="0" w:space="0" w:color="auto"/>
                    <w:bottom w:val="none" w:sz="0" w:space="0" w:color="auto"/>
                    <w:right w:val="none" w:sz="0" w:space="0" w:color="auto"/>
                  </w:divBdr>
                  <w:divsChild>
                    <w:div w:id="1708410187">
                      <w:marLeft w:val="0"/>
                      <w:marRight w:val="0"/>
                      <w:marTop w:val="0"/>
                      <w:marBottom w:val="0"/>
                      <w:divBdr>
                        <w:top w:val="none" w:sz="0" w:space="0" w:color="auto"/>
                        <w:left w:val="none" w:sz="0" w:space="0" w:color="auto"/>
                        <w:bottom w:val="none" w:sz="0" w:space="0" w:color="auto"/>
                        <w:right w:val="none" w:sz="0" w:space="0" w:color="auto"/>
                      </w:divBdr>
                    </w:div>
                  </w:divsChild>
                </w:div>
                <w:div w:id="1757827382">
                  <w:marLeft w:val="0"/>
                  <w:marRight w:val="0"/>
                  <w:marTop w:val="0"/>
                  <w:marBottom w:val="0"/>
                  <w:divBdr>
                    <w:top w:val="none" w:sz="0" w:space="0" w:color="auto"/>
                    <w:left w:val="none" w:sz="0" w:space="0" w:color="auto"/>
                    <w:bottom w:val="none" w:sz="0" w:space="0" w:color="auto"/>
                    <w:right w:val="none" w:sz="0" w:space="0" w:color="auto"/>
                  </w:divBdr>
                  <w:divsChild>
                    <w:div w:id="154490475">
                      <w:marLeft w:val="0"/>
                      <w:marRight w:val="0"/>
                      <w:marTop w:val="0"/>
                      <w:marBottom w:val="0"/>
                      <w:divBdr>
                        <w:top w:val="none" w:sz="0" w:space="0" w:color="auto"/>
                        <w:left w:val="none" w:sz="0" w:space="0" w:color="auto"/>
                        <w:bottom w:val="none" w:sz="0" w:space="0" w:color="auto"/>
                        <w:right w:val="none" w:sz="0" w:space="0" w:color="auto"/>
                      </w:divBdr>
                    </w:div>
                  </w:divsChild>
                </w:div>
                <w:div w:id="1803302905">
                  <w:marLeft w:val="0"/>
                  <w:marRight w:val="0"/>
                  <w:marTop w:val="0"/>
                  <w:marBottom w:val="0"/>
                  <w:divBdr>
                    <w:top w:val="none" w:sz="0" w:space="0" w:color="auto"/>
                    <w:left w:val="none" w:sz="0" w:space="0" w:color="auto"/>
                    <w:bottom w:val="none" w:sz="0" w:space="0" w:color="auto"/>
                    <w:right w:val="none" w:sz="0" w:space="0" w:color="auto"/>
                  </w:divBdr>
                  <w:divsChild>
                    <w:div w:id="1820347483">
                      <w:marLeft w:val="0"/>
                      <w:marRight w:val="0"/>
                      <w:marTop w:val="0"/>
                      <w:marBottom w:val="0"/>
                      <w:divBdr>
                        <w:top w:val="none" w:sz="0" w:space="0" w:color="auto"/>
                        <w:left w:val="none" w:sz="0" w:space="0" w:color="auto"/>
                        <w:bottom w:val="none" w:sz="0" w:space="0" w:color="auto"/>
                        <w:right w:val="none" w:sz="0" w:space="0" w:color="auto"/>
                      </w:divBdr>
                    </w:div>
                  </w:divsChild>
                </w:div>
                <w:div w:id="1815371121">
                  <w:marLeft w:val="0"/>
                  <w:marRight w:val="0"/>
                  <w:marTop w:val="0"/>
                  <w:marBottom w:val="0"/>
                  <w:divBdr>
                    <w:top w:val="none" w:sz="0" w:space="0" w:color="auto"/>
                    <w:left w:val="none" w:sz="0" w:space="0" w:color="auto"/>
                    <w:bottom w:val="none" w:sz="0" w:space="0" w:color="auto"/>
                    <w:right w:val="none" w:sz="0" w:space="0" w:color="auto"/>
                  </w:divBdr>
                  <w:divsChild>
                    <w:div w:id="1744065101">
                      <w:marLeft w:val="0"/>
                      <w:marRight w:val="0"/>
                      <w:marTop w:val="0"/>
                      <w:marBottom w:val="0"/>
                      <w:divBdr>
                        <w:top w:val="none" w:sz="0" w:space="0" w:color="auto"/>
                        <w:left w:val="none" w:sz="0" w:space="0" w:color="auto"/>
                        <w:bottom w:val="none" w:sz="0" w:space="0" w:color="auto"/>
                        <w:right w:val="none" w:sz="0" w:space="0" w:color="auto"/>
                      </w:divBdr>
                    </w:div>
                  </w:divsChild>
                </w:div>
                <w:div w:id="1821967660">
                  <w:marLeft w:val="0"/>
                  <w:marRight w:val="0"/>
                  <w:marTop w:val="0"/>
                  <w:marBottom w:val="0"/>
                  <w:divBdr>
                    <w:top w:val="none" w:sz="0" w:space="0" w:color="auto"/>
                    <w:left w:val="none" w:sz="0" w:space="0" w:color="auto"/>
                    <w:bottom w:val="none" w:sz="0" w:space="0" w:color="auto"/>
                    <w:right w:val="none" w:sz="0" w:space="0" w:color="auto"/>
                  </w:divBdr>
                  <w:divsChild>
                    <w:div w:id="5981298">
                      <w:marLeft w:val="0"/>
                      <w:marRight w:val="0"/>
                      <w:marTop w:val="0"/>
                      <w:marBottom w:val="0"/>
                      <w:divBdr>
                        <w:top w:val="none" w:sz="0" w:space="0" w:color="auto"/>
                        <w:left w:val="none" w:sz="0" w:space="0" w:color="auto"/>
                        <w:bottom w:val="none" w:sz="0" w:space="0" w:color="auto"/>
                        <w:right w:val="none" w:sz="0" w:space="0" w:color="auto"/>
                      </w:divBdr>
                    </w:div>
                  </w:divsChild>
                </w:div>
                <w:div w:id="1892770092">
                  <w:marLeft w:val="0"/>
                  <w:marRight w:val="0"/>
                  <w:marTop w:val="0"/>
                  <w:marBottom w:val="0"/>
                  <w:divBdr>
                    <w:top w:val="none" w:sz="0" w:space="0" w:color="auto"/>
                    <w:left w:val="none" w:sz="0" w:space="0" w:color="auto"/>
                    <w:bottom w:val="none" w:sz="0" w:space="0" w:color="auto"/>
                    <w:right w:val="none" w:sz="0" w:space="0" w:color="auto"/>
                  </w:divBdr>
                  <w:divsChild>
                    <w:div w:id="948396105">
                      <w:marLeft w:val="0"/>
                      <w:marRight w:val="0"/>
                      <w:marTop w:val="0"/>
                      <w:marBottom w:val="0"/>
                      <w:divBdr>
                        <w:top w:val="none" w:sz="0" w:space="0" w:color="auto"/>
                        <w:left w:val="none" w:sz="0" w:space="0" w:color="auto"/>
                        <w:bottom w:val="none" w:sz="0" w:space="0" w:color="auto"/>
                        <w:right w:val="none" w:sz="0" w:space="0" w:color="auto"/>
                      </w:divBdr>
                    </w:div>
                  </w:divsChild>
                </w:div>
                <w:div w:id="1894541444">
                  <w:marLeft w:val="0"/>
                  <w:marRight w:val="0"/>
                  <w:marTop w:val="0"/>
                  <w:marBottom w:val="0"/>
                  <w:divBdr>
                    <w:top w:val="none" w:sz="0" w:space="0" w:color="auto"/>
                    <w:left w:val="none" w:sz="0" w:space="0" w:color="auto"/>
                    <w:bottom w:val="none" w:sz="0" w:space="0" w:color="auto"/>
                    <w:right w:val="none" w:sz="0" w:space="0" w:color="auto"/>
                  </w:divBdr>
                  <w:divsChild>
                    <w:div w:id="1674139257">
                      <w:marLeft w:val="0"/>
                      <w:marRight w:val="0"/>
                      <w:marTop w:val="0"/>
                      <w:marBottom w:val="0"/>
                      <w:divBdr>
                        <w:top w:val="none" w:sz="0" w:space="0" w:color="auto"/>
                        <w:left w:val="none" w:sz="0" w:space="0" w:color="auto"/>
                        <w:bottom w:val="none" w:sz="0" w:space="0" w:color="auto"/>
                        <w:right w:val="none" w:sz="0" w:space="0" w:color="auto"/>
                      </w:divBdr>
                    </w:div>
                  </w:divsChild>
                </w:div>
                <w:div w:id="1898395572">
                  <w:marLeft w:val="0"/>
                  <w:marRight w:val="0"/>
                  <w:marTop w:val="0"/>
                  <w:marBottom w:val="0"/>
                  <w:divBdr>
                    <w:top w:val="none" w:sz="0" w:space="0" w:color="auto"/>
                    <w:left w:val="none" w:sz="0" w:space="0" w:color="auto"/>
                    <w:bottom w:val="none" w:sz="0" w:space="0" w:color="auto"/>
                    <w:right w:val="none" w:sz="0" w:space="0" w:color="auto"/>
                  </w:divBdr>
                  <w:divsChild>
                    <w:div w:id="981541430">
                      <w:marLeft w:val="0"/>
                      <w:marRight w:val="0"/>
                      <w:marTop w:val="0"/>
                      <w:marBottom w:val="0"/>
                      <w:divBdr>
                        <w:top w:val="none" w:sz="0" w:space="0" w:color="auto"/>
                        <w:left w:val="none" w:sz="0" w:space="0" w:color="auto"/>
                        <w:bottom w:val="none" w:sz="0" w:space="0" w:color="auto"/>
                        <w:right w:val="none" w:sz="0" w:space="0" w:color="auto"/>
                      </w:divBdr>
                    </w:div>
                  </w:divsChild>
                </w:div>
                <w:div w:id="1900558208">
                  <w:marLeft w:val="0"/>
                  <w:marRight w:val="0"/>
                  <w:marTop w:val="0"/>
                  <w:marBottom w:val="0"/>
                  <w:divBdr>
                    <w:top w:val="none" w:sz="0" w:space="0" w:color="auto"/>
                    <w:left w:val="none" w:sz="0" w:space="0" w:color="auto"/>
                    <w:bottom w:val="none" w:sz="0" w:space="0" w:color="auto"/>
                    <w:right w:val="none" w:sz="0" w:space="0" w:color="auto"/>
                  </w:divBdr>
                  <w:divsChild>
                    <w:div w:id="757751577">
                      <w:marLeft w:val="0"/>
                      <w:marRight w:val="0"/>
                      <w:marTop w:val="0"/>
                      <w:marBottom w:val="0"/>
                      <w:divBdr>
                        <w:top w:val="none" w:sz="0" w:space="0" w:color="auto"/>
                        <w:left w:val="none" w:sz="0" w:space="0" w:color="auto"/>
                        <w:bottom w:val="none" w:sz="0" w:space="0" w:color="auto"/>
                        <w:right w:val="none" w:sz="0" w:space="0" w:color="auto"/>
                      </w:divBdr>
                    </w:div>
                  </w:divsChild>
                </w:div>
                <w:div w:id="1933246717">
                  <w:marLeft w:val="0"/>
                  <w:marRight w:val="0"/>
                  <w:marTop w:val="0"/>
                  <w:marBottom w:val="0"/>
                  <w:divBdr>
                    <w:top w:val="none" w:sz="0" w:space="0" w:color="auto"/>
                    <w:left w:val="none" w:sz="0" w:space="0" w:color="auto"/>
                    <w:bottom w:val="none" w:sz="0" w:space="0" w:color="auto"/>
                    <w:right w:val="none" w:sz="0" w:space="0" w:color="auto"/>
                  </w:divBdr>
                  <w:divsChild>
                    <w:div w:id="250238791">
                      <w:marLeft w:val="0"/>
                      <w:marRight w:val="0"/>
                      <w:marTop w:val="0"/>
                      <w:marBottom w:val="0"/>
                      <w:divBdr>
                        <w:top w:val="none" w:sz="0" w:space="0" w:color="auto"/>
                        <w:left w:val="none" w:sz="0" w:space="0" w:color="auto"/>
                        <w:bottom w:val="none" w:sz="0" w:space="0" w:color="auto"/>
                        <w:right w:val="none" w:sz="0" w:space="0" w:color="auto"/>
                      </w:divBdr>
                    </w:div>
                  </w:divsChild>
                </w:div>
                <w:div w:id="1947689383">
                  <w:marLeft w:val="0"/>
                  <w:marRight w:val="0"/>
                  <w:marTop w:val="0"/>
                  <w:marBottom w:val="0"/>
                  <w:divBdr>
                    <w:top w:val="none" w:sz="0" w:space="0" w:color="auto"/>
                    <w:left w:val="none" w:sz="0" w:space="0" w:color="auto"/>
                    <w:bottom w:val="none" w:sz="0" w:space="0" w:color="auto"/>
                    <w:right w:val="none" w:sz="0" w:space="0" w:color="auto"/>
                  </w:divBdr>
                  <w:divsChild>
                    <w:div w:id="815683586">
                      <w:marLeft w:val="0"/>
                      <w:marRight w:val="0"/>
                      <w:marTop w:val="0"/>
                      <w:marBottom w:val="0"/>
                      <w:divBdr>
                        <w:top w:val="none" w:sz="0" w:space="0" w:color="auto"/>
                        <w:left w:val="none" w:sz="0" w:space="0" w:color="auto"/>
                        <w:bottom w:val="none" w:sz="0" w:space="0" w:color="auto"/>
                        <w:right w:val="none" w:sz="0" w:space="0" w:color="auto"/>
                      </w:divBdr>
                    </w:div>
                  </w:divsChild>
                </w:div>
                <w:div w:id="1959985764">
                  <w:marLeft w:val="0"/>
                  <w:marRight w:val="0"/>
                  <w:marTop w:val="0"/>
                  <w:marBottom w:val="0"/>
                  <w:divBdr>
                    <w:top w:val="none" w:sz="0" w:space="0" w:color="auto"/>
                    <w:left w:val="none" w:sz="0" w:space="0" w:color="auto"/>
                    <w:bottom w:val="none" w:sz="0" w:space="0" w:color="auto"/>
                    <w:right w:val="none" w:sz="0" w:space="0" w:color="auto"/>
                  </w:divBdr>
                  <w:divsChild>
                    <w:div w:id="1243874911">
                      <w:marLeft w:val="0"/>
                      <w:marRight w:val="0"/>
                      <w:marTop w:val="0"/>
                      <w:marBottom w:val="0"/>
                      <w:divBdr>
                        <w:top w:val="none" w:sz="0" w:space="0" w:color="auto"/>
                        <w:left w:val="none" w:sz="0" w:space="0" w:color="auto"/>
                        <w:bottom w:val="none" w:sz="0" w:space="0" w:color="auto"/>
                        <w:right w:val="none" w:sz="0" w:space="0" w:color="auto"/>
                      </w:divBdr>
                    </w:div>
                  </w:divsChild>
                </w:div>
                <w:div w:id="1968781170">
                  <w:marLeft w:val="0"/>
                  <w:marRight w:val="0"/>
                  <w:marTop w:val="0"/>
                  <w:marBottom w:val="0"/>
                  <w:divBdr>
                    <w:top w:val="none" w:sz="0" w:space="0" w:color="auto"/>
                    <w:left w:val="none" w:sz="0" w:space="0" w:color="auto"/>
                    <w:bottom w:val="none" w:sz="0" w:space="0" w:color="auto"/>
                    <w:right w:val="none" w:sz="0" w:space="0" w:color="auto"/>
                  </w:divBdr>
                  <w:divsChild>
                    <w:div w:id="962228859">
                      <w:marLeft w:val="0"/>
                      <w:marRight w:val="0"/>
                      <w:marTop w:val="0"/>
                      <w:marBottom w:val="0"/>
                      <w:divBdr>
                        <w:top w:val="none" w:sz="0" w:space="0" w:color="auto"/>
                        <w:left w:val="none" w:sz="0" w:space="0" w:color="auto"/>
                        <w:bottom w:val="none" w:sz="0" w:space="0" w:color="auto"/>
                        <w:right w:val="none" w:sz="0" w:space="0" w:color="auto"/>
                      </w:divBdr>
                    </w:div>
                  </w:divsChild>
                </w:div>
                <w:div w:id="1995985931">
                  <w:marLeft w:val="0"/>
                  <w:marRight w:val="0"/>
                  <w:marTop w:val="0"/>
                  <w:marBottom w:val="0"/>
                  <w:divBdr>
                    <w:top w:val="none" w:sz="0" w:space="0" w:color="auto"/>
                    <w:left w:val="none" w:sz="0" w:space="0" w:color="auto"/>
                    <w:bottom w:val="none" w:sz="0" w:space="0" w:color="auto"/>
                    <w:right w:val="none" w:sz="0" w:space="0" w:color="auto"/>
                  </w:divBdr>
                  <w:divsChild>
                    <w:div w:id="650986887">
                      <w:marLeft w:val="0"/>
                      <w:marRight w:val="0"/>
                      <w:marTop w:val="0"/>
                      <w:marBottom w:val="0"/>
                      <w:divBdr>
                        <w:top w:val="none" w:sz="0" w:space="0" w:color="auto"/>
                        <w:left w:val="none" w:sz="0" w:space="0" w:color="auto"/>
                        <w:bottom w:val="none" w:sz="0" w:space="0" w:color="auto"/>
                        <w:right w:val="none" w:sz="0" w:space="0" w:color="auto"/>
                      </w:divBdr>
                    </w:div>
                  </w:divsChild>
                </w:div>
                <w:div w:id="2000770586">
                  <w:marLeft w:val="0"/>
                  <w:marRight w:val="0"/>
                  <w:marTop w:val="0"/>
                  <w:marBottom w:val="0"/>
                  <w:divBdr>
                    <w:top w:val="none" w:sz="0" w:space="0" w:color="auto"/>
                    <w:left w:val="none" w:sz="0" w:space="0" w:color="auto"/>
                    <w:bottom w:val="none" w:sz="0" w:space="0" w:color="auto"/>
                    <w:right w:val="none" w:sz="0" w:space="0" w:color="auto"/>
                  </w:divBdr>
                  <w:divsChild>
                    <w:div w:id="2087337828">
                      <w:marLeft w:val="0"/>
                      <w:marRight w:val="0"/>
                      <w:marTop w:val="0"/>
                      <w:marBottom w:val="0"/>
                      <w:divBdr>
                        <w:top w:val="none" w:sz="0" w:space="0" w:color="auto"/>
                        <w:left w:val="none" w:sz="0" w:space="0" w:color="auto"/>
                        <w:bottom w:val="none" w:sz="0" w:space="0" w:color="auto"/>
                        <w:right w:val="none" w:sz="0" w:space="0" w:color="auto"/>
                      </w:divBdr>
                    </w:div>
                  </w:divsChild>
                </w:div>
                <w:div w:id="2033452901">
                  <w:marLeft w:val="0"/>
                  <w:marRight w:val="0"/>
                  <w:marTop w:val="0"/>
                  <w:marBottom w:val="0"/>
                  <w:divBdr>
                    <w:top w:val="none" w:sz="0" w:space="0" w:color="auto"/>
                    <w:left w:val="none" w:sz="0" w:space="0" w:color="auto"/>
                    <w:bottom w:val="none" w:sz="0" w:space="0" w:color="auto"/>
                    <w:right w:val="none" w:sz="0" w:space="0" w:color="auto"/>
                  </w:divBdr>
                  <w:divsChild>
                    <w:div w:id="383599147">
                      <w:marLeft w:val="0"/>
                      <w:marRight w:val="0"/>
                      <w:marTop w:val="0"/>
                      <w:marBottom w:val="0"/>
                      <w:divBdr>
                        <w:top w:val="none" w:sz="0" w:space="0" w:color="auto"/>
                        <w:left w:val="none" w:sz="0" w:space="0" w:color="auto"/>
                        <w:bottom w:val="none" w:sz="0" w:space="0" w:color="auto"/>
                        <w:right w:val="none" w:sz="0" w:space="0" w:color="auto"/>
                      </w:divBdr>
                    </w:div>
                  </w:divsChild>
                </w:div>
                <w:div w:id="2046249143">
                  <w:marLeft w:val="0"/>
                  <w:marRight w:val="0"/>
                  <w:marTop w:val="0"/>
                  <w:marBottom w:val="0"/>
                  <w:divBdr>
                    <w:top w:val="none" w:sz="0" w:space="0" w:color="auto"/>
                    <w:left w:val="none" w:sz="0" w:space="0" w:color="auto"/>
                    <w:bottom w:val="none" w:sz="0" w:space="0" w:color="auto"/>
                    <w:right w:val="none" w:sz="0" w:space="0" w:color="auto"/>
                  </w:divBdr>
                  <w:divsChild>
                    <w:div w:id="1760634716">
                      <w:marLeft w:val="0"/>
                      <w:marRight w:val="0"/>
                      <w:marTop w:val="0"/>
                      <w:marBottom w:val="0"/>
                      <w:divBdr>
                        <w:top w:val="none" w:sz="0" w:space="0" w:color="auto"/>
                        <w:left w:val="none" w:sz="0" w:space="0" w:color="auto"/>
                        <w:bottom w:val="none" w:sz="0" w:space="0" w:color="auto"/>
                        <w:right w:val="none" w:sz="0" w:space="0" w:color="auto"/>
                      </w:divBdr>
                    </w:div>
                  </w:divsChild>
                </w:div>
                <w:div w:id="2063091422">
                  <w:marLeft w:val="0"/>
                  <w:marRight w:val="0"/>
                  <w:marTop w:val="0"/>
                  <w:marBottom w:val="0"/>
                  <w:divBdr>
                    <w:top w:val="none" w:sz="0" w:space="0" w:color="auto"/>
                    <w:left w:val="none" w:sz="0" w:space="0" w:color="auto"/>
                    <w:bottom w:val="none" w:sz="0" w:space="0" w:color="auto"/>
                    <w:right w:val="none" w:sz="0" w:space="0" w:color="auto"/>
                  </w:divBdr>
                  <w:divsChild>
                    <w:div w:id="680469870">
                      <w:marLeft w:val="0"/>
                      <w:marRight w:val="0"/>
                      <w:marTop w:val="0"/>
                      <w:marBottom w:val="0"/>
                      <w:divBdr>
                        <w:top w:val="none" w:sz="0" w:space="0" w:color="auto"/>
                        <w:left w:val="none" w:sz="0" w:space="0" w:color="auto"/>
                        <w:bottom w:val="none" w:sz="0" w:space="0" w:color="auto"/>
                        <w:right w:val="none" w:sz="0" w:space="0" w:color="auto"/>
                      </w:divBdr>
                    </w:div>
                  </w:divsChild>
                </w:div>
                <w:div w:id="2085951149">
                  <w:marLeft w:val="0"/>
                  <w:marRight w:val="0"/>
                  <w:marTop w:val="0"/>
                  <w:marBottom w:val="0"/>
                  <w:divBdr>
                    <w:top w:val="none" w:sz="0" w:space="0" w:color="auto"/>
                    <w:left w:val="none" w:sz="0" w:space="0" w:color="auto"/>
                    <w:bottom w:val="none" w:sz="0" w:space="0" w:color="auto"/>
                    <w:right w:val="none" w:sz="0" w:space="0" w:color="auto"/>
                  </w:divBdr>
                  <w:divsChild>
                    <w:div w:id="1274632331">
                      <w:marLeft w:val="0"/>
                      <w:marRight w:val="0"/>
                      <w:marTop w:val="0"/>
                      <w:marBottom w:val="0"/>
                      <w:divBdr>
                        <w:top w:val="none" w:sz="0" w:space="0" w:color="auto"/>
                        <w:left w:val="none" w:sz="0" w:space="0" w:color="auto"/>
                        <w:bottom w:val="none" w:sz="0" w:space="0" w:color="auto"/>
                        <w:right w:val="none" w:sz="0" w:space="0" w:color="auto"/>
                      </w:divBdr>
                    </w:div>
                  </w:divsChild>
                </w:div>
                <w:div w:id="2093314227">
                  <w:marLeft w:val="0"/>
                  <w:marRight w:val="0"/>
                  <w:marTop w:val="0"/>
                  <w:marBottom w:val="0"/>
                  <w:divBdr>
                    <w:top w:val="none" w:sz="0" w:space="0" w:color="auto"/>
                    <w:left w:val="none" w:sz="0" w:space="0" w:color="auto"/>
                    <w:bottom w:val="none" w:sz="0" w:space="0" w:color="auto"/>
                    <w:right w:val="none" w:sz="0" w:space="0" w:color="auto"/>
                  </w:divBdr>
                  <w:divsChild>
                    <w:div w:id="1228612997">
                      <w:marLeft w:val="0"/>
                      <w:marRight w:val="0"/>
                      <w:marTop w:val="0"/>
                      <w:marBottom w:val="0"/>
                      <w:divBdr>
                        <w:top w:val="none" w:sz="0" w:space="0" w:color="auto"/>
                        <w:left w:val="none" w:sz="0" w:space="0" w:color="auto"/>
                        <w:bottom w:val="none" w:sz="0" w:space="0" w:color="auto"/>
                        <w:right w:val="none" w:sz="0" w:space="0" w:color="auto"/>
                      </w:divBdr>
                    </w:div>
                  </w:divsChild>
                </w:div>
                <w:div w:id="2093776113">
                  <w:marLeft w:val="0"/>
                  <w:marRight w:val="0"/>
                  <w:marTop w:val="0"/>
                  <w:marBottom w:val="0"/>
                  <w:divBdr>
                    <w:top w:val="none" w:sz="0" w:space="0" w:color="auto"/>
                    <w:left w:val="none" w:sz="0" w:space="0" w:color="auto"/>
                    <w:bottom w:val="none" w:sz="0" w:space="0" w:color="auto"/>
                    <w:right w:val="none" w:sz="0" w:space="0" w:color="auto"/>
                  </w:divBdr>
                  <w:divsChild>
                    <w:div w:id="121211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0778716">
          <w:marLeft w:val="0"/>
          <w:marRight w:val="0"/>
          <w:marTop w:val="0"/>
          <w:marBottom w:val="0"/>
          <w:divBdr>
            <w:top w:val="none" w:sz="0" w:space="0" w:color="auto"/>
            <w:left w:val="none" w:sz="0" w:space="0" w:color="auto"/>
            <w:bottom w:val="none" w:sz="0" w:space="0" w:color="auto"/>
            <w:right w:val="none" w:sz="0" w:space="0" w:color="auto"/>
          </w:divBdr>
        </w:div>
        <w:div w:id="1892572870">
          <w:marLeft w:val="0"/>
          <w:marRight w:val="0"/>
          <w:marTop w:val="0"/>
          <w:marBottom w:val="0"/>
          <w:divBdr>
            <w:top w:val="none" w:sz="0" w:space="0" w:color="auto"/>
            <w:left w:val="none" w:sz="0" w:space="0" w:color="auto"/>
            <w:bottom w:val="none" w:sz="0" w:space="0" w:color="auto"/>
            <w:right w:val="none" w:sz="0" w:space="0" w:color="auto"/>
          </w:divBdr>
        </w:div>
        <w:div w:id="1893736593">
          <w:marLeft w:val="0"/>
          <w:marRight w:val="0"/>
          <w:marTop w:val="0"/>
          <w:marBottom w:val="0"/>
          <w:divBdr>
            <w:top w:val="none" w:sz="0" w:space="0" w:color="auto"/>
            <w:left w:val="none" w:sz="0" w:space="0" w:color="auto"/>
            <w:bottom w:val="none" w:sz="0" w:space="0" w:color="auto"/>
            <w:right w:val="none" w:sz="0" w:space="0" w:color="auto"/>
          </w:divBdr>
        </w:div>
        <w:div w:id="1945727546">
          <w:marLeft w:val="0"/>
          <w:marRight w:val="0"/>
          <w:marTop w:val="0"/>
          <w:marBottom w:val="0"/>
          <w:divBdr>
            <w:top w:val="none" w:sz="0" w:space="0" w:color="auto"/>
            <w:left w:val="none" w:sz="0" w:space="0" w:color="auto"/>
            <w:bottom w:val="none" w:sz="0" w:space="0" w:color="auto"/>
            <w:right w:val="none" w:sz="0" w:space="0" w:color="auto"/>
          </w:divBdr>
          <w:divsChild>
            <w:div w:id="363482753">
              <w:marLeft w:val="0"/>
              <w:marRight w:val="0"/>
              <w:marTop w:val="0"/>
              <w:marBottom w:val="0"/>
              <w:divBdr>
                <w:top w:val="none" w:sz="0" w:space="0" w:color="auto"/>
                <w:left w:val="none" w:sz="0" w:space="0" w:color="auto"/>
                <w:bottom w:val="none" w:sz="0" w:space="0" w:color="auto"/>
                <w:right w:val="none" w:sz="0" w:space="0" w:color="auto"/>
              </w:divBdr>
            </w:div>
            <w:div w:id="692808124">
              <w:marLeft w:val="0"/>
              <w:marRight w:val="0"/>
              <w:marTop w:val="0"/>
              <w:marBottom w:val="0"/>
              <w:divBdr>
                <w:top w:val="none" w:sz="0" w:space="0" w:color="auto"/>
                <w:left w:val="none" w:sz="0" w:space="0" w:color="auto"/>
                <w:bottom w:val="none" w:sz="0" w:space="0" w:color="auto"/>
                <w:right w:val="none" w:sz="0" w:space="0" w:color="auto"/>
              </w:divBdr>
            </w:div>
            <w:div w:id="1723599519">
              <w:marLeft w:val="0"/>
              <w:marRight w:val="0"/>
              <w:marTop w:val="0"/>
              <w:marBottom w:val="0"/>
              <w:divBdr>
                <w:top w:val="none" w:sz="0" w:space="0" w:color="auto"/>
                <w:left w:val="none" w:sz="0" w:space="0" w:color="auto"/>
                <w:bottom w:val="none" w:sz="0" w:space="0" w:color="auto"/>
                <w:right w:val="none" w:sz="0" w:space="0" w:color="auto"/>
              </w:divBdr>
            </w:div>
            <w:div w:id="1949001631">
              <w:marLeft w:val="0"/>
              <w:marRight w:val="0"/>
              <w:marTop w:val="0"/>
              <w:marBottom w:val="0"/>
              <w:divBdr>
                <w:top w:val="none" w:sz="0" w:space="0" w:color="auto"/>
                <w:left w:val="none" w:sz="0" w:space="0" w:color="auto"/>
                <w:bottom w:val="none" w:sz="0" w:space="0" w:color="auto"/>
                <w:right w:val="none" w:sz="0" w:space="0" w:color="auto"/>
              </w:divBdr>
            </w:div>
            <w:div w:id="1965382917">
              <w:marLeft w:val="0"/>
              <w:marRight w:val="0"/>
              <w:marTop w:val="0"/>
              <w:marBottom w:val="0"/>
              <w:divBdr>
                <w:top w:val="none" w:sz="0" w:space="0" w:color="auto"/>
                <w:left w:val="none" w:sz="0" w:space="0" w:color="auto"/>
                <w:bottom w:val="none" w:sz="0" w:space="0" w:color="auto"/>
                <w:right w:val="none" w:sz="0" w:space="0" w:color="auto"/>
              </w:divBdr>
            </w:div>
          </w:divsChild>
        </w:div>
        <w:div w:id="1948275620">
          <w:marLeft w:val="0"/>
          <w:marRight w:val="0"/>
          <w:marTop w:val="0"/>
          <w:marBottom w:val="0"/>
          <w:divBdr>
            <w:top w:val="none" w:sz="0" w:space="0" w:color="auto"/>
            <w:left w:val="none" w:sz="0" w:space="0" w:color="auto"/>
            <w:bottom w:val="none" w:sz="0" w:space="0" w:color="auto"/>
            <w:right w:val="none" w:sz="0" w:space="0" w:color="auto"/>
          </w:divBdr>
          <w:divsChild>
            <w:div w:id="278101290">
              <w:marLeft w:val="0"/>
              <w:marRight w:val="0"/>
              <w:marTop w:val="0"/>
              <w:marBottom w:val="0"/>
              <w:divBdr>
                <w:top w:val="none" w:sz="0" w:space="0" w:color="auto"/>
                <w:left w:val="none" w:sz="0" w:space="0" w:color="auto"/>
                <w:bottom w:val="none" w:sz="0" w:space="0" w:color="auto"/>
                <w:right w:val="none" w:sz="0" w:space="0" w:color="auto"/>
              </w:divBdr>
            </w:div>
            <w:div w:id="301542249">
              <w:marLeft w:val="0"/>
              <w:marRight w:val="0"/>
              <w:marTop w:val="0"/>
              <w:marBottom w:val="0"/>
              <w:divBdr>
                <w:top w:val="none" w:sz="0" w:space="0" w:color="auto"/>
                <w:left w:val="none" w:sz="0" w:space="0" w:color="auto"/>
                <w:bottom w:val="none" w:sz="0" w:space="0" w:color="auto"/>
                <w:right w:val="none" w:sz="0" w:space="0" w:color="auto"/>
              </w:divBdr>
            </w:div>
            <w:div w:id="446243657">
              <w:marLeft w:val="0"/>
              <w:marRight w:val="0"/>
              <w:marTop w:val="0"/>
              <w:marBottom w:val="0"/>
              <w:divBdr>
                <w:top w:val="none" w:sz="0" w:space="0" w:color="auto"/>
                <w:left w:val="none" w:sz="0" w:space="0" w:color="auto"/>
                <w:bottom w:val="none" w:sz="0" w:space="0" w:color="auto"/>
                <w:right w:val="none" w:sz="0" w:space="0" w:color="auto"/>
              </w:divBdr>
            </w:div>
            <w:div w:id="1077364730">
              <w:marLeft w:val="0"/>
              <w:marRight w:val="0"/>
              <w:marTop w:val="0"/>
              <w:marBottom w:val="0"/>
              <w:divBdr>
                <w:top w:val="none" w:sz="0" w:space="0" w:color="auto"/>
                <w:left w:val="none" w:sz="0" w:space="0" w:color="auto"/>
                <w:bottom w:val="none" w:sz="0" w:space="0" w:color="auto"/>
                <w:right w:val="none" w:sz="0" w:space="0" w:color="auto"/>
              </w:divBdr>
            </w:div>
            <w:div w:id="1266813501">
              <w:marLeft w:val="0"/>
              <w:marRight w:val="0"/>
              <w:marTop w:val="0"/>
              <w:marBottom w:val="0"/>
              <w:divBdr>
                <w:top w:val="none" w:sz="0" w:space="0" w:color="auto"/>
                <w:left w:val="none" w:sz="0" w:space="0" w:color="auto"/>
                <w:bottom w:val="none" w:sz="0" w:space="0" w:color="auto"/>
                <w:right w:val="none" w:sz="0" w:space="0" w:color="auto"/>
              </w:divBdr>
            </w:div>
            <w:div w:id="1886523208">
              <w:marLeft w:val="0"/>
              <w:marRight w:val="0"/>
              <w:marTop w:val="0"/>
              <w:marBottom w:val="0"/>
              <w:divBdr>
                <w:top w:val="none" w:sz="0" w:space="0" w:color="auto"/>
                <w:left w:val="none" w:sz="0" w:space="0" w:color="auto"/>
                <w:bottom w:val="none" w:sz="0" w:space="0" w:color="auto"/>
                <w:right w:val="none" w:sz="0" w:space="0" w:color="auto"/>
              </w:divBdr>
            </w:div>
          </w:divsChild>
        </w:div>
        <w:div w:id="2002655527">
          <w:marLeft w:val="0"/>
          <w:marRight w:val="0"/>
          <w:marTop w:val="0"/>
          <w:marBottom w:val="0"/>
          <w:divBdr>
            <w:top w:val="none" w:sz="0" w:space="0" w:color="auto"/>
            <w:left w:val="none" w:sz="0" w:space="0" w:color="auto"/>
            <w:bottom w:val="none" w:sz="0" w:space="0" w:color="auto"/>
            <w:right w:val="none" w:sz="0" w:space="0" w:color="auto"/>
          </w:divBdr>
        </w:div>
        <w:div w:id="2009671307">
          <w:marLeft w:val="0"/>
          <w:marRight w:val="0"/>
          <w:marTop w:val="0"/>
          <w:marBottom w:val="0"/>
          <w:divBdr>
            <w:top w:val="none" w:sz="0" w:space="0" w:color="auto"/>
            <w:left w:val="none" w:sz="0" w:space="0" w:color="auto"/>
            <w:bottom w:val="none" w:sz="0" w:space="0" w:color="auto"/>
            <w:right w:val="none" w:sz="0" w:space="0" w:color="auto"/>
          </w:divBdr>
          <w:divsChild>
            <w:div w:id="1621302150">
              <w:marLeft w:val="-75"/>
              <w:marRight w:val="0"/>
              <w:marTop w:val="30"/>
              <w:marBottom w:val="30"/>
              <w:divBdr>
                <w:top w:val="none" w:sz="0" w:space="0" w:color="auto"/>
                <w:left w:val="none" w:sz="0" w:space="0" w:color="auto"/>
                <w:bottom w:val="none" w:sz="0" w:space="0" w:color="auto"/>
                <w:right w:val="none" w:sz="0" w:space="0" w:color="auto"/>
              </w:divBdr>
              <w:divsChild>
                <w:div w:id="40638369">
                  <w:marLeft w:val="0"/>
                  <w:marRight w:val="0"/>
                  <w:marTop w:val="0"/>
                  <w:marBottom w:val="0"/>
                  <w:divBdr>
                    <w:top w:val="none" w:sz="0" w:space="0" w:color="auto"/>
                    <w:left w:val="none" w:sz="0" w:space="0" w:color="auto"/>
                    <w:bottom w:val="none" w:sz="0" w:space="0" w:color="auto"/>
                    <w:right w:val="none" w:sz="0" w:space="0" w:color="auto"/>
                  </w:divBdr>
                  <w:divsChild>
                    <w:div w:id="222058146">
                      <w:marLeft w:val="0"/>
                      <w:marRight w:val="0"/>
                      <w:marTop w:val="0"/>
                      <w:marBottom w:val="0"/>
                      <w:divBdr>
                        <w:top w:val="none" w:sz="0" w:space="0" w:color="auto"/>
                        <w:left w:val="none" w:sz="0" w:space="0" w:color="auto"/>
                        <w:bottom w:val="none" w:sz="0" w:space="0" w:color="auto"/>
                        <w:right w:val="none" w:sz="0" w:space="0" w:color="auto"/>
                      </w:divBdr>
                    </w:div>
                    <w:div w:id="954561772">
                      <w:marLeft w:val="0"/>
                      <w:marRight w:val="0"/>
                      <w:marTop w:val="0"/>
                      <w:marBottom w:val="0"/>
                      <w:divBdr>
                        <w:top w:val="none" w:sz="0" w:space="0" w:color="auto"/>
                        <w:left w:val="none" w:sz="0" w:space="0" w:color="auto"/>
                        <w:bottom w:val="none" w:sz="0" w:space="0" w:color="auto"/>
                        <w:right w:val="none" w:sz="0" w:space="0" w:color="auto"/>
                      </w:divBdr>
                    </w:div>
                    <w:div w:id="968586725">
                      <w:marLeft w:val="0"/>
                      <w:marRight w:val="0"/>
                      <w:marTop w:val="0"/>
                      <w:marBottom w:val="0"/>
                      <w:divBdr>
                        <w:top w:val="none" w:sz="0" w:space="0" w:color="auto"/>
                        <w:left w:val="none" w:sz="0" w:space="0" w:color="auto"/>
                        <w:bottom w:val="none" w:sz="0" w:space="0" w:color="auto"/>
                        <w:right w:val="none" w:sz="0" w:space="0" w:color="auto"/>
                      </w:divBdr>
                    </w:div>
                    <w:div w:id="1899781257">
                      <w:marLeft w:val="0"/>
                      <w:marRight w:val="0"/>
                      <w:marTop w:val="0"/>
                      <w:marBottom w:val="0"/>
                      <w:divBdr>
                        <w:top w:val="none" w:sz="0" w:space="0" w:color="auto"/>
                        <w:left w:val="none" w:sz="0" w:space="0" w:color="auto"/>
                        <w:bottom w:val="none" w:sz="0" w:space="0" w:color="auto"/>
                        <w:right w:val="none" w:sz="0" w:space="0" w:color="auto"/>
                      </w:divBdr>
                    </w:div>
                  </w:divsChild>
                </w:div>
                <w:div w:id="70735632">
                  <w:marLeft w:val="0"/>
                  <w:marRight w:val="0"/>
                  <w:marTop w:val="0"/>
                  <w:marBottom w:val="0"/>
                  <w:divBdr>
                    <w:top w:val="none" w:sz="0" w:space="0" w:color="auto"/>
                    <w:left w:val="none" w:sz="0" w:space="0" w:color="auto"/>
                    <w:bottom w:val="none" w:sz="0" w:space="0" w:color="auto"/>
                    <w:right w:val="none" w:sz="0" w:space="0" w:color="auto"/>
                  </w:divBdr>
                  <w:divsChild>
                    <w:div w:id="1858615059">
                      <w:marLeft w:val="0"/>
                      <w:marRight w:val="0"/>
                      <w:marTop w:val="0"/>
                      <w:marBottom w:val="0"/>
                      <w:divBdr>
                        <w:top w:val="none" w:sz="0" w:space="0" w:color="auto"/>
                        <w:left w:val="none" w:sz="0" w:space="0" w:color="auto"/>
                        <w:bottom w:val="none" w:sz="0" w:space="0" w:color="auto"/>
                        <w:right w:val="none" w:sz="0" w:space="0" w:color="auto"/>
                      </w:divBdr>
                    </w:div>
                    <w:div w:id="1951474237">
                      <w:marLeft w:val="0"/>
                      <w:marRight w:val="0"/>
                      <w:marTop w:val="0"/>
                      <w:marBottom w:val="0"/>
                      <w:divBdr>
                        <w:top w:val="none" w:sz="0" w:space="0" w:color="auto"/>
                        <w:left w:val="none" w:sz="0" w:space="0" w:color="auto"/>
                        <w:bottom w:val="none" w:sz="0" w:space="0" w:color="auto"/>
                        <w:right w:val="none" w:sz="0" w:space="0" w:color="auto"/>
                      </w:divBdr>
                    </w:div>
                  </w:divsChild>
                </w:div>
                <w:div w:id="206110863">
                  <w:marLeft w:val="0"/>
                  <w:marRight w:val="0"/>
                  <w:marTop w:val="0"/>
                  <w:marBottom w:val="0"/>
                  <w:divBdr>
                    <w:top w:val="none" w:sz="0" w:space="0" w:color="auto"/>
                    <w:left w:val="none" w:sz="0" w:space="0" w:color="auto"/>
                    <w:bottom w:val="none" w:sz="0" w:space="0" w:color="auto"/>
                    <w:right w:val="none" w:sz="0" w:space="0" w:color="auto"/>
                  </w:divBdr>
                  <w:divsChild>
                    <w:div w:id="394861892">
                      <w:marLeft w:val="0"/>
                      <w:marRight w:val="0"/>
                      <w:marTop w:val="0"/>
                      <w:marBottom w:val="0"/>
                      <w:divBdr>
                        <w:top w:val="none" w:sz="0" w:space="0" w:color="auto"/>
                        <w:left w:val="none" w:sz="0" w:space="0" w:color="auto"/>
                        <w:bottom w:val="none" w:sz="0" w:space="0" w:color="auto"/>
                        <w:right w:val="none" w:sz="0" w:space="0" w:color="auto"/>
                      </w:divBdr>
                    </w:div>
                    <w:div w:id="1434474566">
                      <w:marLeft w:val="0"/>
                      <w:marRight w:val="0"/>
                      <w:marTop w:val="0"/>
                      <w:marBottom w:val="0"/>
                      <w:divBdr>
                        <w:top w:val="none" w:sz="0" w:space="0" w:color="auto"/>
                        <w:left w:val="none" w:sz="0" w:space="0" w:color="auto"/>
                        <w:bottom w:val="none" w:sz="0" w:space="0" w:color="auto"/>
                        <w:right w:val="none" w:sz="0" w:space="0" w:color="auto"/>
                      </w:divBdr>
                    </w:div>
                  </w:divsChild>
                </w:div>
                <w:div w:id="252512204">
                  <w:marLeft w:val="0"/>
                  <w:marRight w:val="0"/>
                  <w:marTop w:val="0"/>
                  <w:marBottom w:val="0"/>
                  <w:divBdr>
                    <w:top w:val="none" w:sz="0" w:space="0" w:color="auto"/>
                    <w:left w:val="none" w:sz="0" w:space="0" w:color="auto"/>
                    <w:bottom w:val="none" w:sz="0" w:space="0" w:color="auto"/>
                    <w:right w:val="none" w:sz="0" w:space="0" w:color="auto"/>
                  </w:divBdr>
                  <w:divsChild>
                    <w:div w:id="661465648">
                      <w:marLeft w:val="0"/>
                      <w:marRight w:val="0"/>
                      <w:marTop w:val="0"/>
                      <w:marBottom w:val="0"/>
                      <w:divBdr>
                        <w:top w:val="none" w:sz="0" w:space="0" w:color="auto"/>
                        <w:left w:val="none" w:sz="0" w:space="0" w:color="auto"/>
                        <w:bottom w:val="none" w:sz="0" w:space="0" w:color="auto"/>
                        <w:right w:val="none" w:sz="0" w:space="0" w:color="auto"/>
                      </w:divBdr>
                    </w:div>
                  </w:divsChild>
                </w:div>
                <w:div w:id="320276277">
                  <w:marLeft w:val="0"/>
                  <w:marRight w:val="0"/>
                  <w:marTop w:val="0"/>
                  <w:marBottom w:val="0"/>
                  <w:divBdr>
                    <w:top w:val="none" w:sz="0" w:space="0" w:color="auto"/>
                    <w:left w:val="none" w:sz="0" w:space="0" w:color="auto"/>
                    <w:bottom w:val="none" w:sz="0" w:space="0" w:color="auto"/>
                    <w:right w:val="none" w:sz="0" w:space="0" w:color="auto"/>
                  </w:divBdr>
                  <w:divsChild>
                    <w:div w:id="2003270892">
                      <w:marLeft w:val="0"/>
                      <w:marRight w:val="0"/>
                      <w:marTop w:val="0"/>
                      <w:marBottom w:val="0"/>
                      <w:divBdr>
                        <w:top w:val="none" w:sz="0" w:space="0" w:color="auto"/>
                        <w:left w:val="none" w:sz="0" w:space="0" w:color="auto"/>
                        <w:bottom w:val="none" w:sz="0" w:space="0" w:color="auto"/>
                        <w:right w:val="none" w:sz="0" w:space="0" w:color="auto"/>
                      </w:divBdr>
                    </w:div>
                  </w:divsChild>
                </w:div>
                <w:div w:id="360934975">
                  <w:marLeft w:val="0"/>
                  <w:marRight w:val="0"/>
                  <w:marTop w:val="0"/>
                  <w:marBottom w:val="0"/>
                  <w:divBdr>
                    <w:top w:val="none" w:sz="0" w:space="0" w:color="auto"/>
                    <w:left w:val="none" w:sz="0" w:space="0" w:color="auto"/>
                    <w:bottom w:val="none" w:sz="0" w:space="0" w:color="auto"/>
                    <w:right w:val="none" w:sz="0" w:space="0" w:color="auto"/>
                  </w:divBdr>
                  <w:divsChild>
                    <w:div w:id="986515444">
                      <w:marLeft w:val="0"/>
                      <w:marRight w:val="0"/>
                      <w:marTop w:val="0"/>
                      <w:marBottom w:val="0"/>
                      <w:divBdr>
                        <w:top w:val="none" w:sz="0" w:space="0" w:color="auto"/>
                        <w:left w:val="none" w:sz="0" w:space="0" w:color="auto"/>
                        <w:bottom w:val="none" w:sz="0" w:space="0" w:color="auto"/>
                        <w:right w:val="none" w:sz="0" w:space="0" w:color="auto"/>
                      </w:divBdr>
                    </w:div>
                  </w:divsChild>
                </w:div>
                <w:div w:id="367334622">
                  <w:marLeft w:val="0"/>
                  <w:marRight w:val="0"/>
                  <w:marTop w:val="0"/>
                  <w:marBottom w:val="0"/>
                  <w:divBdr>
                    <w:top w:val="none" w:sz="0" w:space="0" w:color="auto"/>
                    <w:left w:val="none" w:sz="0" w:space="0" w:color="auto"/>
                    <w:bottom w:val="none" w:sz="0" w:space="0" w:color="auto"/>
                    <w:right w:val="none" w:sz="0" w:space="0" w:color="auto"/>
                  </w:divBdr>
                  <w:divsChild>
                    <w:div w:id="70274142">
                      <w:marLeft w:val="0"/>
                      <w:marRight w:val="0"/>
                      <w:marTop w:val="0"/>
                      <w:marBottom w:val="0"/>
                      <w:divBdr>
                        <w:top w:val="none" w:sz="0" w:space="0" w:color="auto"/>
                        <w:left w:val="none" w:sz="0" w:space="0" w:color="auto"/>
                        <w:bottom w:val="none" w:sz="0" w:space="0" w:color="auto"/>
                        <w:right w:val="none" w:sz="0" w:space="0" w:color="auto"/>
                      </w:divBdr>
                    </w:div>
                    <w:div w:id="1629316093">
                      <w:marLeft w:val="0"/>
                      <w:marRight w:val="0"/>
                      <w:marTop w:val="0"/>
                      <w:marBottom w:val="0"/>
                      <w:divBdr>
                        <w:top w:val="none" w:sz="0" w:space="0" w:color="auto"/>
                        <w:left w:val="none" w:sz="0" w:space="0" w:color="auto"/>
                        <w:bottom w:val="none" w:sz="0" w:space="0" w:color="auto"/>
                        <w:right w:val="none" w:sz="0" w:space="0" w:color="auto"/>
                      </w:divBdr>
                    </w:div>
                  </w:divsChild>
                </w:div>
                <w:div w:id="369309010">
                  <w:marLeft w:val="0"/>
                  <w:marRight w:val="0"/>
                  <w:marTop w:val="0"/>
                  <w:marBottom w:val="0"/>
                  <w:divBdr>
                    <w:top w:val="none" w:sz="0" w:space="0" w:color="auto"/>
                    <w:left w:val="none" w:sz="0" w:space="0" w:color="auto"/>
                    <w:bottom w:val="none" w:sz="0" w:space="0" w:color="auto"/>
                    <w:right w:val="none" w:sz="0" w:space="0" w:color="auto"/>
                  </w:divBdr>
                  <w:divsChild>
                    <w:div w:id="19355071">
                      <w:marLeft w:val="0"/>
                      <w:marRight w:val="0"/>
                      <w:marTop w:val="0"/>
                      <w:marBottom w:val="0"/>
                      <w:divBdr>
                        <w:top w:val="none" w:sz="0" w:space="0" w:color="auto"/>
                        <w:left w:val="none" w:sz="0" w:space="0" w:color="auto"/>
                        <w:bottom w:val="none" w:sz="0" w:space="0" w:color="auto"/>
                        <w:right w:val="none" w:sz="0" w:space="0" w:color="auto"/>
                      </w:divBdr>
                    </w:div>
                  </w:divsChild>
                </w:div>
                <w:div w:id="378012595">
                  <w:marLeft w:val="0"/>
                  <w:marRight w:val="0"/>
                  <w:marTop w:val="0"/>
                  <w:marBottom w:val="0"/>
                  <w:divBdr>
                    <w:top w:val="none" w:sz="0" w:space="0" w:color="auto"/>
                    <w:left w:val="none" w:sz="0" w:space="0" w:color="auto"/>
                    <w:bottom w:val="none" w:sz="0" w:space="0" w:color="auto"/>
                    <w:right w:val="none" w:sz="0" w:space="0" w:color="auto"/>
                  </w:divBdr>
                  <w:divsChild>
                    <w:div w:id="2001733489">
                      <w:marLeft w:val="0"/>
                      <w:marRight w:val="0"/>
                      <w:marTop w:val="0"/>
                      <w:marBottom w:val="0"/>
                      <w:divBdr>
                        <w:top w:val="none" w:sz="0" w:space="0" w:color="auto"/>
                        <w:left w:val="none" w:sz="0" w:space="0" w:color="auto"/>
                        <w:bottom w:val="none" w:sz="0" w:space="0" w:color="auto"/>
                        <w:right w:val="none" w:sz="0" w:space="0" w:color="auto"/>
                      </w:divBdr>
                    </w:div>
                  </w:divsChild>
                </w:div>
                <w:div w:id="378675939">
                  <w:marLeft w:val="0"/>
                  <w:marRight w:val="0"/>
                  <w:marTop w:val="0"/>
                  <w:marBottom w:val="0"/>
                  <w:divBdr>
                    <w:top w:val="none" w:sz="0" w:space="0" w:color="auto"/>
                    <w:left w:val="none" w:sz="0" w:space="0" w:color="auto"/>
                    <w:bottom w:val="none" w:sz="0" w:space="0" w:color="auto"/>
                    <w:right w:val="none" w:sz="0" w:space="0" w:color="auto"/>
                  </w:divBdr>
                  <w:divsChild>
                    <w:div w:id="368452297">
                      <w:marLeft w:val="0"/>
                      <w:marRight w:val="0"/>
                      <w:marTop w:val="0"/>
                      <w:marBottom w:val="0"/>
                      <w:divBdr>
                        <w:top w:val="none" w:sz="0" w:space="0" w:color="auto"/>
                        <w:left w:val="none" w:sz="0" w:space="0" w:color="auto"/>
                        <w:bottom w:val="none" w:sz="0" w:space="0" w:color="auto"/>
                        <w:right w:val="none" w:sz="0" w:space="0" w:color="auto"/>
                      </w:divBdr>
                    </w:div>
                    <w:div w:id="1389845177">
                      <w:marLeft w:val="0"/>
                      <w:marRight w:val="0"/>
                      <w:marTop w:val="0"/>
                      <w:marBottom w:val="0"/>
                      <w:divBdr>
                        <w:top w:val="none" w:sz="0" w:space="0" w:color="auto"/>
                        <w:left w:val="none" w:sz="0" w:space="0" w:color="auto"/>
                        <w:bottom w:val="none" w:sz="0" w:space="0" w:color="auto"/>
                        <w:right w:val="none" w:sz="0" w:space="0" w:color="auto"/>
                      </w:divBdr>
                    </w:div>
                  </w:divsChild>
                </w:div>
                <w:div w:id="436021133">
                  <w:marLeft w:val="0"/>
                  <w:marRight w:val="0"/>
                  <w:marTop w:val="0"/>
                  <w:marBottom w:val="0"/>
                  <w:divBdr>
                    <w:top w:val="none" w:sz="0" w:space="0" w:color="auto"/>
                    <w:left w:val="none" w:sz="0" w:space="0" w:color="auto"/>
                    <w:bottom w:val="none" w:sz="0" w:space="0" w:color="auto"/>
                    <w:right w:val="none" w:sz="0" w:space="0" w:color="auto"/>
                  </w:divBdr>
                  <w:divsChild>
                    <w:div w:id="475728454">
                      <w:marLeft w:val="0"/>
                      <w:marRight w:val="0"/>
                      <w:marTop w:val="0"/>
                      <w:marBottom w:val="0"/>
                      <w:divBdr>
                        <w:top w:val="none" w:sz="0" w:space="0" w:color="auto"/>
                        <w:left w:val="none" w:sz="0" w:space="0" w:color="auto"/>
                        <w:bottom w:val="none" w:sz="0" w:space="0" w:color="auto"/>
                        <w:right w:val="none" w:sz="0" w:space="0" w:color="auto"/>
                      </w:divBdr>
                    </w:div>
                  </w:divsChild>
                </w:div>
                <w:div w:id="654917169">
                  <w:marLeft w:val="0"/>
                  <w:marRight w:val="0"/>
                  <w:marTop w:val="0"/>
                  <w:marBottom w:val="0"/>
                  <w:divBdr>
                    <w:top w:val="none" w:sz="0" w:space="0" w:color="auto"/>
                    <w:left w:val="none" w:sz="0" w:space="0" w:color="auto"/>
                    <w:bottom w:val="none" w:sz="0" w:space="0" w:color="auto"/>
                    <w:right w:val="none" w:sz="0" w:space="0" w:color="auto"/>
                  </w:divBdr>
                  <w:divsChild>
                    <w:div w:id="582299437">
                      <w:marLeft w:val="0"/>
                      <w:marRight w:val="0"/>
                      <w:marTop w:val="0"/>
                      <w:marBottom w:val="0"/>
                      <w:divBdr>
                        <w:top w:val="none" w:sz="0" w:space="0" w:color="auto"/>
                        <w:left w:val="none" w:sz="0" w:space="0" w:color="auto"/>
                        <w:bottom w:val="none" w:sz="0" w:space="0" w:color="auto"/>
                        <w:right w:val="none" w:sz="0" w:space="0" w:color="auto"/>
                      </w:divBdr>
                    </w:div>
                    <w:div w:id="1284115007">
                      <w:marLeft w:val="0"/>
                      <w:marRight w:val="0"/>
                      <w:marTop w:val="0"/>
                      <w:marBottom w:val="0"/>
                      <w:divBdr>
                        <w:top w:val="none" w:sz="0" w:space="0" w:color="auto"/>
                        <w:left w:val="none" w:sz="0" w:space="0" w:color="auto"/>
                        <w:bottom w:val="none" w:sz="0" w:space="0" w:color="auto"/>
                        <w:right w:val="none" w:sz="0" w:space="0" w:color="auto"/>
                      </w:divBdr>
                    </w:div>
                    <w:div w:id="1585072492">
                      <w:marLeft w:val="0"/>
                      <w:marRight w:val="0"/>
                      <w:marTop w:val="0"/>
                      <w:marBottom w:val="0"/>
                      <w:divBdr>
                        <w:top w:val="none" w:sz="0" w:space="0" w:color="auto"/>
                        <w:left w:val="none" w:sz="0" w:space="0" w:color="auto"/>
                        <w:bottom w:val="none" w:sz="0" w:space="0" w:color="auto"/>
                        <w:right w:val="none" w:sz="0" w:space="0" w:color="auto"/>
                      </w:divBdr>
                    </w:div>
                    <w:div w:id="1725716480">
                      <w:marLeft w:val="0"/>
                      <w:marRight w:val="0"/>
                      <w:marTop w:val="0"/>
                      <w:marBottom w:val="0"/>
                      <w:divBdr>
                        <w:top w:val="none" w:sz="0" w:space="0" w:color="auto"/>
                        <w:left w:val="none" w:sz="0" w:space="0" w:color="auto"/>
                        <w:bottom w:val="none" w:sz="0" w:space="0" w:color="auto"/>
                        <w:right w:val="none" w:sz="0" w:space="0" w:color="auto"/>
                      </w:divBdr>
                    </w:div>
                  </w:divsChild>
                </w:div>
                <w:div w:id="672995026">
                  <w:marLeft w:val="0"/>
                  <w:marRight w:val="0"/>
                  <w:marTop w:val="0"/>
                  <w:marBottom w:val="0"/>
                  <w:divBdr>
                    <w:top w:val="none" w:sz="0" w:space="0" w:color="auto"/>
                    <w:left w:val="none" w:sz="0" w:space="0" w:color="auto"/>
                    <w:bottom w:val="none" w:sz="0" w:space="0" w:color="auto"/>
                    <w:right w:val="none" w:sz="0" w:space="0" w:color="auto"/>
                  </w:divBdr>
                  <w:divsChild>
                    <w:div w:id="716054241">
                      <w:marLeft w:val="0"/>
                      <w:marRight w:val="0"/>
                      <w:marTop w:val="0"/>
                      <w:marBottom w:val="0"/>
                      <w:divBdr>
                        <w:top w:val="none" w:sz="0" w:space="0" w:color="auto"/>
                        <w:left w:val="none" w:sz="0" w:space="0" w:color="auto"/>
                        <w:bottom w:val="none" w:sz="0" w:space="0" w:color="auto"/>
                        <w:right w:val="none" w:sz="0" w:space="0" w:color="auto"/>
                      </w:divBdr>
                    </w:div>
                  </w:divsChild>
                </w:div>
                <w:div w:id="685137620">
                  <w:marLeft w:val="0"/>
                  <w:marRight w:val="0"/>
                  <w:marTop w:val="0"/>
                  <w:marBottom w:val="0"/>
                  <w:divBdr>
                    <w:top w:val="none" w:sz="0" w:space="0" w:color="auto"/>
                    <w:left w:val="none" w:sz="0" w:space="0" w:color="auto"/>
                    <w:bottom w:val="none" w:sz="0" w:space="0" w:color="auto"/>
                    <w:right w:val="none" w:sz="0" w:space="0" w:color="auto"/>
                  </w:divBdr>
                  <w:divsChild>
                    <w:div w:id="292374636">
                      <w:marLeft w:val="0"/>
                      <w:marRight w:val="0"/>
                      <w:marTop w:val="0"/>
                      <w:marBottom w:val="0"/>
                      <w:divBdr>
                        <w:top w:val="none" w:sz="0" w:space="0" w:color="auto"/>
                        <w:left w:val="none" w:sz="0" w:space="0" w:color="auto"/>
                        <w:bottom w:val="none" w:sz="0" w:space="0" w:color="auto"/>
                        <w:right w:val="none" w:sz="0" w:space="0" w:color="auto"/>
                      </w:divBdr>
                    </w:div>
                    <w:div w:id="1263800285">
                      <w:marLeft w:val="0"/>
                      <w:marRight w:val="0"/>
                      <w:marTop w:val="0"/>
                      <w:marBottom w:val="0"/>
                      <w:divBdr>
                        <w:top w:val="none" w:sz="0" w:space="0" w:color="auto"/>
                        <w:left w:val="none" w:sz="0" w:space="0" w:color="auto"/>
                        <w:bottom w:val="none" w:sz="0" w:space="0" w:color="auto"/>
                        <w:right w:val="none" w:sz="0" w:space="0" w:color="auto"/>
                      </w:divBdr>
                    </w:div>
                    <w:div w:id="1673334687">
                      <w:marLeft w:val="0"/>
                      <w:marRight w:val="0"/>
                      <w:marTop w:val="0"/>
                      <w:marBottom w:val="0"/>
                      <w:divBdr>
                        <w:top w:val="none" w:sz="0" w:space="0" w:color="auto"/>
                        <w:left w:val="none" w:sz="0" w:space="0" w:color="auto"/>
                        <w:bottom w:val="none" w:sz="0" w:space="0" w:color="auto"/>
                        <w:right w:val="none" w:sz="0" w:space="0" w:color="auto"/>
                      </w:divBdr>
                    </w:div>
                    <w:div w:id="1714884716">
                      <w:marLeft w:val="0"/>
                      <w:marRight w:val="0"/>
                      <w:marTop w:val="0"/>
                      <w:marBottom w:val="0"/>
                      <w:divBdr>
                        <w:top w:val="none" w:sz="0" w:space="0" w:color="auto"/>
                        <w:left w:val="none" w:sz="0" w:space="0" w:color="auto"/>
                        <w:bottom w:val="none" w:sz="0" w:space="0" w:color="auto"/>
                        <w:right w:val="none" w:sz="0" w:space="0" w:color="auto"/>
                      </w:divBdr>
                    </w:div>
                  </w:divsChild>
                </w:div>
                <w:div w:id="736706490">
                  <w:marLeft w:val="0"/>
                  <w:marRight w:val="0"/>
                  <w:marTop w:val="0"/>
                  <w:marBottom w:val="0"/>
                  <w:divBdr>
                    <w:top w:val="none" w:sz="0" w:space="0" w:color="auto"/>
                    <w:left w:val="none" w:sz="0" w:space="0" w:color="auto"/>
                    <w:bottom w:val="none" w:sz="0" w:space="0" w:color="auto"/>
                    <w:right w:val="none" w:sz="0" w:space="0" w:color="auto"/>
                  </w:divBdr>
                  <w:divsChild>
                    <w:div w:id="1798833797">
                      <w:marLeft w:val="0"/>
                      <w:marRight w:val="0"/>
                      <w:marTop w:val="0"/>
                      <w:marBottom w:val="0"/>
                      <w:divBdr>
                        <w:top w:val="none" w:sz="0" w:space="0" w:color="auto"/>
                        <w:left w:val="none" w:sz="0" w:space="0" w:color="auto"/>
                        <w:bottom w:val="none" w:sz="0" w:space="0" w:color="auto"/>
                        <w:right w:val="none" w:sz="0" w:space="0" w:color="auto"/>
                      </w:divBdr>
                    </w:div>
                  </w:divsChild>
                </w:div>
                <w:div w:id="741371581">
                  <w:marLeft w:val="0"/>
                  <w:marRight w:val="0"/>
                  <w:marTop w:val="0"/>
                  <w:marBottom w:val="0"/>
                  <w:divBdr>
                    <w:top w:val="none" w:sz="0" w:space="0" w:color="auto"/>
                    <w:left w:val="none" w:sz="0" w:space="0" w:color="auto"/>
                    <w:bottom w:val="none" w:sz="0" w:space="0" w:color="auto"/>
                    <w:right w:val="none" w:sz="0" w:space="0" w:color="auto"/>
                  </w:divBdr>
                  <w:divsChild>
                    <w:div w:id="603077394">
                      <w:marLeft w:val="0"/>
                      <w:marRight w:val="0"/>
                      <w:marTop w:val="0"/>
                      <w:marBottom w:val="0"/>
                      <w:divBdr>
                        <w:top w:val="none" w:sz="0" w:space="0" w:color="auto"/>
                        <w:left w:val="none" w:sz="0" w:space="0" w:color="auto"/>
                        <w:bottom w:val="none" w:sz="0" w:space="0" w:color="auto"/>
                        <w:right w:val="none" w:sz="0" w:space="0" w:color="auto"/>
                      </w:divBdr>
                    </w:div>
                    <w:div w:id="966005176">
                      <w:marLeft w:val="0"/>
                      <w:marRight w:val="0"/>
                      <w:marTop w:val="0"/>
                      <w:marBottom w:val="0"/>
                      <w:divBdr>
                        <w:top w:val="none" w:sz="0" w:space="0" w:color="auto"/>
                        <w:left w:val="none" w:sz="0" w:space="0" w:color="auto"/>
                        <w:bottom w:val="none" w:sz="0" w:space="0" w:color="auto"/>
                        <w:right w:val="none" w:sz="0" w:space="0" w:color="auto"/>
                      </w:divBdr>
                    </w:div>
                    <w:div w:id="1579515193">
                      <w:marLeft w:val="0"/>
                      <w:marRight w:val="0"/>
                      <w:marTop w:val="0"/>
                      <w:marBottom w:val="0"/>
                      <w:divBdr>
                        <w:top w:val="none" w:sz="0" w:space="0" w:color="auto"/>
                        <w:left w:val="none" w:sz="0" w:space="0" w:color="auto"/>
                        <w:bottom w:val="none" w:sz="0" w:space="0" w:color="auto"/>
                        <w:right w:val="none" w:sz="0" w:space="0" w:color="auto"/>
                      </w:divBdr>
                    </w:div>
                  </w:divsChild>
                </w:div>
                <w:div w:id="866256390">
                  <w:marLeft w:val="0"/>
                  <w:marRight w:val="0"/>
                  <w:marTop w:val="0"/>
                  <w:marBottom w:val="0"/>
                  <w:divBdr>
                    <w:top w:val="none" w:sz="0" w:space="0" w:color="auto"/>
                    <w:left w:val="none" w:sz="0" w:space="0" w:color="auto"/>
                    <w:bottom w:val="none" w:sz="0" w:space="0" w:color="auto"/>
                    <w:right w:val="none" w:sz="0" w:space="0" w:color="auto"/>
                  </w:divBdr>
                  <w:divsChild>
                    <w:div w:id="439449363">
                      <w:marLeft w:val="0"/>
                      <w:marRight w:val="0"/>
                      <w:marTop w:val="0"/>
                      <w:marBottom w:val="0"/>
                      <w:divBdr>
                        <w:top w:val="none" w:sz="0" w:space="0" w:color="auto"/>
                        <w:left w:val="none" w:sz="0" w:space="0" w:color="auto"/>
                        <w:bottom w:val="none" w:sz="0" w:space="0" w:color="auto"/>
                        <w:right w:val="none" w:sz="0" w:space="0" w:color="auto"/>
                      </w:divBdr>
                    </w:div>
                  </w:divsChild>
                </w:div>
                <w:div w:id="882330345">
                  <w:marLeft w:val="0"/>
                  <w:marRight w:val="0"/>
                  <w:marTop w:val="0"/>
                  <w:marBottom w:val="0"/>
                  <w:divBdr>
                    <w:top w:val="none" w:sz="0" w:space="0" w:color="auto"/>
                    <w:left w:val="none" w:sz="0" w:space="0" w:color="auto"/>
                    <w:bottom w:val="none" w:sz="0" w:space="0" w:color="auto"/>
                    <w:right w:val="none" w:sz="0" w:space="0" w:color="auto"/>
                  </w:divBdr>
                  <w:divsChild>
                    <w:div w:id="914171307">
                      <w:marLeft w:val="0"/>
                      <w:marRight w:val="0"/>
                      <w:marTop w:val="0"/>
                      <w:marBottom w:val="0"/>
                      <w:divBdr>
                        <w:top w:val="none" w:sz="0" w:space="0" w:color="auto"/>
                        <w:left w:val="none" w:sz="0" w:space="0" w:color="auto"/>
                        <w:bottom w:val="none" w:sz="0" w:space="0" w:color="auto"/>
                        <w:right w:val="none" w:sz="0" w:space="0" w:color="auto"/>
                      </w:divBdr>
                    </w:div>
                    <w:div w:id="1633362671">
                      <w:marLeft w:val="0"/>
                      <w:marRight w:val="0"/>
                      <w:marTop w:val="0"/>
                      <w:marBottom w:val="0"/>
                      <w:divBdr>
                        <w:top w:val="none" w:sz="0" w:space="0" w:color="auto"/>
                        <w:left w:val="none" w:sz="0" w:space="0" w:color="auto"/>
                        <w:bottom w:val="none" w:sz="0" w:space="0" w:color="auto"/>
                        <w:right w:val="none" w:sz="0" w:space="0" w:color="auto"/>
                      </w:divBdr>
                    </w:div>
                  </w:divsChild>
                </w:div>
                <w:div w:id="895432934">
                  <w:marLeft w:val="0"/>
                  <w:marRight w:val="0"/>
                  <w:marTop w:val="0"/>
                  <w:marBottom w:val="0"/>
                  <w:divBdr>
                    <w:top w:val="none" w:sz="0" w:space="0" w:color="auto"/>
                    <w:left w:val="none" w:sz="0" w:space="0" w:color="auto"/>
                    <w:bottom w:val="none" w:sz="0" w:space="0" w:color="auto"/>
                    <w:right w:val="none" w:sz="0" w:space="0" w:color="auto"/>
                  </w:divBdr>
                  <w:divsChild>
                    <w:div w:id="254484173">
                      <w:marLeft w:val="0"/>
                      <w:marRight w:val="0"/>
                      <w:marTop w:val="0"/>
                      <w:marBottom w:val="0"/>
                      <w:divBdr>
                        <w:top w:val="none" w:sz="0" w:space="0" w:color="auto"/>
                        <w:left w:val="none" w:sz="0" w:space="0" w:color="auto"/>
                        <w:bottom w:val="none" w:sz="0" w:space="0" w:color="auto"/>
                        <w:right w:val="none" w:sz="0" w:space="0" w:color="auto"/>
                      </w:divBdr>
                    </w:div>
                  </w:divsChild>
                </w:div>
                <w:div w:id="925260842">
                  <w:marLeft w:val="0"/>
                  <w:marRight w:val="0"/>
                  <w:marTop w:val="0"/>
                  <w:marBottom w:val="0"/>
                  <w:divBdr>
                    <w:top w:val="none" w:sz="0" w:space="0" w:color="auto"/>
                    <w:left w:val="none" w:sz="0" w:space="0" w:color="auto"/>
                    <w:bottom w:val="none" w:sz="0" w:space="0" w:color="auto"/>
                    <w:right w:val="none" w:sz="0" w:space="0" w:color="auto"/>
                  </w:divBdr>
                  <w:divsChild>
                    <w:div w:id="123667431">
                      <w:marLeft w:val="0"/>
                      <w:marRight w:val="0"/>
                      <w:marTop w:val="0"/>
                      <w:marBottom w:val="0"/>
                      <w:divBdr>
                        <w:top w:val="none" w:sz="0" w:space="0" w:color="auto"/>
                        <w:left w:val="none" w:sz="0" w:space="0" w:color="auto"/>
                        <w:bottom w:val="none" w:sz="0" w:space="0" w:color="auto"/>
                        <w:right w:val="none" w:sz="0" w:space="0" w:color="auto"/>
                      </w:divBdr>
                    </w:div>
                  </w:divsChild>
                </w:div>
                <w:div w:id="926814939">
                  <w:marLeft w:val="0"/>
                  <w:marRight w:val="0"/>
                  <w:marTop w:val="0"/>
                  <w:marBottom w:val="0"/>
                  <w:divBdr>
                    <w:top w:val="none" w:sz="0" w:space="0" w:color="auto"/>
                    <w:left w:val="none" w:sz="0" w:space="0" w:color="auto"/>
                    <w:bottom w:val="none" w:sz="0" w:space="0" w:color="auto"/>
                    <w:right w:val="none" w:sz="0" w:space="0" w:color="auto"/>
                  </w:divBdr>
                  <w:divsChild>
                    <w:div w:id="1139616592">
                      <w:marLeft w:val="0"/>
                      <w:marRight w:val="0"/>
                      <w:marTop w:val="0"/>
                      <w:marBottom w:val="0"/>
                      <w:divBdr>
                        <w:top w:val="none" w:sz="0" w:space="0" w:color="auto"/>
                        <w:left w:val="none" w:sz="0" w:space="0" w:color="auto"/>
                        <w:bottom w:val="none" w:sz="0" w:space="0" w:color="auto"/>
                        <w:right w:val="none" w:sz="0" w:space="0" w:color="auto"/>
                      </w:divBdr>
                    </w:div>
                  </w:divsChild>
                </w:div>
                <w:div w:id="1022124422">
                  <w:marLeft w:val="0"/>
                  <w:marRight w:val="0"/>
                  <w:marTop w:val="0"/>
                  <w:marBottom w:val="0"/>
                  <w:divBdr>
                    <w:top w:val="none" w:sz="0" w:space="0" w:color="auto"/>
                    <w:left w:val="none" w:sz="0" w:space="0" w:color="auto"/>
                    <w:bottom w:val="none" w:sz="0" w:space="0" w:color="auto"/>
                    <w:right w:val="none" w:sz="0" w:space="0" w:color="auto"/>
                  </w:divBdr>
                  <w:divsChild>
                    <w:div w:id="574709241">
                      <w:marLeft w:val="0"/>
                      <w:marRight w:val="0"/>
                      <w:marTop w:val="0"/>
                      <w:marBottom w:val="0"/>
                      <w:divBdr>
                        <w:top w:val="none" w:sz="0" w:space="0" w:color="auto"/>
                        <w:left w:val="none" w:sz="0" w:space="0" w:color="auto"/>
                        <w:bottom w:val="none" w:sz="0" w:space="0" w:color="auto"/>
                        <w:right w:val="none" w:sz="0" w:space="0" w:color="auto"/>
                      </w:divBdr>
                    </w:div>
                    <w:div w:id="1910186274">
                      <w:marLeft w:val="0"/>
                      <w:marRight w:val="0"/>
                      <w:marTop w:val="0"/>
                      <w:marBottom w:val="0"/>
                      <w:divBdr>
                        <w:top w:val="none" w:sz="0" w:space="0" w:color="auto"/>
                        <w:left w:val="none" w:sz="0" w:space="0" w:color="auto"/>
                        <w:bottom w:val="none" w:sz="0" w:space="0" w:color="auto"/>
                        <w:right w:val="none" w:sz="0" w:space="0" w:color="auto"/>
                      </w:divBdr>
                    </w:div>
                  </w:divsChild>
                </w:div>
                <w:div w:id="1066682365">
                  <w:marLeft w:val="0"/>
                  <w:marRight w:val="0"/>
                  <w:marTop w:val="0"/>
                  <w:marBottom w:val="0"/>
                  <w:divBdr>
                    <w:top w:val="none" w:sz="0" w:space="0" w:color="auto"/>
                    <w:left w:val="none" w:sz="0" w:space="0" w:color="auto"/>
                    <w:bottom w:val="none" w:sz="0" w:space="0" w:color="auto"/>
                    <w:right w:val="none" w:sz="0" w:space="0" w:color="auto"/>
                  </w:divBdr>
                  <w:divsChild>
                    <w:div w:id="1133868856">
                      <w:marLeft w:val="0"/>
                      <w:marRight w:val="0"/>
                      <w:marTop w:val="0"/>
                      <w:marBottom w:val="0"/>
                      <w:divBdr>
                        <w:top w:val="none" w:sz="0" w:space="0" w:color="auto"/>
                        <w:left w:val="none" w:sz="0" w:space="0" w:color="auto"/>
                        <w:bottom w:val="none" w:sz="0" w:space="0" w:color="auto"/>
                        <w:right w:val="none" w:sz="0" w:space="0" w:color="auto"/>
                      </w:divBdr>
                    </w:div>
                  </w:divsChild>
                </w:div>
                <w:div w:id="1079523285">
                  <w:marLeft w:val="0"/>
                  <w:marRight w:val="0"/>
                  <w:marTop w:val="0"/>
                  <w:marBottom w:val="0"/>
                  <w:divBdr>
                    <w:top w:val="none" w:sz="0" w:space="0" w:color="auto"/>
                    <w:left w:val="none" w:sz="0" w:space="0" w:color="auto"/>
                    <w:bottom w:val="none" w:sz="0" w:space="0" w:color="auto"/>
                    <w:right w:val="none" w:sz="0" w:space="0" w:color="auto"/>
                  </w:divBdr>
                  <w:divsChild>
                    <w:div w:id="554314256">
                      <w:marLeft w:val="0"/>
                      <w:marRight w:val="0"/>
                      <w:marTop w:val="0"/>
                      <w:marBottom w:val="0"/>
                      <w:divBdr>
                        <w:top w:val="none" w:sz="0" w:space="0" w:color="auto"/>
                        <w:left w:val="none" w:sz="0" w:space="0" w:color="auto"/>
                        <w:bottom w:val="none" w:sz="0" w:space="0" w:color="auto"/>
                        <w:right w:val="none" w:sz="0" w:space="0" w:color="auto"/>
                      </w:divBdr>
                    </w:div>
                  </w:divsChild>
                </w:div>
                <w:div w:id="1086221725">
                  <w:marLeft w:val="0"/>
                  <w:marRight w:val="0"/>
                  <w:marTop w:val="0"/>
                  <w:marBottom w:val="0"/>
                  <w:divBdr>
                    <w:top w:val="none" w:sz="0" w:space="0" w:color="auto"/>
                    <w:left w:val="none" w:sz="0" w:space="0" w:color="auto"/>
                    <w:bottom w:val="none" w:sz="0" w:space="0" w:color="auto"/>
                    <w:right w:val="none" w:sz="0" w:space="0" w:color="auto"/>
                  </w:divBdr>
                  <w:divsChild>
                    <w:div w:id="992493070">
                      <w:marLeft w:val="0"/>
                      <w:marRight w:val="0"/>
                      <w:marTop w:val="0"/>
                      <w:marBottom w:val="0"/>
                      <w:divBdr>
                        <w:top w:val="none" w:sz="0" w:space="0" w:color="auto"/>
                        <w:left w:val="none" w:sz="0" w:space="0" w:color="auto"/>
                        <w:bottom w:val="none" w:sz="0" w:space="0" w:color="auto"/>
                        <w:right w:val="none" w:sz="0" w:space="0" w:color="auto"/>
                      </w:divBdr>
                    </w:div>
                  </w:divsChild>
                </w:div>
                <w:div w:id="1126050107">
                  <w:marLeft w:val="0"/>
                  <w:marRight w:val="0"/>
                  <w:marTop w:val="0"/>
                  <w:marBottom w:val="0"/>
                  <w:divBdr>
                    <w:top w:val="none" w:sz="0" w:space="0" w:color="auto"/>
                    <w:left w:val="none" w:sz="0" w:space="0" w:color="auto"/>
                    <w:bottom w:val="none" w:sz="0" w:space="0" w:color="auto"/>
                    <w:right w:val="none" w:sz="0" w:space="0" w:color="auto"/>
                  </w:divBdr>
                  <w:divsChild>
                    <w:div w:id="417100973">
                      <w:marLeft w:val="0"/>
                      <w:marRight w:val="0"/>
                      <w:marTop w:val="0"/>
                      <w:marBottom w:val="0"/>
                      <w:divBdr>
                        <w:top w:val="none" w:sz="0" w:space="0" w:color="auto"/>
                        <w:left w:val="none" w:sz="0" w:space="0" w:color="auto"/>
                        <w:bottom w:val="none" w:sz="0" w:space="0" w:color="auto"/>
                        <w:right w:val="none" w:sz="0" w:space="0" w:color="auto"/>
                      </w:divBdr>
                    </w:div>
                    <w:div w:id="851990798">
                      <w:marLeft w:val="0"/>
                      <w:marRight w:val="0"/>
                      <w:marTop w:val="0"/>
                      <w:marBottom w:val="0"/>
                      <w:divBdr>
                        <w:top w:val="none" w:sz="0" w:space="0" w:color="auto"/>
                        <w:left w:val="none" w:sz="0" w:space="0" w:color="auto"/>
                        <w:bottom w:val="none" w:sz="0" w:space="0" w:color="auto"/>
                        <w:right w:val="none" w:sz="0" w:space="0" w:color="auto"/>
                      </w:divBdr>
                    </w:div>
                  </w:divsChild>
                </w:div>
                <w:div w:id="1146583217">
                  <w:marLeft w:val="0"/>
                  <w:marRight w:val="0"/>
                  <w:marTop w:val="0"/>
                  <w:marBottom w:val="0"/>
                  <w:divBdr>
                    <w:top w:val="none" w:sz="0" w:space="0" w:color="auto"/>
                    <w:left w:val="none" w:sz="0" w:space="0" w:color="auto"/>
                    <w:bottom w:val="none" w:sz="0" w:space="0" w:color="auto"/>
                    <w:right w:val="none" w:sz="0" w:space="0" w:color="auto"/>
                  </w:divBdr>
                  <w:divsChild>
                    <w:div w:id="628899695">
                      <w:marLeft w:val="0"/>
                      <w:marRight w:val="0"/>
                      <w:marTop w:val="0"/>
                      <w:marBottom w:val="0"/>
                      <w:divBdr>
                        <w:top w:val="none" w:sz="0" w:space="0" w:color="auto"/>
                        <w:left w:val="none" w:sz="0" w:space="0" w:color="auto"/>
                        <w:bottom w:val="none" w:sz="0" w:space="0" w:color="auto"/>
                        <w:right w:val="none" w:sz="0" w:space="0" w:color="auto"/>
                      </w:divBdr>
                    </w:div>
                    <w:div w:id="713820866">
                      <w:marLeft w:val="0"/>
                      <w:marRight w:val="0"/>
                      <w:marTop w:val="0"/>
                      <w:marBottom w:val="0"/>
                      <w:divBdr>
                        <w:top w:val="none" w:sz="0" w:space="0" w:color="auto"/>
                        <w:left w:val="none" w:sz="0" w:space="0" w:color="auto"/>
                        <w:bottom w:val="none" w:sz="0" w:space="0" w:color="auto"/>
                        <w:right w:val="none" w:sz="0" w:space="0" w:color="auto"/>
                      </w:divBdr>
                    </w:div>
                  </w:divsChild>
                </w:div>
                <w:div w:id="1152910602">
                  <w:marLeft w:val="0"/>
                  <w:marRight w:val="0"/>
                  <w:marTop w:val="0"/>
                  <w:marBottom w:val="0"/>
                  <w:divBdr>
                    <w:top w:val="none" w:sz="0" w:space="0" w:color="auto"/>
                    <w:left w:val="none" w:sz="0" w:space="0" w:color="auto"/>
                    <w:bottom w:val="none" w:sz="0" w:space="0" w:color="auto"/>
                    <w:right w:val="none" w:sz="0" w:space="0" w:color="auto"/>
                  </w:divBdr>
                  <w:divsChild>
                    <w:div w:id="17125837">
                      <w:marLeft w:val="0"/>
                      <w:marRight w:val="0"/>
                      <w:marTop w:val="0"/>
                      <w:marBottom w:val="0"/>
                      <w:divBdr>
                        <w:top w:val="none" w:sz="0" w:space="0" w:color="auto"/>
                        <w:left w:val="none" w:sz="0" w:space="0" w:color="auto"/>
                        <w:bottom w:val="none" w:sz="0" w:space="0" w:color="auto"/>
                        <w:right w:val="none" w:sz="0" w:space="0" w:color="auto"/>
                      </w:divBdr>
                    </w:div>
                  </w:divsChild>
                </w:div>
                <w:div w:id="1186946380">
                  <w:marLeft w:val="0"/>
                  <w:marRight w:val="0"/>
                  <w:marTop w:val="0"/>
                  <w:marBottom w:val="0"/>
                  <w:divBdr>
                    <w:top w:val="none" w:sz="0" w:space="0" w:color="auto"/>
                    <w:left w:val="none" w:sz="0" w:space="0" w:color="auto"/>
                    <w:bottom w:val="none" w:sz="0" w:space="0" w:color="auto"/>
                    <w:right w:val="none" w:sz="0" w:space="0" w:color="auto"/>
                  </w:divBdr>
                  <w:divsChild>
                    <w:div w:id="62022381">
                      <w:marLeft w:val="0"/>
                      <w:marRight w:val="0"/>
                      <w:marTop w:val="0"/>
                      <w:marBottom w:val="0"/>
                      <w:divBdr>
                        <w:top w:val="none" w:sz="0" w:space="0" w:color="auto"/>
                        <w:left w:val="none" w:sz="0" w:space="0" w:color="auto"/>
                        <w:bottom w:val="none" w:sz="0" w:space="0" w:color="auto"/>
                        <w:right w:val="none" w:sz="0" w:space="0" w:color="auto"/>
                      </w:divBdr>
                    </w:div>
                  </w:divsChild>
                </w:div>
                <w:div w:id="1257403171">
                  <w:marLeft w:val="0"/>
                  <w:marRight w:val="0"/>
                  <w:marTop w:val="0"/>
                  <w:marBottom w:val="0"/>
                  <w:divBdr>
                    <w:top w:val="none" w:sz="0" w:space="0" w:color="auto"/>
                    <w:left w:val="none" w:sz="0" w:space="0" w:color="auto"/>
                    <w:bottom w:val="none" w:sz="0" w:space="0" w:color="auto"/>
                    <w:right w:val="none" w:sz="0" w:space="0" w:color="auto"/>
                  </w:divBdr>
                  <w:divsChild>
                    <w:div w:id="1584997590">
                      <w:marLeft w:val="0"/>
                      <w:marRight w:val="0"/>
                      <w:marTop w:val="0"/>
                      <w:marBottom w:val="0"/>
                      <w:divBdr>
                        <w:top w:val="none" w:sz="0" w:space="0" w:color="auto"/>
                        <w:left w:val="none" w:sz="0" w:space="0" w:color="auto"/>
                        <w:bottom w:val="none" w:sz="0" w:space="0" w:color="auto"/>
                        <w:right w:val="none" w:sz="0" w:space="0" w:color="auto"/>
                      </w:divBdr>
                    </w:div>
                  </w:divsChild>
                </w:div>
                <w:div w:id="1265842550">
                  <w:marLeft w:val="0"/>
                  <w:marRight w:val="0"/>
                  <w:marTop w:val="0"/>
                  <w:marBottom w:val="0"/>
                  <w:divBdr>
                    <w:top w:val="none" w:sz="0" w:space="0" w:color="auto"/>
                    <w:left w:val="none" w:sz="0" w:space="0" w:color="auto"/>
                    <w:bottom w:val="none" w:sz="0" w:space="0" w:color="auto"/>
                    <w:right w:val="none" w:sz="0" w:space="0" w:color="auto"/>
                  </w:divBdr>
                  <w:divsChild>
                    <w:div w:id="615061167">
                      <w:marLeft w:val="0"/>
                      <w:marRight w:val="0"/>
                      <w:marTop w:val="0"/>
                      <w:marBottom w:val="0"/>
                      <w:divBdr>
                        <w:top w:val="none" w:sz="0" w:space="0" w:color="auto"/>
                        <w:left w:val="none" w:sz="0" w:space="0" w:color="auto"/>
                        <w:bottom w:val="none" w:sz="0" w:space="0" w:color="auto"/>
                        <w:right w:val="none" w:sz="0" w:space="0" w:color="auto"/>
                      </w:divBdr>
                    </w:div>
                  </w:divsChild>
                </w:div>
                <w:div w:id="1272321090">
                  <w:marLeft w:val="0"/>
                  <w:marRight w:val="0"/>
                  <w:marTop w:val="0"/>
                  <w:marBottom w:val="0"/>
                  <w:divBdr>
                    <w:top w:val="none" w:sz="0" w:space="0" w:color="auto"/>
                    <w:left w:val="none" w:sz="0" w:space="0" w:color="auto"/>
                    <w:bottom w:val="none" w:sz="0" w:space="0" w:color="auto"/>
                    <w:right w:val="none" w:sz="0" w:space="0" w:color="auto"/>
                  </w:divBdr>
                  <w:divsChild>
                    <w:div w:id="528298893">
                      <w:marLeft w:val="0"/>
                      <w:marRight w:val="0"/>
                      <w:marTop w:val="0"/>
                      <w:marBottom w:val="0"/>
                      <w:divBdr>
                        <w:top w:val="none" w:sz="0" w:space="0" w:color="auto"/>
                        <w:left w:val="none" w:sz="0" w:space="0" w:color="auto"/>
                        <w:bottom w:val="none" w:sz="0" w:space="0" w:color="auto"/>
                        <w:right w:val="none" w:sz="0" w:space="0" w:color="auto"/>
                      </w:divBdr>
                    </w:div>
                    <w:div w:id="1175345766">
                      <w:marLeft w:val="0"/>
                      <w:marRight w:val="0"/>
                      <w:marTop w:val="0"/>
                      <w:marBottom w:val="0"/>
                      <w:divBdr>
                        <w:top w:val="none" w:sz="0" w:space="0" w:color="auto"/>
                        <w:left w:val="none" w:sz="0" w:space="0" w:color="auto"/>
                        <w:bottom w:val="none" w:sz="0" w:space="0" w:color="auto"/>
                        <w:right w:val="none" w:sz="0" w:space="0" w:color="auto"/>
                      </w:divBdr>
                    </w:div>
                  </w:divsChild>
                </w:div>
                <w:div w:id="1294556868">
                  <w:marLeft w:val="0"/>
                  <w:marRight w:val="0"/>
                  <w:marTop w:val="0"/>
                  <w:marBottom w:val="0"/>
                  <w:divBdr>
                    <w:top w:val="none" w:sz="0" w:space="0" w:color="auto"/>
                    <w:left w:val="none" w:sz="0" w:space="0" w:color="auto"/>
                    <w:bottom w:val="none" w:sz="0" w:space="0" w:color="auto"/>
                    <w:right w:val="none" w:sz="0" w:space="0" w:color="auto"/>
                  </w:divBdr>
                  <w:divsChild>
                    <w:div w:id="1155560932">
                      <w:marLeft w:val="0"/>
                      <w:marRight w:val="0"/>
                      <w:marTop w:val="0"/>
                      <w:marBottom w:val="0"/>
                      <w:divBdr>
                        <w:top w:val="none" w:sz="0" w:space="0" w:color="auto"/>
                        <w:left w:val="none" w:sz="0" w:space="0" w:color="auto"/>
                        <w:bottom w:val="none" w:sz="0" w:space="0" w:color="auto"/>
                        <w:right w:val="none" w:sz="0" w:space="0" w:color="auto"/>
                      </w:divBdr>
                    </w:div>
                  </w:divsChild>
                </w:div>
                <w:div w:id="1301152992">
                  <w:marLeft w:val="0"/>
                  <w:marRight w:val="0"/>
                  <w:marTop w:val="0"/>
                  <w:marBottom w:val="0"/>
                  <w:divBdr>
                    <w:top w:val="none" w:sz="0" w:space="0" w:color="auto"/>
                    <w:left w:val="none" w:sz="0" w:space="0" w:color="auto"/>
                    <w:bottom w:val="none" w:sz="0" w:space="0" w:color="auto"/>
                    <w:right w:val="none" w:sz="0" w:space="0" w:color="auto"/>
                  </w:divBdr>
                  <w:divsChild>
                    <w:div w:id="365258468">
                      <w:marLeft w:val="0"/>
                      <w:marRight w:val="0"/>
                      <w:marTop w:val="0"/>
                      <w:marBottom w:val="0"/>
                      <w:divBdr>
                        <w:top w:val="none" w:sz="0" w:space="0" w:color="auto"/>
                        <w:left w:val="none" w:sz="0" w:space="0" w:color="auto"/>
                        <w:bottom w:val="none" w:sz="0" w:space="0" w:color="auto"/>
                        <w:right w:val="none" w:sz="0" w:space="0" w:color="auto"/>
                      </w:divBdr>
                    </w:div>
                  </w:divsChild>
                </w:div>
                <w:div w:id="1375082011">
                  <w:marLeft w:val="0"/>
                  <w:marRight w:val="0"/>
                  <w:marTop w:val="0"/>
                  <w:marBottom w:val="0"/>
                  <w:divBdr>
                    <w:top w:val="none" w:sz="0" w:space="0" w:color="auto"/>
                    <w:left w:val="none" w:sz="0" w:space="0" w:color="auto"/>
                    <w:bottom w:val="none" w:sz="0" w:space="0" w:color="auto"/>
                    <w:right w:val="none" w:sz="0" w:space="0" w:color="auto"/>
                  </w:divBdr>
                  <w:divsChild>
                    <w:div w:id="381439994">
                      <w:marLeft w:val="0"/>
                      <w:marRight w:val="0"/>
                      <w:marTop w:val="0"/>
                      <w:marBottom w:val="0"/>
                      <w:divBdr>
                        <w:top w:val="none" w:sz="0" w:space="0" w:color="auto"/>
                        <w:left w:val="none" w:sz="0" w:space="0" w:color="auto"/>
                        <w:bottom w:val="none" w:sz="0" w:space="0" w:color="auto"/>
                        <w:right w:val="none" w:sz="0" w:space="0" w:color="auto"/>
                      </w:divBdr>
                    </w:div>
                    <w:div w:id="1542552827">
                      <w:marLeft w:val="0"/>
                      <w:marRight w:val="0"/>
                      <w:marTop w:val="0"/>
                      <w:marBottom w:val="0"/>
                      <w:divBdr>
                        <w:top w:val="none" w:sz="0" w:space="0" w:color="auto"/>
                        <w:left w:val="none" w:sz="0" w:space="0" w:color="auto"/>
                        <w:bottom w:val="none" w:sz="0" w:space="0" w:color="auto"/>
                        <w:right w:val="none" w:sz="0" w:space="0" w:color="auto"/>
                      </w:divBdr>
                    </w:div>
                  </w:divsChild>
                </w:div>
                <w:div w:id="1386484371">
                  <w:marLeft w:val="0"/>
                  <w:marRight w:val="0"/>
                  <w:marTop w:val="0"/>
                  <w:marBottom w:val="0"/>
                  <w:divBdr>
                    <w:top w:val="none" w:sz="0" w:space="0" w:color="auto"/>
                    <w:left w:val="none" w:sz="0" w:space="0" w:color="auto"/>
                    <w:bottom w:val="none" w:sz="0" w:space="0" w:color="auto"/>
                    <w:right w:val="none" w:sz="0" w:space="0" w:color="auto"/>
                  </w:divBdr>
                  <w:divsChild>
                    <w:div w:id="287200053">
                      <w:marLeft w:val="0"/>
                      <w:marRight w:val="0"/>
                      <w:marTop w:val="0"/>
                      <w:marBottom w:val="0"/>
                      <w:divBdr>
                        <w:top w:val="none" w:sz="0" w:space="0" w:color="auto"/>
                        <w:left w:val="none" w:sz="0" w:space="0" w:color="auto"/>
                        <w:bottom w:val="none" w:sz="0" w:space="0" w:color="auto"/>
                        <w:right w:val="none" w:sz="0" w:space="0" w:color="auto"/>
                      </w:divBdr>
                    </w:div>
                    <w:div w:id="806749551">
                      <w:marLeft w:val="0"/>
                      <w:marRight w:val="0"/>
                      <w:marTop w:val="0"/>
                      <w:marBottom w:val="0"/>
                      <w:divBdr>
                        <w:top w:val="none" w:sz="0" w:space="0" w:color="auto"/>
                        <w:left w:val="none" w:sz="0" w:space="0" w:color="auto"/>
                        <w:bottom w:val="none" w:sz="0" w:space="0" w:color="auto"/>
                        <w:right w:val="none" w:sz="0" w:space="0" w:color="auto"/>
                      </w:divBdr>
                    </w:div>
                    <w:div w:id="2064140105">
                      <w:marLeft w:val="0"/>
                      <w:marRight w:val="0"/>
                      <w:marTop w:val="0"/>
                      <w:marBottom w:val="0"/>
                      <w:divBdr>
                        <w:top w:val="none" w:sz="0" w:space="0" w:color="auto"/>
                        <w:left w:val="none" w:sz="0" w:space="0" w:color="auto"/>
                        <w:bottom w:val="none" w:sz="0" w:space="0" w:color="auto"/>
                        <w:right w:val="none" w:sz="0" w:space="0" w:color="auto"/>
                      </w:divBdr>
                    </w:div>
                    <w:div w:id="2145267959">
                      <w:marLeft w:val="0"/>
                      <w:marRight w:val="0"/>
                      <w:marTop w:val="0"/>
                      <w:marBottom w:val="0"/>
                      <w:divBdr>
                        <w:top w:val="none" w:sz="0" w:space="0" w:color="auto"/>
                        <w:left w:val="none" w:sz="0" w:space="0" w:color="auto"/>
                        <w:bottom w:val="none" w:sz="0" w:space="0" w:color="auto"/>
                        <w:right w:val="none" w:sz="0" w:space="0" w:color="auto"/>
                      </w:divBdr>
                    </w:div>
                  </w:divsChild>
                </w:div>
                <w:div w:id="1451896014">
                  <w:marLeft w:val="0"/>
                  <w:marRight w:val="0"/>
                  <w:marTop w:val="0"/>
                  <w:marBottom w:val="0"/>
                  <w:divBdr>
                    <w:top w:val="none" w:sz="0" w:space="0" w:color="auto"/>
                    <w:left w:val="none" w:sz="0" w:space="0" w:color="auto"/>
                    <w:bottom w:val="none" w:sz="0" w:space="0" w:color="auto"/>
                    <w:right w:val="none" w:sz="0" w:space="0" w:color="auto"/>
                  </w:divBdr>
                  <w:divsChild>
                    <w:div w:id="1898928867">
                      <w:marLeft w:val="0"/>
                      <w:marRight w:val="0"/>
                      <w:marTop w:val="0"/>
                      <w:marBottom w:val="0"/>
                      <w:divBdr>
                        <w:top w:val="none" w:sz="0" w:space="0" w:color="auto"/>
                        <w:left w:val="none" w:sz="0" w:space="0" w:color="auto"/>
                        <w:bottom w:val="none" w:sz="0" w:space="0" w:color="auto"/>
                        <w:right w:val="none" w:sz="0" w:space="0" w:color="auto"/>
                      </w:divBdr>
                    </w:div>
                  </w:divsChild>
                </w:div>
                <w:div w:id="1526138679">
                  <w:marLeft w:val="0"/>
                  <w:marRight w:val="0"/>
                  <w:marTop w:val="0"/>
                  <w:marBottom w:val="0"/>
                  <w:divBdr>
                    <w:top w:val="none" w:sz="0" w:space="0" w:color="auto"/>
                    <w:left w:val="none" w:sz="0" w:space="0" w:color="auto"/>
                    <w:bottom w:val="none" w:sz="0" w:space="0" w:color="auto"/>
                    <w:right w:val="none" w:sz="0" w:space="0" w:color="auto"/>
                  </w:divBdr>
                  <w:divsChild>
                    <w:div w:id="1532651446">
                      <w:marLeft w:val="0"/>
                      <w:marRight w:val="0"/>
                      <w:marTop w:val="0"/>
                      <w:marBottom w:val="0"/>
                      <w:divBdr>
                        <w:top w:val="none" w:sz="0" w:space="0" w:color="auto"/>
                        <w:left w:val="none" w:sz="0" w:space="0" w:color="auto"/>
                        <w:bottom w:val="none" w:sz="0" w:space="0" w:color="auto"/>
                        <w:right w:val="none" w:sz="0" w:space="0" w:color="auto"/>
                      </w:divBdr>
                    </w:div>
                  </w:divsChild>
                </w:div>
                <w:div w:id="1643122687">
                  <w:marLeft w:val="0"/>
                  <w:marRight w:val="0"/>
                  <w:marTop w:val="0"/>
                  <w:marBottom w:val="0"/>
                  <w:divBdr>
                    <w:top w:val="none" w:sz="0" w:space="0" w:color="auto"/>
                    <w:left w:val="none" w:sz="0" w:space="0" w:color="auto"/>
                    <w:bottom w:val="none" w:sz="0" w:space="0" w:color="auto"/>
                    <w:right w:val="none" w:sz="0" w:space="0" w:color="auto"/>
                  </w:divBdr>
                  <w:divsChild>
                    <w:div w:id="1654406664">
                      <w:marLeft w:val="0"/>
                      <w:marRight w:val="0"/>
                      <w:marTop w:val="0"/>
                      <w:marBottom w:val="0"/>
                      <w:divBdr>
                        <w:top w:val="none" w:sz="0" w:space="0" w:color="auto"/>
                        <w:left w:val="none" w:sz="0" w:space="0" w:color="auto"/>
                        <w:bottom w:val="none" w:sz="0" w:space="0" w:color="auto"/>
                        <w:right w:val="none" w:sz="0" w:space="0" w:color="auto"/>
                      </w:divBdr>
                    </w:div>
                    <w:div w:id="1784380908">
                      <w:marLeft w:val="0"/>
                      <w:marRight w:val="0"/>
                      <w:marTop w:val="0"/>
                      <w:marBottom w:val="0"/>
                      <w:divBdr>
                        <w:top w:val="none" w:sz="0" w:space="0" w:color="auto"/>
                        <w:left w:val="none" w:sz="0" w:space="0" w:color="auto"/>
                        <w:bottom w:val="none" w:sz="0" w:space="0" w:color="auto"/>
                        <w:right w:val="none" w:sz="0" w:space="0" w:color="auto"/>
                      </w:divBdr>
                    </w:div>
                  </w:divsChild>
                </w:div>
                <w:div w:id="1657801594">
                  <w:marLeft w:val="0"/>
                  <w:marRight w:val="0"/>
                  <w:marTop w:val="0"/>
                  <w:marBottom w:val="0"/>
                  <w:divBdr>
                    <w:top w:val="none" w:sz="0" w:space="0" w:color="auto"/>
                    <w:left w:val="none" w:sz="0" w:space="0" w:color="auto"/>
                    <w:bottom w:val="none" w:sz="0" w:space="0" w:color="auto"/>
                    <w:right w:val="none" w:sz="0" w:space="0" w:color="auto"/>
                  </w:divBdr>
                  <w:divsChild>
                    <w:div w:id="706566009">
                      <w:marLeft w:val="0"/>
                      <w:marRight w:val="0"/>
                      <w:marTop w:val="0"/>
                      <w:marBottom w:val="0"/>
                      <w:divBdr>
                        <w:top w:val="none" w:sz="0" w:space="0" w:color="auto"/>
                        <w:left w:val="none" w:sz="0" w:space="0" w:color="auto"/>
                        <w:bottom w:val="none" w:sz="0" w:space="0" w:color="auto"/>
                        <w:right w:val="none" w:sz="0" w:space="0" w:color="auto"/>
                      </w:divBdr>
                    </w:div>
                  </w:divsChild>
                </w:div>
                <w:div w:id="1672030310">
                  <w:marLeft w:val="0"/>
                  <w:marRight w:val="0"/>
                  <w:marTop w:val="0"/>
                  <w:marBottom w:val="0"/>
                  <w:divBdr>
                    <w:top w:val="none" w:sz="0" w:space="0" w:color="auto"/>
                    <w:left w:val="none" w:sz="0" w:space="0" w:color="auto"/>
                    <w:bottom w:val="none" w:sz="0" w:space="0" w:color="auto"/>
                    <w:right w:val="none" w:sz="0" w:space="0" w:color="auto"/>
                  </w:divBdr>
                  <w:divsChild>
                    <w:div w:id="670521579">
                      <w:marLeft w:val="0"/>
                      <w:marRight w:val="0"/>
                      <w:marTop w:val="0"/>
                      <w:marBottom w:val="0"/>
                      <w:divBdr>
                        <w:top w:val="none" w:sz="0" w:space="0" w:color="auto"/>
                        <w:left w:val="none" w:sz="0" w:space="0" w:color="auto"/>
                        <w:bottom w:val="none" w:sz="0" w:space="0" w:color="auto"/>
                        <w:right w:val="none" w:sz="0" w:space="0" w:color="auto"/>
                      </w:divBdr>
                    </w:div>
                  </w:divsChild>
                </w:div>
                <w:div w:id="1714382954">
                  <w:marLeft w:val="0"/>
                  <w:marRight w:val="0"/>
                  <w:marTop w:val="0"/>
                  <w:marBottom w:val="0"/>
                  <w:divBdr>
                    <w:top w:val="none" w:sz="0" w:space="0" w:color="auto"/>
                    <w:left w:val="none" w:sz="0" w:space="0" w:color="auto"/>
                    <w:bottom w:val="none" w:sz="0" w:space="0" w:color="auto"/>
                    <w:right w:val="none" w:sz="0" w:space="0" w:color="auto"/>
                  </w:divBdr>
                  <w:divsChild>
                    <w:div w:id="1679581644">
                      <w:marLeft w:val="0"/>
                      <w:marRight w:val="0"/>
                      <w:marTop w:val="0"/>
                      <w:marBottom w:val="0"/>
                      <w:divBdr>
                        <w:top w:val="none" w:sz="0" w:space="0" w:color="auto"/>
                        <w:left w:val="none" w:sz="0" w:space="0" w:color="auto"/>
                        <w:bottom w:val="none" w:sz="0" w:space="0" w:color="auto"/>
                        <w:right w:val="none" w:sz="0" w:space="0" w:color="auto"/>
                      </w:divBdr>
                    </w:div>
                  </w:divsChild>
                </w:div>
                <w:div w:id="1733041243">
                  <w:marLeft w:val="0"/>
                  <w:marRight w:val="0"/>
                  <w:marTop w:val="0"/>
                  <w:marBottom w:val="0"/>
                  <w:divBdr>
                    <w:top w:val="none" w:sz="0" w:space="0" w:color="auto"/>
                    <w:left w:val="none" w:sz="0" w:space="0" w:color="auto"/>
                    <w:bottom w:val="none" w:sz="0" w:space="0" w:color="auto"/>
                    <w:right w:val="none" w:sz="0" w:space="0" w:color="auto"/>
                  </w:divBdr>
                  <w:divsChild>
                    <w:div w:id="494997014">
                      <w:marLeft w:val="0"/>
                      <w:marRight w:val="0"/>
                      <w:marTop w:val="0"/>
                      <w:marBottom w:val="0"/>
                      <w:divBdr>
                        <w:top w:val="none" w:sz="0" w:space="0" w:color="auto"/>
                        <w:left w:val="none" w:sz="0" w:space="0" w:color="auto"/>
                        <w:bottom w:val="none" w:sz="0" w:space="0" w:color="auto"/>
                        <w:right w:val="none" w:sz="0" w:space="0" w:color="auto"/>
                      </w:divBdr>
                    </w:div>
                  </w:divsChild>
                </w:div>
                <w:div w:id="1787847927">
                  <w:marLeft w:val="0"/>
                  <w:marRight w:val="0"/>
                  <w:marTop w:val="0"/>
                  <w:marBottom w:val="0"/>
                  <w:divBdr>
                    <w:top w:val="none" w:sz="0" w:space="0" w:color="auto"/>
                    <w:left w:val="none" w:sz="0" w:space="0" w:color="auto"/>
                    <w:bottom w:val="none" w:sz="0" w:space="0" w:color="auto"/>
                    <w:right w:val="none" w:sz="0" w:space="0" w:color="auto"/>
                  </w:divBdr>
                  <w:divsChild>
                    <w:div w:id="152644690">
                      <w:marLeft w:val="0"/>
                      <w:marRight w:val="0"/>
                      <w:marTop w:val="0"/>
                      <w:marBottom w:val="0"/>
                      <w:divBdr>
                        <w:top w:val="none" w:sz="0" w:space="0" w:color="auto"/>
                        <w:left w:val="none" w:sz="0" w:space="0" w:color="auto"/>
                        <w:bottom w:val="none" w:sz="0" w:space="0" w:color="auto"/>
                        <w:right w:val="none" w:sz="0" w:space="0" w:color="auto"/>
                      </w:divBdr>
                    </w:div>
                    <w:div w:id="1052190989">
                      <w:marLeft w:val="0"/>
                      <w:marRight w:val="0"/>
                      <w:marTop w:val="0"/>
                      <w:marBottom w:val="0"/>
                      <w:divBdr>
                        <w:top w:val="none" w:sz="0" w:space="0" w:color="auto"/>
                        <w:left w:val="none" w:sz="0" w:space="0" w:color="auto"/>
                        <w:bottom w:val="none" w:sz="0" w:space="0" w:color="auto"/>
                        <w:right w:val="none" w:sz="0" w:space="0" w:color="auto"/>
                      </w:divBdr>
                    </w:div>
                    <w:div w:id="1429496033">
                      <w:marLeft w:val="0"/>
                      <w:marRight w:val="0"/>
                      <w:marTop w:val="0"/>
                      <w:marBottom w:val="0"/>
                      <w:divBdr>
                        <w:top w:val="none" w:sz="0" w:space="0" w:color="auto"/>
                        <w:left w:val="none" w:sz="0" w:space="0" w:color="auto"/>
                        <w:bottom w:val="none" w:sz="0" w:space="0" w:color="auto"/>
                        <w:right w:val="none" w:sz="0" w:space="0" w:color="auto"/>
                      </w:divBdr>
                    </w:div>
                    <w:div w:id="1761021940">
                      <w:marLeft w:val="0"/>
                      <w:marRight w:val="0"/>
                      <w:marTop w:val="0"/>
                      <w:marBottom w:val="0"/>
                      <w:divBdr>
                        <w:top w:val="none" w:sz="0" w:space="0" w:color="auto"/>
                        <w:left w:val="none" w:sz="0" w:space="0" w:color="auto"/>
                        <w:bottom w:val="none" w:sz="0" w:space="0" w:color="auto"/>
                        <w:right w:val="none" w:sz="0" w:space="0" w:color="auto"/>
                      </w:divBdr>
                    </w:div>
                  </w:divsChild>
                </w:div>
                <w:div w:id="1811510731">
                  <w:marLeft w:val="0"/>
                  <w:marRight w:val="0"/>
                  <w:marTop w:val="0"/>
                  <w:marBottom w:val="0"/>
                  <w:divBdr>
                    <w:top w:val="none" w:sz="0" w:space="0" w:color="auto"/>
                    <w:left w:val="none" w:sz="0" w:space="0" w:color="auto"/>
                    <w:bottom w:val="none" w:sz="0" w:space="0" w:color="auto"/>
                    <w:right w:val="none" w:sz="0" w:space="0" w:color="auto"/>
                  </w:divBdr>
                  <w:divsChild>
                    <w:div w:id="78063021">
                      <w:marLeft w:val="0"/>
                      <w:marRight w:val="0"/>
                      <w:marTop w:val="0"/>
                      <w:marBottom w:val="0"/>
                      <w:divBdr>
                        <w:top w:val="none" w:sz="0" w:space="0" w:color="auto"/>
                        <w:left w:val="none" w:sz="0" w:space="0" w:color="auto"/>
                        <w:bottom w:val="none" w:sz="0" w:space="0" w:color="auto"/>
                        <w:right w:val="none" w:sz="0" w:space="0" w:color="auto"/>
                      </w:divBdr>
                    </w:div>
                  </w:divsChild>
                </w:div>
                <w:div w:id="1838031642">
                  <w:marLeft w:val="0"/>
                  <w:marRight w:val="0"/>
                  <w:marTop w:val="0"/>
                  <w:marBottom w:val="0"/>
                  <w:divBdr>
                    <w:top w:val="none" w:sz="0" w:space="0" w:color="auto"/>
                    <w:left w:val="none" w:sz="0" w:space="0" w:color="auto"/>
                    <w:bottom w:val="none" w:sz="0" w:space="0" w:color="auto"/>
                    <w:right w:val="none" w:sz="0" w:space="0" w:color="auto"/>
                  </w:divBdr>
                  <w:divsChild>
                    <w:div w:id="871722738">
                      <w:marLeft w:val="0"/>
                      <w:marRight w:val="0"/>
                      <w:marTop w:val="0"/>
                      <w:marBottom w:val="0"/>
                      <w:divBdr>
                        <w:top w:val="none" w:sz="0" w:space="0" w:color="auto"/>
                        <w:left w:val="none" w:sz="0" w:space="0" w:color="auto"/>
                        <w:bottom w:val="none" w:sz="0" w:space="0" w:color="auto"/>
                        <w:right w:val="none" w:sz="0" w:space="0" w:color="auto"/>
                      </w:divBdr>
                    </w:div>
                  </w:divsChild>
                </w:div>
                <w:div w:id="2003242478">
                  <w:marLeft w:val="0"/>
                  <w:marRight w:val="0"/>
                  <w:marTop w:val="0"/>
                  <w:marBottom w:val="0"/>
                  <w:divBdr>
                    <w:top w:val="none" w:sz="0" w:space="0" w:color="auto"/>
                    <w:left w:val="none" w:sz="0" w:space="0" w:color="auto"/>
                    <w:bottom w:val="none" w:sz="0" w:space="0" w:color="auto"/>
                    <w:right w:val="none" w:sz="0" w:space="0" w:color="auto"/>
                  </w:divBdr>
                  <w:divsChild>
                    <w:div w:id="1585801860">
                      <w:marLeft w:val="0"/>
                      <w:marRight w:val="0"/>
                      <w:marTop w:val="0"/>
                      <w:marBottom w:val="0"/>
                      <w:divBdr>
                        <w:top w:val="none" w:sz="0" w:space="0" w:color="auto"/>
                        <w:left w:val="none" w:sz="0" w:space="0" w:color="auto"/>
                        <w:bottom w:val="none" w:sz="0" w:space="0" w:color="auto"/>
                        <w:right w:val="none" w:sz="0" w:space="0" w:color="auto"/>
                      </w:divBdr>
                    </w:div>
                  </w:divsChild>
                </w:div>
                <w:div w:id="2060468589">
                  <w:marLeft w:val="0"/>
                  <w:marRight w:val="0"/>
                  <w:marTop w:val="0"/>
                  <w:marBottom w:val="0"/>
                  <w:divBdr>
                    <w:top w:val="none" w:sz="0" w:space="0" w:color="auto"/>
                    <w:left w:val="none" w:sz="0" w:space="0" w:color="auto"/>
                    <w:bottom w:val="none" w:sz="0" w:space="0" w:color="auto"/>
                    <w:right w:val="none" w:sz="0" w:space="0" w:color="auto"/>
                  </w:divBdr>
                  <w:divsChild>
                    <w:div w:id="733427872">
                      <w:marLeft w:val="0"/>
                      <w:marRight w:val="0"/>
                      <w:marTop w:val="0"/>
                      <w:marBottom w:val="0"/>
                      <w:divBdr>
                        <w:top w:val="none" w:sz="0" w:space="0" w:color="auto"/>
                        <w:left w:val="none" w:sz="0" w:space="0" w:color="auto"/>
                        <w:bottom w:val="none" w:sz="0" w:space="0" w:color="auto"/>
                        <w:right w:val="none" w:sz="0" w:space="0" w:color="auto"/>
                      </w:divBdr>
                    </w:div>
                    <w:div w:id="850027932">
                      <w:marLeft w:val="0"/>
                      <w:marRight w:val="0"/>
                      <w:marTop w:val="0"/>
                      <w:marBottom w:val="0"/>
                      <w:divBdr>
                        <w:top w:val="none" w:sz="0" w:space="0" w:color="auto"/>
                        <w:left w:val="none" w:sz="0" w:space="0" w:color="auto"/>
                        <w:bottom w:val="none" w:sz="0" w:space="0" w:color="auto"/>
                        <w:right w:val="none" w:sz="0" w:space="0" w:color="auto"/>
                      </w:divBdr>
                    </w:div>
                  </w:divsChild>
                </w:div>
                <w:div w:id="2075929861">
                  <w:marLeft w:val="0"/>
                  <w:marRight w:val="0"/>
                  <w:marTop w:val="0"/>
                  <w:marBottom w:val="0"/>
                  <w:divBdr>
                    <w:top w:val="none" w:sz="0" w:space="0" w:color="auto"/>
                    <w:left w:val="none" w:sz="0" w:space="0" w:color="auto"/>
                    <w:bottom w:val="none" w:sz="0" w:space="0" w:color="auto"/>
                    <w:right w:val="none" w:sz="0" w:space="0" w:color="auto"/>
                  </w:divBdr>
                  <w:divsChild>
                    <w:div w:id="86779802">
                      <w:marLeft w:val="0"/>
                      <w:marRight w:val="0"/>
                      <w:marTop w:val="0"/>
                      <w:marBottom w:val="0"/>
                      <w:divBdr>
                        <w:top w:val="none" w:sz="0" w:space="0" w:color="auto"/>
                        <w:left w:val="none" w:sz="0" w:space="0" w:color="auto"/>
                        <w:bottom w:val="none" w:sz="0" w:space="0" w:color="auto"/>
                        <w:right w:val="none" w:sz="0" w:space="0" w:color="auto"/>
                      </w:divBdr>
                    </w:div>
                    <w:div w:id="147391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495841">
          <w:marLeft w:val="0"/>
          <w:marRight w:val="0"/>
          <w:marTop w:val="0"/>
          <w:marBottom w:val="0"/>
          <w:divBdr>
            <w:top w:val="none" w:sz="0" w:space="0" w:color="auto"/>
            <w:left w:val="none" w:sz="0" w:space="0" w:color="auto"/>
            <w:bottom w:val="none" w:sz="0" w:space="0" w:color="auto"/>
            <w:right w:val="none" w:sz="0" w:space="0" w:color="auto"/>
          </w:divBdr>
        </w:div>
        <w:div w:id="2060207332">
          <w:marLeft w:val="0"/>
          <w:marRight w:val="0"/>
          <w:marTop w:val="0"/>
          <w:marBottom w:val="0"/>
          <w:divBdr>
            <w:top w:val="none" w:sz="0" w:space="0" w:color="auto"/>
            <w:left w:val="none" w:sz="0" w:space="0" w:color="auto"/>
            <w:bottom w:val="none" w:sz="0" w:space="0" w:color="auto"/>
            <w:right w:val="none" w:sz="0" w:space="0" w:color="auto"/>
          </w:divBdr>
        </w:div>
        <w:div w:id="2065719218">
          <w:marLeft w:val="0"/>
          <w:marRight w:val="0"/>
          <w:marTop w:val="0"/>
          <w:marBottom w:val="0"/>
          <w:divBdr>
            <w:top w:val="none" w:sz="0" w:space="0" w:color="auto"/>
            <w:left w:val="none" w:sz="0" w:space="0" w:color="auto"/>
            <w:bottom w:val="none" w:sz="0" w:space="0" w:color="auto"/>
            <w:right w:val="none" w:sz="0" w:space="0" w:color="auto"/>
          </w:divBdr>
        </w:div>
        <w:div w:id="2086536174">
          <w:marLeft w:val="0"/>
          <w:marRight w:val="0"/>
          <w:marTop w:val="0"/>
          <w:marBottom w:val="0"/>
          <w:divBdr>
            <w:top w:val="none" w:sz="0" w:space="0" w:color="auto"/>
            <w:left w:val="none" w:sz="0" w:space="0" w:color="auto"/>
            <w:bottom w:val="none" w:sz="0" w:space="0" w:color="auto"/>
            <w:right w:val="none" w:sz="0" w:space="0" w:color="auto"/>
          </w:divBdr>
        </w:div>
        <w:div w:id="2096122486">
          <w:marLeft w:val="0"/>
          <w:marRight w:val="0"/>
          <w:marTop w:val="0"/>
          <w:marBottom w:val="0"/>
          <w:divBdr>
            <w:top w:val="none" w:sz="0" w:space="0" w:color="auto"/>
            <w:left w:val="none" w:sz="0" w:space="0" w:color="auto"/>
            <w:bottom w:val="none" w:sz="0" w:space="0" w:color="auto"/>
            <w:right w:val="none" w:sz="0" w:space="0" w:color="auto"/>
          </w:divBdr>
          <w:divsChild>
            <w:div w:id="658658700">
              <w:marLeft w:val="0"/>
              <w:marRight w:val="0"/>
              <w:marTop w:val="0"/>
              <w:marBottom w:val="0"/>
              <w:divBdr>
                <w:top w:val="none" w:sz="0" w:space="0" w:color="auto"/>
                <w:left w:val="none" w:sz="0" w:space="0" w:color="auto"/>
                <w:bottom w:val="none" w:sz="0" w:space="0" w:color="auto"/>
                <w:right w:val="none" w:sz="0" w:space="0" w:color="auto"/>
              </w:divBdr>
            </w:div>
            <w:div w:id="1313021854">
              <w:marLeft w:val="0"/>
              <w:marRight w:val="0"/>
              <w:marTop w:val="0"/>
              <w:marBottom w:val="0"/>
              <w:divBdr>
                <w:top w:val="none" w:sz="0" w:space="0" w:color="auto"/>
                <w:left w:val="none" w:sz="0" w:space="0" w:color="auto"/>
                <w:bottom w:val="none" w:sz="0" w:space="0" w:color="auto"/>
                <w:right w:val="none" w:sz="0" w:space="0" w:color="auto"/>
              </w:divBdr>
            </w:div>
            <w:div w:id="1609196554">
              <w:marLeft w:val="0"/>
              <w:marRight w:val="0"/>
              <w:marTop w:val="0"/>
              <w:marBottom w:val="0"/>
              <w:divBdr>
                <w:top w:val="none" w:sz="0" w:space="0" w:color="auto"/>
                <w:left w:val="none" w:sz="0" w:space="0" w:color="auto"/>
                <w:bottom w:val="none" w:sz="0" w:space="0" w:color="auto"/>
                <w:right w:val="none" w:sz="0" w:space="0" w:color="auto"/>
              </w:divBdr>
            </w:div>
            <w:div w:id="1880850045">
              <w:marLeft w:val="0"/>
              <w:marRight w:val="0"/>
              <w:marTop w:val="0"/>
              <w:marBottom w:val="0"/>
              <w:divBdr>
                <w:top w:val="none" w:sz="0" w:space="0" w:color="auto"/>
                <w:left w:val="none" w:sz="0" w:space="0" w:color="auto"/>
                <w:bottom w:val="none" w:sz="0" w:space="0" w:color="auto"/>
                <w:right w:val="none" w:sz="0" w:space="0" w:color="auto"/>
              </w:divBdr>
            </w:div>
            <w:div w:id="2078940044">
              <w:marLeft w:val="0"/>
              <w:marRight w:val="0"/>
              <w:marTop w:val="0"/>
              <w:marBottom w:val="0"/>
              <w:divBdr>
                <w:top w:val="none" w:sz="0" w:space="0" w:color="auto"/>
                <w:left w:val="none" w:sz="0" w:space="0" w:color="auto"/>
                <w:bottom w:val="none" w:sz="0" w:space="0" w:color="auto"/>
                <w:right w:val="none" w:sz="0" w:space="0" w:color="auto"/>
              </w:divBdr>
            </w:div>
          </w:divsChild>
        </w:div>
        <w:div w:id="2117672198">
          <w:marLeft w:val="0"/>
          <w:marRight w:val="0"/>
          <w:marTop w:val="0"/>
          <w:marBottom w:val="0"/>
          <w:divBdr>
            <w:top w:val="none" w:sz="0" w:space="0" w:color="auto"/>
            <w:left w:val="none" w:sz="0" w:space="0" w:color="auto"/>
            <w:bottom w:val="none" w:sz="0" w:space="0" w:color="auto"/>
            <w:right w:val="none" w:sz="0" w:space="0" w:color="auto"/>
          </w:divBdr>
        </w:div>
        <w:div w:id="2139181978">
          <w:marLeft w:val="0"/>
          <w:marRight w:val="0"/>
          <w:marTop w:val="0"/>
          <w:marBottom w:val="0"/>
          <w:divBdr>
            <w:top w:val="none" w:sz="0" w:space="0" w:color="auto"/>
            <w:left w:val="none" w:sz="0" w:space="0" w:color="auto"/>
            <w:bottom w:val="none" w:sz="0" w:space="0" w:color="auto"/>
            <w:right w:val="none" w:sz="0" w:space="0" w:color="auto"/>
          </w:divBdr>
          <w:divsChild>
            <w:div w:id="119345113">
              <w:marLeft w:val="0"/>
              <w:marRight w:val="0"/>
              <w:marTop w:val="0"/>
              <w:marBottom w:val="0"/>
              <w:divBdr>
                <w:top w:val="none" w:sz="0" w:space="0" w:color="auto"/>
                <w:left w:val="none" w:sz="0" w:space="0" w:color="auto"/>
                <w:bottom w:val="none" w:sz="0" w:space="0" w:color="auto"/>
                <w:right w:val="none" w:sz="0" w:space="0" w:color="auto"/>
              </w:divBdr>
            </w:div>
            <w:div w:id="770708014">
              <w:marLeft w:val="0"/>
              <w:marRight w:val="0"/>
              <w:marTop w:val="0"/>
              <w:marBottom w:val="0"/>
              <w:divBdr>
                <w:top w:val="none" w:sz="0" w:space="0" w:color="auto"/>
                <w:left w:val="none" w:sz="0" w:space="0" w:color="auto"/>
                <w:bottom w:val="none" w:sz="0" w:space="0" w:color="auto"/>
                <w:right w:val="none" w:sz="0" w:space="0" w:color="auto"/>
              </w:divBdr>
            </w:div>
            <w:div w:id="1349869334">
              <w:marLeft w:val="0"/>
              <w:marRight w:val="0"/>
              <w:marTop w:val="0"/>
              <w:marBottom w:val="0"/>
              <w:divBdr>
                <w:top w:val="none" w:sz="0" w:space="0" w:color="auto"/>
                <w:left w:val="none" w:sz="0" w:space="0" w:color="auto"/>
                <w:bottom w:val="none" w:sz="0" w:space="0" w:color="auto"/>
                <w:right w:val="none" w:sz="0" w:space="0" w:color="auto"/>
              </w:divBdr>
            </w:div>
            <w:div w:id="1791437192">
              <w:marLeft w:val="0"/>
              <w:marRight w:val="0"/>
              <w:marTop w:val="0"/>
              <w:marBottom w:val="0"/>
              <w:divBdr>
                <w:top w:val="none" w:sz="0" w:space="0" w:color="auto"/>
                <w:left w:val="none" w:sz="0" w:space="0" w:color="auto"/>
                <w:bottom w:val="none" w:sz="0" w:space="0" w:color="auto"/>
                <w:right w:val="none" w:sz="0" w:space="0" w:color="auto"/>
              </w:divBdr>
            </w:div>
            <w:div w:id="179621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980605">
      <w:bodyDiv w:val="1"/>
      <w:marLeft w:val="0"/>
      <w:marRight w:val="0"/>
      <w:marTop w:val="0"/>
      <w:marBottom w:val="0"/>
      <w:divBdr>
        <w:top w:val="none" w:sz="0" w:space="0" w:color="auto"/>
        <w:left w:val="none" w:sz="0" w:space="0" w:color="auto"/>
        <w:bottom w:val="none" w:sz="0" w:space="0" w:color="auto"/>
        <w:right w:val="none" w:sz="0" w:space="0" w:color="auto"/>
      </w:divBdr>
    </w:div>
    <w:div w:id="1212228570">
      <w:bodyDiv w:val="1"/>
      <w:marLeft w:val="0"/>
      <w:marRight w:val="0"/>
      <w:marTop w:val="0"/>
      <w:marBottom w:val="0"/>
      <w:divBdr>
        <w:top w:val="none" w:sz="0" w:space="0" w:color="auto"/>
        <w:left w:val="none" w:sz="0" w:space="0" w:color="auto"/>
        <w:bottom w:val="none" w:sz="0" w:space="0" w:color="auto"/>
        <w:right w:val="none" w:sz="0" w:space="0" w:color="auto"/>
      </w:divBdr>
      <w:divsChild>
        <w:div w:id="174659294">
          <w:marLeft w:val="0"/>
          <w:marRight w:val="0"/>
          <w:marTop w:val="0"/>
          <w:marBottom w:val="0"/>
          <w:divBdr>
            <w:top w:val="none" w:sz="0" w:space="0" w:color="auto"/>
            <w:left w:val="none" w:sz="0" w:space="0" w:color="auto"/>
            <w:bottom w:val="none" w:sz="0" w:space="0" w:color="auto"/>
            <w:right w:val="none" w:sz="0" w:space="0" w:color="auto"/>
          </w:divBdr>
        </w:div>
        <w:div w:id="211768242">
          <w:marLeft w:val="0"/>
          <w:marRight w:val="0"/>
          <w:marTop w:val="0"/>
          <w:marBottom w:val="0"/>
          <w:divBdr>
            <w:top w:val="none" w:sz="0" w:space="0" w:color="auto"/>
            <w:left w:val="none" w:sz="0" w:space="0" w:color="auto"/>
            <w:bottom w:val="none" w:sz="0" w:space="0" w:color="auto"/>
            <w:right w:val="none" w:sz="0" w:space="0" w:color="auto"/>
          </w:divBdr>
        </w:div>
        <w:div w:id="247079375">
          <w:marLeft w:val="0"/>
          <w:marRight w:val="0"/>
          <w:marTop w:val="0"/>
          <w:marBottom w:val="0"/>
          <w:divBdr>
            <w:top w:val="none" w:sz="0" w:space="0" w:color="auto"/>
            <w:left w:val="none" w:sz="0" w:space="0" w:color="auto"/>
            <w:bottom w:val="none" w:sz="0" w:space="0" w:color="auto"/>
            <w:right w:val="none" w:sz="0" w:space="0" w:color="auto"/>
          </w:divBdr>
        </w:div>
        <w:div w:id="1025474074">
          <w:marLeft w:val="0"/>
          <w:marRight w:val="0"/>
          <w:marTop w:val="0"/>
          <w:marBottom w:val="0"/>
          <w:divBdr>
            <w:top w:val="none" w:sz="0" w:space="0" w:color="auto"/>
            <w:left w:val="none" w:sz="0" w:space="0" w:color="auto"/>
            <w:bottom w:val="none" w:sz="0" w:space="0" w:color="auto"/>
            <w:right w:val="none" w:sz="0" w:space="0" w:color="auto"/>
          </w:divBdr>
        </w:div>
      </w:divsChild>
    </w:div>
    <w:div w:id="1502231768">
      <w:bodyDiv w:val="1"/>
      <w:marLeft w:val="0"/>
      <w:marRight w:val="0"/>
      <w:marTop w:val="0"/>
      <w:marBottom w:val="0"/>
      <w:divBdr>
        <w:top w:val="none" w:sz="0" w:space="0" w:color="auto"/>
        <w:left w:val="none" w:sz="0" w:space="0" w:color="auto"/>
        <w:bottom w:val="none" w:sz="0" w:space="0" w:color="auto"/>
        <w:right w:val="none" w:sz="0" w:space="0" w:color="auto"/>
      </w:divBdr>
    </w:div>
    <w:div w:id="1711881676">
      <w:bodyDiv w:val="1"/>
      <w:marLeft w:val="0"/>
      <w:marRight w:val="0"/>
      <w:marTop w:val="0"/>
      <w:marBottom w:val="0"/>
      <w:divBdr>
        <w:top w:val="none" w:sz="0" w:space="0" w:color="auto"/>
        <w:left w:val="none" w:sz="0" w:space="0" w:color="auto"/>
        <w:bottom w:val="none" w:sz="0" w:space="0" w:color="auto"/>
        <w:right w:val="none" w:sz="0" w:space="0" w:color="auto"/>
      </w:divBdr>
    </w:div>
    <w:div w:id="1743486115">
      <w:bodyDiv w:val="1"/>
      <w:marLeft w:val="0"/>
      <w:marRight w:val="0"/>
      <w:marTop w:val="0"/>
      <w:marBottom w:val="0"/>
      <w:divBdr>
        <w:top w:val="none" w:sz="0" w:space="0" w:color="auto"/>
        <w:left w:val="none" w:sz="0" w:space="0" w:color="auto"/>
        <w:bottom w:val="none" w:sz="0" w:space="0" w:color="auto"/>
        <w:right w:val="none" w:sz="0" w:space="0" w:color="auto"/>
      </w:divBdr>
    </w:div>
    <w:div w:id="1771923463">
      <w:bodyDiv w:val="1"/>
      <w:marLeft w:val="0"/>
      <w:marRight w:val="0"/>
      <w:marTop w:val="0"/>
      <w:marBottom w:val="0"/>
      <w:divBdr>
        <w:top w:val="none" w:sz="0" w:space="0" w:color="auto"/>
        <w:left w:val="none" w:sz="0" w:space="0" w:color="auto"/>
        <w:bottom w:val="none" w:sz="0" w:space="0" w:color="auto"/>
        <w:right w:val="none" w:sz="0" w:space="0" w:color="auto"/>
      </w:divBdr>
    </w:div>
    <w:div w:id="1948464181">
      <w:marLeft w:val="0"/>
      <w:marRight w:val="0"/>
      <w:marTop w:val="0"/>
      <w:marBottom w:val="0"/>
      <w:divBdr>
        <w:top w:val="none" w:sz="0" w:space="0" w:color="auto"/>
        <w:left w:val="none" w:sz="0" w:space="0" w:color="auto"/>
        <w:bottom w:val="none" w:sz="0" w:space="0" w:color="auto"/>
        <w:right w:val="none" w:sz="0" w:space="0" w:color="auto"/>
      </w:divBdr>
    </w:div>
    <w:div w:id="1948464182">
      <w:marLeft w:val="0"/>
      <w:marRight w:val="0"/>
      <w:marTop w:val="0"/>
      <w:marBottom w:val="0"/>
      <w:divBdr>
        <w:top w:val="none" w:sz="0" w:space="0" w:color="auto"/>
        <w:left w:val="none" w:sz="0" w:space="0" w:color="auto"/>
        <w:bottom w:val="none" w:sz="0" w:space="0" w:color="auto"/>
        <w:right w:val="none" w:sz="0" w:space="0" w:color="auto"/>
      </w:divBdr>
    </w:div>
    <w:div w:id="1948464183">
      <w:marLeft w:val="0"/>
      <w:marRight w:val="0"/>
      <w:marTop w:val="0"/>
      <w:marBottom w:val="0"/>
      <w:divBdr>
        <w:top w:val="none" w:sz="0" w:space="0" w:color="auto"/>
        <w:left w:val="none" w:sz="0" w:space="0" w:color="auto"/>
        <w:bottom w:val="none" w:sz="0" w:space="0" w:color="auto"/>
        <w:right w:val="none" w:sz="0" w:space="0" w:color="auto"/>
      </w:divBdr>
    </w:div>
    <w:div w:id="1948464184">
      <w:marLeft w:val="0"/>
      <w:marRight w:val="0"/>
      <w:marTop w:val="0"/>
      <w:marBottom w:val="0"/>
      <w:divBdr>
        <w:top w:val="none" w:sz="0" w:space="0" w:color="auto"/>
        <w:left w:val="none" w:sz="0" w:space="0" w:color="auto"/>
        <w:bottom w:val="none" w:sz="0" w:space="0" w:color="auto"/>
        <w:right w:val="none" w:sz="0" w:space="0" w:color="auto"/>
      </w:divBdr>
    </w:div>
    <w:div w:id="1973905058">
      <w:bodyDiv w:val="1"/>
      <w:marLeft w:val="0"/>
      <w:marRight w:val="0"/>
      <w:marTop w:val="0"/>
      <w:marBottom w:val="0"/>
      <w:divBdr>
        <w:top w:val="none" w:sz="0" w:space="0" w:color="auto"/>
        <w:left w:val="none" w:sz="0" w:space="0" w:color="auto"/>
        <w:bottom w:val="none" w:sz="0" w:space="0" w:color="auto"/>
        <w:right w:val="none" w:sz="0" w:space="0" w:color="auto"/>
      </w:divBdr>
      <w:divsChild>
        <w:div w:id="9382217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ons.gov.uk/employmentandlabourmarket/peopleinwork/employmentandemployeetypes/timeseries/ybul/lms" TargetMode="External"/><Relationship Id="rId13" Type="http://schemas.openxmlformats.org/officeDocument/2006/relationships/hyperlink" Target="https://explore-education-statistics.service.gov.uk/find-statistics/children-looked-after-in-england-including-adoptions/2020" TargetMode="External"/><Relationship Id="rId18" Type="http://schemas.openxmlformats.org/officeDocument/2006/relationships/hyperlink" Target="https://www.gov.uk/maternity-pay-leave/pay" TargetMode="External"/><Relationship Id="rId26" Type="http://schemas.openxmlformats.org/officeDocument/2006/relationships/hyperlink" Target="https://www.gov.uk/government/publications/maternity-certificate-mat-b1-guidance-for-health-professionals/maternity-certificate-form-mat-b1-guidance-on-completion" TargetMode="External"/><Relationship Id="rId3" Type="http://schemas.openxmlformats.org/officeDocument/2006/relationships/hyperlink" Target="https://www.gov.uk/government/statistics/business-population-estimates-2019" TargetMode="External"/><Relationship Id="rId21" Type="http://schemas.openxmlformats.org/officeDocument/2006/relationships/hyperlink" Target="https://www.ons.gov.uk/employmentandlabourmarket/peopleinwork/earningsandworkinghours/datasets/agegroupashetable6" TargetMode="External"/><Relationship Id="rId7" Type="http://schemas.openxmlformats.org/officeDocument/2006/relationships/hyperlink" Target="https://www.ons.gov.uk/employmentandlabourmarket/peopleinwork/employmentandemployeetypes/timeseries/j64p/lms" TargetMode="External"/><Relationship Id="rId12" Type="http://schemas.openxmlformats.org/officeDocument/2006/relationships/hyperlink" Target="https://assets.publishing.service.gov.uk/government/uploads/system/uploads/attachment_data/file/110692/13-651-modern-workplaces-shared-parental-leave-and-pay-impact-assessment2.pdf" TargetMode="External"/><Relationship Id="rId17" Type="http://schemas.openxmlformats.org/officeDocument/2006/relationships/hyperlink" Target="https://archive.acas.org.uk/annualreport" TargetMode="External"/><Relationship Id="rId25" Type="http://schemas.openxmlformats.org/officeDocument/2006/relationships/hyperlink" Target="https://www.nrscotland.gov.uk/statistics-and-data/statistics/statistics-by-theme/vital-events/general-publications/vital-events-reference-tables/2020/list-of-data-tables" TargetMode="External"/><Relationship Id="rId2" Type="http://schemas.openxmlformats.org/officeDocument/2006/relationships/hyperlink" Target="https://www.gov.uk/government/statistics/tribunal-statistics-quarterly-january-to-march-2022" TargetMode="External"/><Relationship Id="rId16" Type="http://schemas.openxmlformats.org/officeDocument/2006/relationships/hyperlink" Target="https://www.gov.uk/government/uploads/system/uploads/attachment_data/file/509501/BIS-16-146-pregnancy-and-maternity-related-discrimination-and-disadvantage-experiences-of-mothers.pdf" TargetMode="External"/><Relationship Id="rId20" Type="http://schemas.openxmlformats.org/officeDocument/2006/relationships/hyperlink" Target="https://www.legislation.gov.uk/ukdsi/2020/9780111192238/impacts" TargetMode="External"/><Relationship Id="rId1" Type="http://schemas.openxmlformats.org/officeDocument/2006/relationships/hyperlink" Target="https://assets.publishing.service.gov.uk/government/uploads/system/uploads/attachment_data/file/773179/extending-redundancy-protection-for-pregnant-women.pdf" TargetMode="External"/><Relationship Id="rId6" Type="http://schemas.openxmlformats.org/officeDocument/2006/relationships/hyperlink" Target="https://www.ons.gov.uk/peoplepopulationandcommunity/birthsdeathsandmarriages/livebirths/datasets/birthsbyparentscharacteristics" TargetMode="External"/><Relationship Id="rId11" Type="http://schemas.openxmlformats.org/officeDocument/2006/relationships/hyperlink" Target="https://www.eurofound.europa.eu/observatories/emcc/erm/restructuring-statistics?field_value_group_by=restructuring_type&amp;field_value_country=9520&amp;field_value_sector=All&amp;date_from=&amp;date_to=&amp;edit-submit=Apply" TargetMode="External"/><Relationship Id="rId24" Type="http://schemas.openxmlformats.org/officeDocument/2006/relationships/hyperlink" Target="https://www.ons.gov.uk/peoplepopulationandcommunity/birthsdeathsandmarriages/livebirths/datasets/birthsbyparentscharacteristics" TargetMode="External"/><Relationship Id="rId5" Type="http://schemas.openxmlformats.org/officeDocument/2006/relationships/hyperlink" Target="https://www.gov.uk/government/consultations/pregnancy-and-maternity-discrimination-extending-redundancy-protection-for-women-and-new-parents" TargetMode="External"/><Relationship Id="rId15" Type="http://schemas.openxmlformats.org/officeDocument/2006/relationships/hyperlink" Target="https://www.gov.uk/government/statistics/family-court-statistics-quarterly-july-to-september-2021" TargetMode="External"/><Relationship Id="rId23" Type="http://schemas.openxmlformats.org/officeDocument/2006/relationships/hyperlink" Target="https://www.gov.uk/redundant-your-rights/redundancy-pay" TargetMode="External"/><Relationship Id="rId10" Type="http://schemas.openxmlformats.org/officeDocument/2006/relationships/hyperlink" Target="https://www.gov.uk/government/uploads/system/uploads/attachment_data/file/509501/BIS-16-146-pregnancy-and-maternity-related-discrimination-and-disadvantage-experiences-of-mothers.pdf" TargetMode="External"/><Relationship Id="rId19" Type="http://schemas.openxmlformats.org/officeDocument/2006/relationships/hyperlink" Target="https://assets.publishing.service.gov.uk/government/uploads/system/uploads/attachment_data/file/871865/carers-leave-consultation-impact-assessment.pdf" TargetMode="External"/><Relationship Id="rId4" Type="http://schemas.openxmlformats.org/officeDocument/2006/relationships/hyperlink" Target="https://assets.publishing.service.gov.uk/government/uploads/system/uploads/attachment_data/file/509501/BIS-16-146-pregnancy-and-maternity-related-discrimination-and-disadvantage-experiences-of-mothers.pdf" TargetMode="External"/><Relationship Id="rId9" Type="http://schemas.openxmlformats.org/officeDocument/2006/relationships/hyperlink" Target="https://www.ons.gov.uk/employmentandlabourmarket/peopleinwork/employmentandemployeetypes/datasets/fulltimeparttimeandtemporaryworkersseasonallyadjustedemp01sa" TargetMode="External"/><Relationship Id="rId14" Type="http://schemas.openxmlformats.org/officeDocument/2006/relationships/hyperlink" Target="https://www.hcch.net/en/instruments/conventions/publications1/?dtid=32&amp;cid=69" TargetMode="External"/><Relationship Id="rId22" Type="http://schemas.openxmlformats.org/officeDocument/2006/relationships/hyperlink" Target="https://www.gov.uk/redundant-your-rights/redundancy-pay" TargetMode="External"/><Relationship Id="rId27" Type="http://schemas.openxmlformats.org/officeDocument/2006/relationships/hyperlink" Target="https://www.ons.gov.uk/employmentandlabourmarket/peopleinwork/employmentandemployeetypes/timeseries/j64p/l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1ca694e7-3e1b-45da-b2f7-270e1d70d0a3">
      <UserInfo>
        <DisplayName>Glover, Megan (Labour Markets)</DisplayName>
        <AccountId>451</AccountId>
        <AccountType/>
      </UserInfo>
      <UserInfo>
        <DisplayName>SharingLinks.11ec6672-50d6-4980-9929-acb1775b7b8b.Flexible.59e0e8ee-4560-4e2d-9266-19dc50d148a1</DisplayName>
        <AccountId>1271</AccountId>
        <AccountType/>
      </UserInfo>
      <UserInfo>
        <DisplayName>SharingLinks.d6bafc75-2707-44ff-a28b-921d786cebbc.Flexible.f9fa5235-05d6-420c-881f-fdf150f36a10</DisplayName>
        <AccountId>1291</AccountId>
        <AccountType/>
      </UserInfo>
      <UserInfo>
        <DisplayName>Cheung, Catrin (Market Frameworks - Labour Markets)</DisplayName>
        <AccountId>1052</AccountId>
        <AccountType/>
      </UserInfo>
      <UserInfo>
        <DisplayName>Morris, Anthony (Market Frameworks - Labour Markets)</DisplayName>
        <AccountId>523</AccountId>
        <AccountType/>
      </UserInfo>
      <UserInfo>
        <DisplayName>Giles, Joseph (Market Frameworks - Labour Markets)</DisplayName>
        <AccountId>722</AccountId>
        <AccountType/>
      </UserInfo>
      <UserInfo>
        <DisplayName>Campanella, Sara (TIUA - Analysis Directorate)</DisplayName>
        <AccountId>500</AccountId>
        <AccountType/>
      </UserInfo>
      <UserInfo>
        <DisplayName>Pearce, Lucy (TIUA - Analysis Directorate)</DisplayName>
        <AccountId>1515</AccountId>
        <AccountType/>
      </UserInfo>
      <UserInfo>
        <DisplayName>Ariss, Louis (Market Frameworks - Labour Markets)</DisplayName>
        <AccountId>213</AccountId>
        <AccountType/>
      </UserInfo>
      <UserInfo>
        <DisplayName>Lim3, Alex (TIUA - Analysis Directorate)</DisplayName>
        <AccountId>1517</AccountId>
        <AccountType/>
      </UserInfo>
      <UserInfo>
        <DisplayName>Halka, Bryan (Market Frameworks - Labour Markets)</DisplayName>
        <AccountId>20</AccountId>
        <AccountType/>
      </UserInfo>
      <UserInfo>
        <DisplayName>Mulcahy, Tony (Market Frameworks - Labour Markets)</DisplayName>
        <AccountId>28</AccountId>
        <AccountType/>
      </UserInfo>
      <UserInfo>
        <DisplayName>Theil, Clara (Market Frameworks - Labour Markets)</DisplayName>
        <AccountId>506</AccountId>
        <AccountType/>
      </UserInfo>
      <UserInfo>
        <DisplayName>McCann, Jayne (SIG - Space Directorate)</DisplayName>
        <AccountId>161</AccountId>
        <AccountType/>
      </UserInfo>
      <UserInfo>
        <DisplayName>Bakharia, Roxana (Market Frameworks - Labour Markets)</DisplayName>
        <AccountId>585</AccountId>
        <AccountType/>
      </UserInfo>
      <UserInfo>
        <DisplayName>Marsh, Amanda (Market Frameworks - Labour Markets)</DisplayName>
        <AccountId>469</AccountId>
        <AccountType/>
      </UserInfo>
    </SharedWithUsers>
    <_activity xmlns="b2d2c4ca-07ca-48cb-9e4b-22cffaa21341"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784D15E35F5544D9C766159998ADCD9" ma:contentTypeVersion="12" ma:contentTypeDescription="Create a new document." ma:contentTypeScope="" ma:versionID="ddf31cf43d61fc418abbd0a27d0de1ab">
  <xsd:schema xmlns:xsd="http://www.w3.org/2001/XMLSchema" xmlns:xs="http://www.w3.org/2001/XMLSchema" xmlns:p="http://schemas.microsoft.com/office/2006/metadata/properties" xmlns:ns3="b2d2c4ca-07ca-48cb-9e4b-22cffaa21341" xmlns:ns4="1ca694e7-3e1b-45da-b2f7-270e1d70d0a3" targetNamespace="http://schemas.microsoft.com/office/2006/metadata/properties" ma:root="true" ma:fieldsID="d089fd56e3fa8d4c98b4fa773039277b" ns3:_="" ns4:_="">
    <xsd:import namespace="b2d2c4ca-07ca-48cb-9e4b-22cffaa21341"/>
    <xsd:import namespace="1ca694e7-3e1b-45da-b2f7-270e1d70d0a3"/>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2d2c4ca-07ca-48cb-9e4b-22cffaa21341"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ca694e7-3e1b-45da-b2f7-270e1d70d0a3"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CC634C7-7BEA-4D75-8D2F-A1CE40A02BF9}">
  <ds:schemaRefs>
    <ds:schemaRef ds:uri="http://schemas.microsoft.com/sharepoint/v3/contenttype/forms"/>
  </ds:schemaRefs>
</ds:datastoreItem>
</file>

<file path=customXml/itemProps2.xml><?xml version="1.0" encoding="utf-8"?>
<ds:datastoreItem xmlns:ds="http://schemas.openxmlformats.org/officeDocument/2006/customXml" ds:itemID="{BD2E85FB-558C-4473-882A-AD947F4DA502}">
  <ds:schemaRefs>
    <ds:schemaRef ds:uri="http://schemas.microsoft.com/office/2006/documentManagement/types"/>
    <ds:schemaRef ds:uri="b2d2c4ca-07ca-48cb-9e4b-22cffaa21341"/>
    <ds:schemaRef ds:uri="http://purl.org/dc/dcmitype/"/>
    <ds:schemaRef ds:uri="http://purl.org/dc/terms/"/>
    <ds:schemaRef ds:uri="http://schemas.microsoft.com/office/2006/metadata/properties"/>
    <ds:schemaRef ds:uri="http://purl.org/dc/elements/1.1/"/>
    <ds:schemaRef ds:uri="http://www.w3.org/XML/1998/namespace"/>
    <ds:schemaRef ds:uri="http://schemas.microsoft.com/office/infopath/2007/PartnerControls"/>
    <ds:schemaRef ds:uri="http://schemas.openxmlformats.org/package/2006/metadata/core-properties"/>
    <ds:schemaRef ds:uri="1ca694e7-3e1b-45da-b2f7-270e1d70d0a3"/>
  </ds:schemaRefs>
</ds:datastoreItem>
</file>

<file path=customXml/itemProps3.xml><?xml version="1.0" encoding="utf-8"?>
<ds:datastoreItem xmlns:ds="http://schemas.openxmlformats.org/officeDocument/2006/customXml" ds:itemID="{6EA5A8CC-4686-45B8-85CC-E851A337F0C1}">
  <ds:schemaRefs>
    <ds:schemaRef ds:uri="http://schemas.openxmlformats.org/officeDocument/2006/bibliography"/>
  </ds:schemaRefs>
</ds:datastoreItem>
</file>

<file path=customXml/itemProps4.xml><?xml version="1.0" encoding="utf-8"?>
<ds:datastoreItem xmlns:ds="http://schemas.openxmlformats.org/officeDocument/2006/customXml" ds:itemID="{6F9935B1-0B17-4324-BAE8-C6A5FCD36C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2d2c4ca-07ca-48cb-9e4b-22cffaa21341"/>
    <ds:schemaRef ds:uri="1ca694e7-3e1b-45da-b2f7-270e1d70d0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16894</Words>
  <Characters>96298</Characters>
  <Application>Microsoft Office Word</Application>
  <DocSecurity>4</DocSecurity>
  <Lines>802</Lines>
  <Paragraphs>225</Paragraphs>
  <ScaleCrop>false</ScaleCrop>
  <HeadingPairs>
    <vt:vector size="2" baseType="variant">
      <vt:variant>
        <vt:lpstr>Title</vt:lpstr>
      </vt:variant>
      <vt:variant>
        <vt:i4>1</vt:i4>
      </vt:variant>
    </vt:vector>
  </HeadingPairs>
  <TitlesOfParts>
    <vt:vector size="1" baseType="lpstr">
      <vt:lpstr>Impact Assessment</vt:lpstr>
    </vt:vector>
  </TitlesOfParts>
  <Company>BIS</Company>
  <LinksUpToDate>false</LinksUpToDate>
  <CharactersWithSpaces>112967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Impact Assessment</dc:title>
  <dc:subject/>
  <dc:creator>Ricketts Simon (GO-Science)</dc:creator>
  <cp:keywords/>
  <dc:description/>
  <cp:lastModifiedBy>Russell WOOLVEN (DBT)</cp:lastModifiedBy>
  <cp:revision>2</cp:revision>
  <cp:lastPrinted>2022-08-04T23:57:00Z</cp:lastPrinted>
  <dcterms:created xsi:type="dcterms:W3CDTF">2024-02-21T12:25:00Z</dcterms:created>
  <dcterms:modified xsi:type="dcterms:W3CDTF">2024-02-21T12:25:00Z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
  </property>
  <property fmtid="{D5CDD505-2E9C-101B-9397-08002B2CF9AE}" pid="3" name="Stage">
    <vt:lpwstr>Development/Options</vt:lpwstr>
  </property>
  <property fmtid="{D5CDD505-2E9C-101B-9397-08002B2CF9AE}" pid="4" name="MSIP_Label_ba62f585-b40f-4ab9-bafe-39150f03d124_Enabled">
    <vt:lpwstr>true</vt:lpwstr>
  </property>
  <property fmtid="{D5CDD505-2E9C-101B-9397-08002B2CF9AE}" pid="5" name="MSIP_Label_ba62f585-b40f-4ab9-bafe-39150f03d124_SetDate">
    <vt:lpwstr>2020-01-28T11:48:33Z</vt:lpwstr>
  </property>
  <property fmtid="{D5CDD505-2E9C-101B-9397-08002B2CF9AE}" pid="6" name="MSIP_Label_ba62f585-b40f-4ab9-bafe-39150f03d124_Method">
    <vt:lpwstr>Standard</vt:lpwstr>
  </property>
  <property fmtid="{D5CDD505-2E9C-101B-9397-08002B2CF9AE}" pid="7" name="MSIP_Label_ba62f585-b40f-4ab9-bafe-39150f03d124_Name">
    <vt:lpwstr>OFFICIAL</vt:lpwstr>
  </property>
  <property fmtid="{D5CDD505-2E9C-101B-9397-08002B2CF9AE}" pid="8" name="MSIP_Label_ba62f585-b40f-4ab9-bafe-39150f03d124_SiteId">
    <vt:lpwstr>cbac7005-02c1-43eb-b497-e6492d1b2dd8</vt:lpwstr>
  </property>
  <property fmtid="{D5CDD505-2E9C-101B-9397-08002B2CF9AE}" pid="9" name="MSIP_Label_ba62f585-b40f-4ab9-bafe-39150f03d124_ActionId">
    <vt:lpwstr>8210fab4-0489-44ce-80f7-00008f54350f</vt:lpwstr>
  </property>
  <property fmtid="{D5CDD505-2E9C-101B-9397-08002B2CF9AE}" pid="10" name="MSIP_Label_ba62f585-b40f-4ab9-bafe-39150f03d124_ContentBits">
    <vt:lpwstr>0</vt:lpwstr>
  </property>
  <property fmtid="{D5CDD505-2E9C-101B-9397-08002B2CF9AE}" pid="11" name="ContentTypeId">
    <vt:lpwstr>0x0101009784D15E35F5544D9C766159998ADCD9</vt:lpwstr>
  </property>
  <property fmtid="{D5CDD505-2E9C-101B-9397-08002B2CF9AE}" pid="12" name="Business Unit">
    <vt:lpwstr>1;#Individual Rights and Migration|e297c25e-8a90-4bac-9690-cbf46226cd6c</vt:lpwstr>
  </property>
  <property fmtid="{D5CDD505-2E9C-101B-9397-08002B2CF9AE}" pid="13" name="MediaServiceImageTags">
    <vt:lpwstr/>
  </property>
  <property fmtid="{D5CDD505-2E9C-101B-9397-08002B2CF9AE}" pid="14" name="_dlc_DocIdItemGuid">
    <vt:lpwstr>97ffd1de-c4cb-4552-b30e-8684d23eb30d</vt:lpwstr>
  </property>
  <property fmtid="{D5CDD505-2E9C-101B-9397-08002B2CF9AE}" pid="15" name="MSIP_Label_c1c05e37-788c-4c59-b50e-5c98323c0a70_Enabled">
    <vt:lpwstr>true</vt:lpwstr>
  </property>
  <property fmtid="{D5CDD505-2E9C-101B-9397-08002B2CF9AE}" pid="16" name="MSIP_Label_c1c05e37-788c-4c59-b50e-5c98323c0a70_SetDate">
    <vt:lpwstr>2023-12-07T15:02:34Z</vt:lpwstr>
  </property>
  <property fmtid="{D5CDD505-2E9C-101B-9397-08002B2CF9AE}" pid="17" name="MSIP_Label_c1c05e37-788c-4c59-b50e-5c98323c0a70_Method">
    <vt:lpwstr>Standard</vt:lpwstr>
  </property>
  <property fmtid="{D5CDD505-2E9C-101B-9397-08002B2CF9AE}" pid="18" name="MSIP_Label_c1c05e37-788c-4c59-b50e-5c98323c0a70_Name">
    <vt:lpwstr>OFFICIAL</vt:lpwstr>
  </property>
  <property fmtid="{D5CDD505-2E9C-101B-9397-08002B2CF9AE}" pid="19" name="MSIP_Label_c1c05e37-788c-4c59-b50e-5c98323c0a70_SiteId">
    <vt:lpwstr>8fa217ec-33aa-46fb-ad96-dfe68006bb86</vt:lpwstr>
  </property>
  <property fmtid="{D5CDD505-2E9C-101B-9397-08002B2CF9AE}" pid="20" name="MSIP_Label_c1c05e37-788c-4c59-b50e-5c98323c0a70_ActionId">
    <vt:lpwstr>09603299-7ad0-4a7d-b61e-769fe1b055eb</vt:lpwstr>
  </property>
  <property fmtid="{D5CDD505-2E9C-101B-9397-08002B2CF9AE}" pid="21" name="MSIP_Label_c1c05e37-788c-4c59-b50e-5c98323c0a70_ContentBits">
    <vt:lpwstr>0</vt:lpwstr>
  </property>
</Properties>
</file>