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D89B64" w14:textId="77777777" w:rsidR="00125099" w:rsidRPr="00D45B85" w:rsidRDefault="00125099" w:rsidP="009E1DD7">
      <w:pPr>
        <w:jc w:val="center"/>
        <w:rPr>
          <w:rFonts w:cs="Arial"/>
          <w:sz w:val="2"/>
          <w:szCs w:val="2"/>
        </w:rPr>
      </w:pPr>
    </w:p>
    <w:tbl>
      <w:tblPr>
        <w:tblW w:w="10216" w:type="dxa"/>
        <w:tblBorders>
          <w:top w:val="single" w:sz="4" w:space="0" w:color="auto"/>
          <w:left w:val="single" w:sz="4" w:space="0" w:color="auto"/>
          <w:bottom w:val="single" w:sz="4" w:space="0" w:color="auto"/>
          <w:right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706"/>
        <w:gridCol w:w="1560"/>
        <w:gridCol w:w="2551"/>
        <w:gridCol w:w="301"/>
        <w:gridCol w:w="1258"/>
        <w:gridCol w:w="2831"/>
        <w:gridCol w:w="9"/>
      </w:tblGrid>
      <w:tr w:rsidR="00B50649" w:rsidRPr="00D45B85" w14:paraId="76136A24" w14:textId="77777777" w:rsidTr="00626698">
        <w:trPr>
          <w:trHeight w:hRule="exact" w:val="2420"/>
        </w:trPr>
        <w:tc>
          <w:tcPr>
            <w:tcW w:w="6118" w:type="dxa"/>
            <w:gridSpan w:val="4"/>
            <w:tcBorders>
              <w:top w:val="single" w:sz="4" w:space="0" w:color="auto"/>
              <w:bottom w:val="single" w:sz="4" w:space="0" w:color="auto"/>
            </w:tcBorders>
            <w:shd w:val="clear" w:color="auto" w:fill="auto"/>
          </w:tcPr>
          <w:p w14:paraId="26CDF7D6" w14:textId="77777777" w:rsidR="00DD0C38" w:rsidRPr="00D45B85" w:rsidRDefault="00495404" w:rsidP="00A90857">
            <w:pPr>
              <w:pStyle w:val="IATitle"/>
            </w:pPr>
            <w:r w:rsidRPr="00D45B85">
              <w:rPr>
                <w:b/>
              </w:rPr>
              <w:t>Title</w:t>
            </w:r>
            <w:r w:rsidR="00B00194" w:rsidRPr="00D45B85">
              <w:rPr>
                <w:b/>
              </w:rPr>
              <w:t>:</w:t>
            </w:r>
            <w:r w:rsidR="00B00194" w:rsidRPr="00D45B85">
              <w:t xml:space="preserve">    </w:t>
            </w:r>
            <w:bookmarkStart w:id="0" w:name="IATitle"/>
            <w:r w:rsidR="004C1BBB" w:rsidRPr="00D45B85">
              <w:fldChar w:fldCharType="begin">
                <w:ffData>
                  <w:name w:val="IATitle"/>
                  <w:enabled/>
                  <w:calcOnExit w:val="0"/>
                  <w:textInput>
                    <w:maxLength w:val="800"/>
                  </w:textInput>
                </w:ffData>
              </w:fldChar>
            </w:r>
            <w:r w:rsidR="004C1BBB" w:rsidRPr="00D45B85">
              <w:instrText xml:space="preserve"> FORMTEXT </w:instrText>
            </w:r>
            <w:r w:rsidR="004C1BBB" w:rsidRPr="00D45B85">
              <w:fldChar w:fldCharType="separate"/>
            </w:r>
          </w:p>
          <w:p w14:paraId="46A9A289" w14:textId="77777777" w:rsidR="007F0ED9" w:rsidRPr="00D45B85" w:rsidRDefault="00DD0C38" w:rsidP="00A90857">
            <w:pPr>
              <w:pStyle w:val="IATitle"/>
            </w:pPr>
            <w:r w:rsidRPr="00D45B85">
              <w:t xml:space="preserve">EU Directive on Non Financial Reporting </w:t>
            </w:r>
            <w:r w:rsidR="004C1BBB" w:rsidRPr="00D45B85">
              <w:fldChar w:fldCharType="end"/>
            </w:r>
            <w:bookmarkEnd w:id="0"/>
          </w:p>
          <w:p w14:paraId="74CD3AC8" w14:textId="77777777" w:rsidR="00E14792" w:rsidRPr="00D45B85" w:rsidRDefault="00D50283" w:rsidP="00B00194">
            <w:pPr>
              <w:pStyle w:val="IAHeadTitle"/>
              <w:ind w:left="113"/>
              <w:rPr>
                <w:rStyle w:val="IANoChar"/>
                <w:rFonts w:cs="Arial"/>
                <w:color w:val="auto"/>
                <w:sz w:val="20"/>
                <w:szCs w:val="20"/>
                <w:lang w:eastAsia="zh-CN"/>
              </w:rPr>
            </w:pPr>
            <w:r w:rsidRPr="00D45B85">
              <w:rPr>
                <w:rFonts w:cs="Arial"/>
                <w:sz w:val="20"/>
                <w:szCs w:val="20"/>
              </w:rPr>
              <w:t>IA No:</w:t>
            </w:r>
            <w:r w:rsidR="00B00194" w:rsidRPr="00D45B85">
              <w:rPr>
                <w:rFonts w:cs="Arial"/>
                <w:sz w:val="20"/>
                <w:szCs w:val="20"/>
              </w:rPr>
              <w:t xml:space="preserve"> </w:t>
            </w:r>
            <w:r w:rsidRPr="00D45B85">
              <w:rPr>
                <w:rFonts w:cs="Arial"/>
                <w:sz w:val="20"/>
                <w:szCs w:val="20"/>
              </w:rPr>
              <w:t xml:space="preserve"> </w:t>
            </w:r>
            <w:r w:rsidR="00C55183">
              <w:rPr>
                <w:rStyle w:val="IANoChar"/>
                <w:rFonts w:cs="Arial"/>
                <w:sz w:val="20"/>
                <w:szCs w:val="20"/>
              </w:rPr>
              <w:t>BISCFA001</w:t>
            </w:r>
          </w:p>
          <w:p w14:paraId="005502C5" w14:textId="77777777" w:rsidR="008C3539" w:rsidRPr="00610AAD" w:rsidRDefault="008C3539" w:rsidP="008C3539">
            <w:pPr>
              <w:pStyle w:val="IAHeadLabel"/>
              <w:ind w:left="113"/>
              <w:rPr>
                <w:rFonts w:cs="Arial"/>
                <w:color w:val="auto"/>
              </w:rPr>
            </w:pPr>
            <w:r w:rsidRPr="00D45B85">
              <w:rPr>
                <w:rFonts w:cs="Arial"/>
              </w:rPr>
              <w:t xml:space="preserve">RPC Reference No: </w:t>
            </w:r>
            <w:r w:rsidR="00C60191" w:rsidRPr="00610AAD">
              <w:rPr>
                <w:rFonts w:cs="Arial"/>
                <w:color w:val="auto"/>
              </w:rPr>
              <w:fldChar w:fldCharType="begin">
                <w:ffData>
                  <w:name w:val="IARPCReference"/>
                  <w:enabled/>
                  <w:calcOnExit w:val="0"/>
                  <w:textInput/>
                </w:ffData>
              </w:fldChar>
            </w:r>
            <w:bookmarkStart w:id="1" w:name="IARPCReference"/>
            <w:r w:rsidR="00C60191" w:rsidRPr="00610AAD">
              <w:rPr>
                <w:rFonts w:cs="Arial"/>
                <w:color w:val="auto"/>
              </w:rPr>
              <w:instrText xml:space="preserve"> FORMTEXT </w:instrText>
            </w:r>
            <w:r w:rsidR="00C60191" w:rsidRPr="00610AAD">
              <w:rPr>
                <w:rFonts w:cs="Arial"/>
                <w:color w:val="auto"/>
              </w:rPr>
            </w:r>
            <w:r w:rsidR="00C60191" w:rsidRPr="00610AAD">
              <w:rPr>
                <w:rFonts w:cs="Arial"/>
                <w:color w:val="auto"/>
              </w:rPr>
              <w:fldChar w:fldCharType="separate"/>
            </w:r>
            <w:r w:rsidR="00DD0C38" w:rsidRPr="00610AAD">
              <w:rPr>
                <w:rFonts w:cs="Arial"/>
                <w:color w:val="auto"/>
              </w:rPr>
              <w:t> </w:t>
            </w:r>
            <w:r w:rsidR="00DD0C38" w:rsidRPr="00610AAD">
              <w:rPr>
                <w:rFonts w:cs="Arial"/>
                <w:color w:val="auto"/>
              </w:rPr>
              <w:t> </w:t>
            </w:r>
            <w:r w:rsidR="00610AAD" w:rsidRPr="00610AAD">
              <w:rPr>
                <w:color w:val="auto"/>
              </w:rPr>
              <w:t>RPC-3469(1)-BIS</w:t>
            </w:r>
            <w:r w:rsidR="00DD0C38" w:rsidRPr="00610AAD">
              <w:rPr>
                <w:rFonts w:cs="Arial"/>
                <w:color w:val="auto"/>
              </w:rPr>
              <w:t> </w:t>
            </w:r>
            <w:r w:rsidR="00DD0C38" w:rsidRPr="00610AAD">
              <w:rPr>
                <w:rFonts w:cs="Arial"/>
                <w:color w:val="auto"/>
              </w:rPr>
              <w:t> </w:t>
            </w:r>
            <w:r w:rsidR="00DD0C38" w:rsidRPr="00610AAD">
              <w:rPr>
                <w:rFonts w:cs="Arial"/>
                <w:color w:val="auto"/>
              </w:rPr>
              <w:t> </w:t>
            </w:r>
            <w:r w:rsidR="00C60191" w:rsidRPr="00610AAD">
              <w:rPr>
                <w:rFonts w:cs="Arial"/>
                <w:color w:val="auto"/>
              </w:rPr>
              <w:fldChar w:fldCharType="end"/>
            </w:r>
            <w:bookmarkEnd w:id="1"/>
          </w:p>
          <w:p w14:paraId="5857F9A2" w14:textId="77777777" w:rsidR="00DD0C38" w:rsidRPr="00D45B85" w:rsidRDefault="00495404" w:rsidP="00A90857">
            <w:pPr>
              <w:pStyle w:val="IALeadDept"/>
            </w:pPr>
            <w:r w:rsidRPr="00D45B85">
              <w:rPr>
                <w:b/>
              </w:rPr>
              <w:t>Lead department or agency:</w:t>
            </w:r>
            <w:r w:rsidR="00B00194" w:rsidRPr="00D45B85">
              <w:t xml:space="preserve">         </w:t>
            </w:r>
            <w:bookmarkStart w:id="2" w:name="IALeadDept"/>
            <w:r w:rsidR="00290335" w:rsidRPr="00D45B85">
              <w:fldChar w:fldCharType="begin">
                <w:ffData>
                  <w:name w:val="IALeadDept"/>
                  <w:enabled/>
                  <w:calcOnExit w:val="0"/>
                  <w:textInput>
                    <w:maxLength w:val="100"/>
                  </w:textInput>
                </w:ffData>
              </w:fldChar>
            </w:r>
            <w:r w:rsidR="00290335" w:rsidRPr="00D45B85">
              <w:instrText xml:space="preserve"> FORMTEXT </w:instrText>
            </w:r>
            <w:r w:rsidR="00290335" w:rsidRPr="00D45B85">
              <w:fldChar w:fldCharType="separate"/>
            </w:r>
          </w:p>
          <w:p w14:paraId="4210B34A" w14:textId="77777777" w:rsidR="001D5EC9" w:rsidRPr="00D45B85" w:rsidRDefault="00DD0C38" w:rsidP="00A90857">
            <w:pPr>
              <w:pStyle w:val="IALeadDept"/>
            </w:pPr>
            <w:r w:rsidRPr="00D45B85">
              <w:t>Department for Business Energy and Industrial Strategy</w:t>
            </w:r>
            <w:r w:rsidR="00290335" w:rsidRPr="00D45B85">
              <w:t> </w:t>
            </w:r>
            <w:r w:rsidR="00B00194" w:rsidRPr="00D45B85">
              <w:t xml:space="preserve">   </w:t>
            </w:r>
            <w:r w:rsidR="00290335" w:rsidRPr="00D45B85">
              <w:t> </w:t>
            </w:r>
            <w:r w:rsidR="00290335" w:rsidRPr="00D45B85">
              <w:t> </w:t>
            </w:r>
            <w:r w:rsidR="00290335" w:rsidRPr="00D45B85">
              <w:t> </w:t>
            </w:r>
            <w:r w:rsidR="00290335" w:rsidRPr="00D45B85">
              <w:fldChar w:fldCharType="end"/>
            </w:r>
            <w:bookmarkEnd w:id="2"/>
          </w:p>
          <w:p w14:paraId="15BAF447" w14:textId="77777777" w:rsidR="00B93466" w:rsidRPr="00D45B85" w:rsidRDefault="00495404" w:rsidP="00DD0C38">
            <w:pPr>
              <w:pStyle w:val="IATableLabel"/>
              <w:spacing w:after="0"/>
              <w:rPr>
                <w:rFonts w:cs="Arial"/>
              </w:rPr>
            </w:pPr>
            <w:r w:rsidRPr="00D45B85">
              <w:rPr>
                <w:rFonts w:cs="Arial"/>
              </w:rPr>
              <w:t>Other departments or agencies:</w:t>
            </w:r>
            <w:r w:rsidR="00B00194" w:rsidRPr="00D45B85">
              <w:rPr>
                <w:rFonts w:cs="Arial"/>
              </w:rPr>
              <w:t xml:space="preserve">  </w:t>
            </w:r>
            <w:r w:rsidR="00DF2F4B" w:rsidRPr="00D45B85">
              <w:rPr>
                <w:rFonts w:cs="Arial"/>
              </w:rPr>
              <w:t xml:space="preserve"> </w:t>
            </w:r>
            <w:bookmarkStart w:id="3" w:name="IAOtherDepts"/>
            <w:r w:rsidR="000239A7" w:rsidRPr="00D45B85">
              <w:rPr>
                <w:rFonts w:cs="Arial"/>
              </w:rPr>
              <w:fldChar w:fldCharType="begin">
                <w:ffData>
                  <w:name w:val="IAOtherDepts"/>
                  <w:enabled/>
                  <w:calcOnExit w:val="0"/>
                  <w:textInput>
                    <w:maxLength w:val="200"/>
                  </w:textInput>
                </w:ffData>
              </w:fldChar>
            </w:r>
            <w:r w:rsidR="000239A7" w:rsidRPr="00D45B85">
              <w:rPr>
                <w:rFonts w:cs="Arial"/>
              </w:rPr>
              <w:instrText xml:space="preserve"> FORMTEXT </w:instrText>
            </w:r>
            <w:r w:rsidR="000239A7" w:rsidRPr="00D45B85">
              <w:rPr>
                <w:rFonts w:cs="Arial"/>
              </w:rPr>
            </w:r>
            <w:r w:rsidR="000239A7" w:rsidRPr="00D45B85">
              <w:rPr>
                <w:rFonts w:cs="Arial"/>
              </w:rPr>
              <w:fldChar w:fldCharType="separate"/>
            </w:r>
            <w:r w:rsidR="00DD0C38" w:rsidRPr="00D45B85">
              <w:rPr>
                <w:rFonts w:cs="Arial"/>
                <w:noProof/>
              </w:rPr>
              <w:t>None</w:t>
            </w:r>
            <w:r w:rsidR="000239A7" w:rsidRPr="00D45B85">
              <w:rPr>
                <w:rFonts w:cs="Arial"/>
              </w:rPr>
              <w:fldChar w:fldCharType="end"/>
            </w:r>
            <w:bookmarkEnd w:id="3"/>
          </w:p>
        </w:tc>
        <w:tc>
          <w:tcPr>
            <w:tcW w:w="4098" w:type="dxa"/>
            <w:gridSpan w:val="3"/>
            <w:tcBorders>
              <w:top w:val="single" w:sz="4" w:space="0" w:color="auto"/>
              <w:bottom w:val="single" w:sz="4" w:space="0" w:color="auto"/>
            </w:tcBorders>
            <w:shd w:val="clear" w:color="auto" w:fill="auto"/>
          </w:tcPr>
          <w:tbl>
            <w:tblPr>
              <w:tblW w:w="4088" w:type="dxa"/>
              <w:tblInd w:w="5" w:type="dxa"/>
              <w:tblBorders>
                <w:insideH w:val="single" w:sz="4" w:space="0" w:color="333333"/>
                <w:insideV w:val="single" w:sz="4" w:space="0" w:color="333333"/>
              </w:tblBorders>
              <w:tblLayout w:type="fixed"/>
              <w:tblCellMar>
                <w:left w:w="0" w:type="dxa"/>
                <w:right w:w="0" w:type="dxa"/>
              </w:tblCellMar>
              <w:tblLook w:val="01E0" w:firstRow="1" w:lastRow="1" w:firstColumn="1" w:lastColumn="1" w:noHBand="0" w:noVBand="0"/>
            </w:tblPr>
            <w:tblGrid>
              <w:gridCol w:w="4088"/>
            </w:tblGrid>
            <w:tr w:rsidR="00B50649" w:rsidRPr="00D45B85" w14:paraId="0DE49B29" w14:textId="77777777" w:rsidTr="007E190E">
              <w:trPr>
                <w:trHeight w:hRule="exact" w:val="539"/>
              </w:trPr>
              <w:tc>
                <w:tcPr>
                  <w:tcW w:w="4088" w:type="dxa"/>
                  <w:shd w:val="clear" w:color="auto" w:fill="333333"/>
                  <w:vAlign w:val="center"/>
                </w:tcPr>
                <w:p w14:paraId="403A0BD4" w14:textId="77777777" w:rsidR="00B50649" w:rsidRPr="00D45B85" w:rsidRDefault="00B50649" w:rsidP="00E90731">
                  <w:pPr>
                    <w:pStyle w:val="Title"/>
                  </w:pPr>
                  <w:r w:rsidRPr="00D45B85">
                    <w:t>Impact Assessment (IA)</w:t>
                  </w:r>
                </w:p>
              </w:tc>
            </w:tr>
            <w:tr w:rsidR="00B50649" w:rsidRPr="00D45B85" w14:paraId="125D48C3" w14:textId="77777777" w:rsidTr="007E190E">
              <w:tc>
                <w:tcPr>
                  <w:tcW w:w="4088" w:type="dxa"/>
                  <w:shd w:val="clear" w:color="auto" w:fill="auto"/>
                </w:tcPr>
                <w:p w14:paraId="162130E4" w14:textId="77777777" w:rsidR="001F69E9" w:rsidRPr="00D45B85" w:rsidRDefault="00B50649" w:rsidP="00F25166">
                  <w:pPr>
                    <w:pStyle w:val="IATableLabel"/>
                    <w:rPr>
                      <w:rFonts w:cs="Arial"/>
                    </w:rPr>
                  </w:pPr>
                  <w:r w:rsidRPr="00D45B85">
                    <w:rPr>
                      <w:rFonts w:cs="Arial"/>
                    </w:rPr>
                    <w:t>Date:</w:t>
                  </w:r>
                  <w:r w:rsidR="0071686F" w:rsidRPr="00D45B85">
                    <w:rPr>
                      <w:rFonts w:cs="Arial"/>
                    </w:rPr>
                    <w:t xml:space="preserve"> </w:t>
                  </w:r>
                  <w:r w:rsidR="00F25166" w:rsidRPr="00D763DE">
                    <w:rPr>
                      <w:rFonts w:cs="Arial"/>
                      <w:b w:val="0"/>
                    </w:rPr>
                    <w:t>08/08/2016</w:t>
                  </w:r>
                </w:p>
              </w:tc>
            </w:tr>
            <w:tr w:rsidR="00B50649" w:rsidRPr="00D45B85" w14:paraId="35BE0235" w14:textId="77777777" w:rsidTr="007E190E">
              <w:tc>
                <w:tcPr>
                  <w:tcW w:w="4088" w:type="dxa"/>
                  <w:shd w:val="clear" w:color="auto" w:fill="auto"/>
                </w:tcPr>
                <w:p w14:paraId="1FBD2195" w14:textId="77777777" w:rsidR="00B50649" w:rsidRPr="00D45B85" w:rsidRDefault="00941D69" w:rsidP="00E90731">
                  <w:pPr>
                    <w:pStyle w:val="IATableLabel"/>
                    <w:rPr>
                      <w:rFonts w:cs="Arial"/>
                    </w:rPr>
                  </w:pPr>
                  <w:bookmarkStart w:id="4" w:name="Stage"/>
                  <w:r w:rsidRPr="00D45B85">
                    <w:rPr>
                      <w:rFonts w:cs="Arial"/>
                    </w:rPr>
                    <w:t xml:space="preserve">Stage: </w:t>
                  </w:r>
                  <w:r w:rsidRPr="00D45B85">
                    <w:rPr>
                      <w:rStyle w:val="IAStageChar"/>
                      <w:rFonts w:cs="Arial"/>
                      <w:sz w:val="20"/>
                    </w:rPr>
                    <w:fldChar w:fldCharType="begin"/>
                  </w:r>
                  <w:r w:rsidRPr="00D45B85">
                    <w:rPr>
                      <w:rStyle w:val="IAStageChar"/>
                      <w:rFonts w:cs="Arial"/>
                      <w:sz w:val="20"/>
                    </w:rPr>
                    <w:instrText xml:space="preserve"> DOCPROPERTY  Stage </w:instrText>
                  </w:r>
                  <w:r w:rsidRPr="00D45B85">
                    <w:rPr>
                      <w:rStyle w:val="IAStageChar"/>
                      <w:rFonts w:cs="Arial"/>
                      <w:sz w:val="20"/>
                    </w:rPr>
                    <w:fldChar w:fldCharType="separate"/>
                  </w:r>
                  <w:r w:rsidR="000E17BB" w:rsidRPr="00D45B85">
                    <w:rPr>
                      <w:rStyle w:val="IAStageChar"/>
                      <w:rFonts w:cs="Arial"/>
                      <w:sz w:val="20"/>
                    </w:rPr>
                    <w:t>Final</w:t>
                  </w:r>
                  <w:r w:rsidRPr="00D45B85">
                    <w:rPr>
                      <w:rStyle w:val="IAStageChar"/>
                      <w:rFonts w:cs="Arial"/>
                      <w:sz w:val="20"/>
                    </w:rPr>
                    <w:fldChar w:fldCharType="end"/>
                  </w:r>
                  <w:bookmarkEnd w:id="4"/>
                </w:p>
              </w:tc>
            </w:tr>
            <w:tr w:rsidR="00B50649" w:rsidRPr="00D45B85" w14:paraId="7F445D11" w14:textId="77777777" w:rsidTr="007E190E">
              <w:tc>
                <w:tcPr>
                  <w:tcW w:w="4088" w:type="dxa"/>
                  <w:shd w:val="clear" w:color="auto" w:fill="auto"/>
                </w:tcPr>
                <w:p w14:paraId="5567841E" w14:textId="77777777" w:rsidR="00B50649" w:rsidRPr="00D45B85" w:rsidRDefault="0071686F" w:rsidP="00E90731">
                  <w:pPr>
                    <w:pStyle w:val="IATableLabel"/>
                    <w:rPr>
                      <w:rFonts w:cs="Arial"/>
                    </w:rPr>
                  </w:pPr>
                  <w:r w:rsidRPr="00D45B85">
                    <w:rPr>
                      <w:rFonts w:cs="Arial"/>
                    </w:rPr>
                    <w:t xml:space="preserve">Source </w:t>
                  </w:r>
                  <w:r w:rsidR="006A56C1" w:rsidRPr="00D45B85">
                    <w:rPr>
                      <w:rFonts w:cs="Arial"/>
                    </w:rPr>
                    <w:t xml:space="preserve">of </w:t>
                  </w:r>
                  <w:r w:rsidRPr="00D45B85">
                    <w:rPr>
                      <w:rFonts w:cs="Arial"/>
                    </w:rPr>
                    <w:t>intervention:</w:t>
                  </w:r>
                  <w:r w:rsidR="00B50649" w:rsidRPr="00D45B85">
                    <w:rPr>
                      <w:rFonts w:cs="Arial"/>
                    </w:rPr>
                    <w:t xml:space="preserve"> </w:t>
                  </w:r>
                  <w:bookmarkStart w:id="5" w:name="IAInterSource"/>
                  <w:r w:rsidR="00290335" w:rsidRPr="00D45B85">
                    <w:rPr>
                      <w:rStyle w:val="IASOIChar"/>
                      <w:rFonts w:cs="Arial"/>
                      <w:sz w:val="20"/>
                    </w:rPr>
                    <w:fldChar w:fldCharType="begin">
                      <w:ffData>
                        <w:name w:val="IAInterSource"/>
                        <w:enabled/>
                        <w:calcOnExit w:val="0"/>
                        <w:ddList>
                          <w:result w:val="1"/>
                          <w:listEntry w:val="Domestic"/>
                          <w:listEntry w:val="EU"/>
                          <w:listEntry w:val="International"/>
                        </w:ddList>
                      </w:ffData>
                    </w:fldChar>
                  </w:r>
                  <w:r w:rsidR="00290335" w:rsidRPr="00D45B85">
                    <w:rPr>
                      <w:rStyle w:val="IASOIChar"/>
                      <w:rFonts w:cs="Arial"/>
                      <w:sz w:val="20"/>
                    </w:rPr>
                    <w:instrText xml:space="preserve"> FORMDROPDOWN </w:instrText>
                  </w:r>
                  <w:r w:rsidR="007771D9">
                    <w:rPr>
                      <w:rStyle w:val="IASOIChar"/>
                      <w:rFonts w:cs="Arial"/>
                      <w:sz w:val="20"/>
                    </w:rPr>
                  </w:r>
                  <w:r w:rsidR="007771D9">
                    <w:rPr>
                      <w:rStyle w:val="IASOIChar"/>
                      <w:rFonts w:cs="Arial"/>
                      <w:sz w:val="20"/>
                    </w:rPr>
                    <w:fldChar w:fldCharType="separate"/>
                  </w:r>
                  <w:r w:rsidR="00290335" w:rsidRPr="00D45B85">
                    <w:rPr>
                      <w:rStyle w:val="IASOIChar"/>
                      <w:rFonts w:cs="Arial"/>
                      <w:sz w:val="20"/>
                    </w:rPr>
                    <w:fldChar w:fldCharType="end"/>
                  </w:r>
                  <w:bookmarkEnd w:id="5"/>
                </w:p>
              </w:tc>
            </w:tr>
            <w:tr w:rsidR="00052F44" w:rsidRPr="00D45B85" w14:paraId="09158270" w14:textId="77777777" w:rsidTr="007E190E">
              <w:tc>
                <w:tcPr>
                  <w:tcW w:w="4088" w:type="dxa"/>
                  <w:shd w:val="clear" w:color="auto" w:fill="auto"/>
                </w:tcPr>
                <w:p w14:paraId="7CB36423" w14:textId="77777777" w:rsidR="00052F44" w:rsidRPr="00D45B85" w:rsidRDefault="00052F44" w:rsidP="00E90731">
                  <w:pPr>
                    <w:pStyle w:val="IATableLabel"/>
                    <w:rPr>
                      <w:rFonts w:cs="Arial"/>
                      <w:b w:val="0"/>
                    </w:rPr>
                  </w:pPr>
                  <w:r w:rsidRPr="00D45B85">
                    <w:rPr>
                      <w:rFonts w:cs="Arial"/>
                    </w:rPr>
                    <w:t xml:space="preserve">Type of measure: </w:t>
                  </w:r>
                  <w:bookmarkStart w:id="6" w:name="IAMeasureType"/>
                  <w:r w:rsidR="00290335" w:rsidRPr="00D45B85">
                    <w:rPr>
                      <w:rStyle w:val="IATOMChar"/>
                      <w:rFonts w:cs="Arial"/>
                      <w:sz w:val="20"/>
                    </w:rPr>
                    <w:fldChar w:fldCharType="begin">
                      <w:ffData>
                        <w:name w:val="IAMeasureType"/>
                        <w:enabled/>
                        <w:calcOnExit w:val="0"/>
                        <w:ddList>
                          <w:result w:val="1"/>
                          <w:listEntry w:val="Primary legislation"/>
                          <w:listEntry w:val="Secondary legislation"/>
                          <w:listEntry w:val="Other"/>
                        </w:ddList>
                      </w:ffData>
                    </w:fldChar>
                  </w:r>
                  <w:r w:rsidR="00290335" w:rsidRPr="00D45B85">
                    <w:rPr>
                      <w:rStyle w:val="IATOMChar"/>
                      <w:rFonts w:cs="Arial"/>
                      <w:sz w:val="20"/>
                    </w:rPr>
                    <w:instrText xml:space="preserve"> FORMDROPDOWN </w:instrText>
                  </w:r>
                  <w:r w:rsidR="007771D9">
                    <w:rPr>
                      <w:rStyle w:val="IATOMChar"/>
                      <w:rFonts w:cs="Arial"/>
                      <w:sz w:val="20"/>
                    </w:rPr>
                  </w:r>
                  <w:r w:rsidR="007771D9">
                    <w:rPr>
                      <w:rStyle w:val="IATOMChar"/>
                      <w:rFonts w:cs="Arial"/>
                      <w:sz w:val="20"/>
                    </w:rPr>
                    <w:fldChar w:fldCharType="separate"/>
                  </w:r>
                  <w:r w:rsidR="00290335" w:rsidRPr="00D45B85">
                    <w:rPr>
                      <w:rStyle w:val="IATOMChar"/>
                      <w:rFonts w:cs="Arial"/>
                      <w:sz w:val="20"/>
                    </w:rPr>
                    <w:fldChar w:fldCharType="end"/>
                  </w:r>
                  <w:bookmarkEnd w:id="6"/>
                </w:p>
              </w:tc>
            </w:tr>
            <w:tr w:rsidR="00B50649" w:rsidRPr="00D45B85" w14:paraId="12C32F7A" w14:textId="77777777" w:rsidTr="007E190E">
              <w:trPr>
                <w:trHeight w:val="1115"/>
              </w:trPr>
              <w:tc>
                <w:tcPr>
                  <w:tcW w:w="4088" w:type="dxa"/>
                  <w:shd w:val="clear" w:color="auto" w:fill="auto"/>
                </w:tcPr>
                <w:p w14:paraId="1939AF92" w14:textId="77777777" w:rsidR="00023080" w:rsidRPr="008C2C7F" w:rsidRDefault="00773719" w:rsidP="00DD0C38">
                  <w:pPr>
                    <w:ind w:left="113" w:right="113"/>
                    <w:rPr>
                      <w:rStyle w:val="IACOEChar"/>
                      <w:rFonts w:cs="Arial"/>
                      <w:b w:val="0"/>
                      <w:sz w:val="18"/>
                      <w:szCs w:val="18"/>
                    </w:rPr>
                  </w:pPr>
                  <w:r w:rsidRPr="00D45B85">
                    <w:rPr>
                      <w:rStyle w:val="IATableLabelCharChar"/>
                      <w:rFonts w:cs="Arial"/>
                      <w:sz w:val="20"/>
                      <w:szCs w:val="20"/>
                    </w:rPr>
                    <w:t>Contact for enquiries:</w:t>
                  </w:r>
                  <w:r w:rsidRPr="00D45B85">
                    <w:rPr>
                      <w:rFonts w:cs="Arial"/>
                    </w:rPr>
                    <w:t xml:space="preserve"> </w:t>
                  </w:r>
                  <w:bookmarkStart w:id="7" w:name="IAEnquiryContacts"/>
                  <w:r w:rsidRPr="008C2C7F">
                    <w:rPr>
                      <w:rStyle w:val="IACOEChar"/>
                      <w:rFonts w:cs="Arial"/>
                      <w:b w:val="0"/>
                      <w:sz w:val="18"/>
                      <w:szCs w:val="18"/>
                    </w:rPr>
                    <w:fldChar w:fldCharType="begin">
                      <w:ffData>
                        <w:name w:val="IAEnquiryContacts"/>
                        <w:enabled/>
                        <w:calcOnExit w:val="0"/>
                        <w:textInput>
                          <w:maxLength w:val="200"/>
                        </w:textInput>
                      </w:ffData>
                    </w:fldChar>
                  </w:r>
                  <w:r w:rsidRPr="008C2C7F">
                    <w:rPr>
                      <w:rStyle w:val="IACOEChar"/>
                      <w:rFonts w:cs="Arial"/>
                      <w:b w:val="0"/>
                      <w:sz w:val="18"/>
                      <w:szCs w:val="18"/>
                    </w:rPr>
                    <w:instrText xml:space="preserve"> FORMTEXT </w:instrText>
                  </w:r>
                  <w:r w:rsidRPr="008C2C7F">
                    <w:rPr>
                      <w:rStyle w:val="IACOEChar"/>
                      <w:rFonts w:cs="Arial"/>
                      <w:b w:val="0"/>
                      <w:sz w:val="18"/>
                      <w:szCs w:val="18"/>
                    </w:rPr>
                  </w:r>
                  <w:r w:rsidRPr="008C2C7F">
                    <w:rPr>
                      <w:rStyle w:val="IACOEChar"/>
                      <w:rFonts w:cs="Arial"/>
                      <w:b w:val="0"/>
                      <w:sz w:val="18"/>
                      <w:szCs w:val="18"/>
                    </w:rPr>
                    <w:fldChar w:fldCharType="separate"/>
                  </w:r>
                  <w:r w:rsidR="00DD0C38" w:rsidRPr="008C2C7F">
                    <w:rPr>
                      <w:rStyle w:val="IACOEChar"/>
                      <w:rFonts w:cs="Arial"/>
                      <w:b w:val="0"/>
                      <w:sz w:val="18"/>
                      <w:szCs w:val="18"/>
                    </w:rPr>
                    <w:t>John Conway</w:t>
                  </w:r>
                  <w:r w:rsidRPr="008C2C7F">
                    <w:rPr>
                      <w:rStyle w:val="IACOEChar"/>
                      <w:rFonts w:cs="Arial"/>
                      <w:b w:val="0"/>
                      <w:sz w:val="18"/>
                      <w:szCs w:val="18"/>
                    </w:rPr>
                    <w:fldChar w:fldCharType="end"/>
                  </w:r>
                  <w:bookmarkEnd w:id="7"/>
                </w:p>
                <w:p w14:paraId="5511464F" w14:textId="77777777" w:rsidR="008C2C7F" w:rsidRPr="008C2C7F" w:rsidRDefault="008C2C7F" w:rsidP="008C2C7F">
                  <w:pPr>
                    <w:ind w:left="113" w:right="113"/>
                    <w:rPr>
                      <w:rFonts w:cs="Arial"/>
                      <w:b/>
                    </w:rPr>
                  </w:pPr>
                  <w:proofErr w:type="spellStart"/>
                  <w:r w:rsidRPr="008C2C7F">
                    <w:rPr>
                      <w:rStyle w:val="IATableLabelCharChar"/>
                      <w:rFonts w:cs="Arial"/>
                      <w:b w:val="0"/>
                      <w:sz w:val="18"/>
                      <w:szCs w:val="18"/>
                    </w:rPr>
                    <w:t>john.conway</w:t>
                  </w:r>
                  <w:r w:rsidRPr="008C2C7F">
                    <w:rPr>
                      <w:rFonts w:cs="Arial"/>
                      <w:sz w:val="18"/>
                      <w:szCs w:val="18"/>
                    </w:rPr>
                    <w:t>@beis</w:t>
                  </w:r>
                  <w:proofErr w:type="spellEnd"/>
                  <w:r w:rsidRPr="008C2C7F">
                    <w:rPr>
                      <w:rFonts w:cs="Arial"/>
                      <w:sz w:val="18"/>
                      <w:szCs w:val="18"/>
                    </w:rPr>
                    <w:t xml:space="preserve"> .gov.uk</w:t>
                  </w:r>
                </w:p>
              </w:tc>
            </w:tr>
            <w:tr w:rsidR="000C1D45" w:rsidRPr="00D45B85" w14:paraId="73B2E483" w14:textId="77777777" w:rsidTr="007E190E">
              <w:trPr>
                <w:trHeight w:val="1115"/>
              </w:trPr>
              <w:tc>
                <w:tcPr>
                  <w:tcW w:w="4088" w:type="dxa"/>
                  <w:shd w:val="clear" w:color="auto" w:fill="auto"/>
                </w:tcPr>
                <w:p w14:paraId="65010893" w14:textId="77777777" w:rsidR="000C1D45" w:rsidRPr="00D45B85" w:rsidRDefault="000C1D45" w:rsidP="00A32793">
                  <w:pPr>
                    <w:pStyle w:val="IATableLines"/>
                    <w:rPr>
                      <w:rFonts w:cs="Arial"/>
                      <w:b/>
                      <w:color w:val="000000"/>
                      <w:sz w:val="20"/>
                    </w:rPr>
                  </w:pPr>
                </w:p>
              </w:tc>
            </w:tr>
            <w:tr w:rsidR="000C1D45" w:rsidRPr="00D45B85" w14:paraId="5327E4C1" w14:textId="77777777" w:rsidTr="007E190E">
              <w:trPr>
                <w:trHeight w:val="1115"/>
              </w:trPr>
              <w:tc>
                <w:tcPr>
                  <w:tcW w:w="4088" w:type="dxa"/>
                  <w:shd w:val="clear" w:color="auto" w:fill="auto"/>
                </w:tcPr>
                <w:p w14:paraId="30F5721F" w14:textId="77777777" w:rsidR="000C1D45" w:rsidRPr="00D45B85" w:rsidRDefault="000C1D45" w:rsidP="00A32793">
                  <w:pPr>
                    <w:pStyle w:val="IATableLines"/>
                    <w:rPr>
                      <w:rFonts w:cs="Arial"/>
                      <w:b/>
                      <w:color w:val="000000"/>
                      <w:sz w:val="20"/>
                    </w:rPr>
                  </w:pPr>
                </w:p>
              </w:tc>
            </w:tr>
            <w:tr w:rsidR="000C1D45" w:rsidRPr="00D45B85" w14:paraId="07B4C6A2" w14:textId="77777777" w:rsidTr="007E190E">
              <w:trPr>
                <w:trHeight w:val="1115"/>
              </w:trPr>
              <w:tc>
                <w:tcPr>
                  <w:tcW w:w="4088" w:type="dxa"/>
                  <w:shd w:val="clear" w:color="auto" w:fill="auto"/>
                </w:tcPr>
                <w:p w14:paraId="3C7FA39E" w14:textId="77777777" w:rsidR="000C1D45" w:rsidRPr="00D45B85" w:rsidRDefault="000C1D45" w:rsidP="00A32793">
                  <w:pPr>
                    <w:pStyle w:val="IATableLines"/>
                    <w:rPr>
                      <w:rFonts w:cs="Arial"/>
                      <w:b/>
                      <w:color w:val="000000"/>
                      <w:sz w:val="20"/>
                    </w:rPr>
                  </w:pPr>
                </w:p>
              </w:tc>
            </w:tr>
            <w:tr w:rsidR="000C1D45" w:rsidRPr="00D45B85" w14:paraId="32824786" w14:textId="77777777" w:rsidTr="007E190E">
              <w:trPr>
                <w:trHeight w:val="1115"/>
              </w:trPr>
              <w:tc>
                <w:tcPr>
                  <w:tcW w:w="4088" w:type="dxa"/>
                  <w:shd w:val="clear" w:color="auto" w:fill="auto"/>
                </w:tcPr>
                <w:p w14:paraId="3D34ED59" w14:textId="77777777" w:rsidR="000C1D45" w:rsidRPr="00D45B85" w:rsidRDefault="000C1D45" w:rsidP="00A32793">
                  <w:pPr>
                    <w:pStyle w:val="IATableLines"/>
                    <w:rPr>
                      <w:rFonts w:cs="Arial"/>
                      <w:b/>
                      <w:color w:val="000000"/>
                      <w:sz w:val="20"/>
                    </w:rPr>
                  </w:pPr>
                </w:p>
              </w:tc>
            </w:tr>
            <w:tr w:rsidR="000C1D45" w:rsidRPr="00D45B85" w14:paraId="27EC62D4" w14:textId="77777777" w:rsidTr="007E190E">
              <w:trPr>
                <w:trHeight w:val="1115"/>
              </w:trPr>
              <w:tc>
                <w:tcPr>
                  <w:tcW w:w="4088" w:type="dxa"/>
                  <w:shd w:val="clear" w:color="auto" w:fill="auto"/>
                </w:tcPr>
                <w:p w14:paraId="4AFEB180" w14:textId="77777777" w:rsidR="000C1D45" w:rsidRPr="00D45B85" w:rsidRDefault="000C1D45" w:rsidP="00A32793">
                  <w:pPr>
                    <w:pStyle w:val="IATableLines"/>
                    <w:rPr>
                      <w:rFonts w:cs="Arial"/>
                      <w:b/>
                      <w:color w:val="000000"/>
                      <w:sz w:val="20"/>
                    </w:rPr>
                  </w:pPr>
                </w:p>
              </w:tc>
            </w:tr>
            <w:tr w:rsidR="000C1D45" w:rsidRPr="00D45B85" w14:paraId="11D03D81" w14:textId="77777777" w:rsidTr="007E190E">
              <w:trPr>
                <w:trHeight w:val="1115"/>
              </w:trPr>
              <w:tc>
                <w:tcPr>
                  <w:tcW w:w="4088" w:type="dxa"/>
                  <w:shd w:val="clear" w:color="auto" w:fill="auto"/>
                </w:tcPr>
                <w:p w14:paraId="32982500" w14:textId="77777777" w:rsidR="000C1D45" w:rsidRPr="00D45B85" w:rsidRDefault="000C1D45" w:rsidP="00A32793">
                  <w:pPr>
                    <w:pStyle w:val="IATableLines"/>
                    <w:rPr>
                      <w:rFonts w:cs="Arial"/>
                      <w:b/>
                      <w:color w:val="000000"/>
                      <w:sz w:val="20"/>
                    </w:rPr>
                  </w:pPr>
                </w:p>
              </w:tc>
            </w:tr>
          </w:tbl>
          <w:p w14:paraId="7CD442CB" w14:textId="77777777" w:rsidR="00B50649" w:rsidRPr="00D45B85" w:rsidRDefault="00B50649">
            <w:pPr>
              <w:rPr>
                <w:rFonts w:eastAsia="SimSun" w:cs="Arial"/>
              </w:rPr>
            </w:pPr>
          </w:p>
        </w:tc>
      </w:tr>
      <w:tr w:rsidR="000C1D45" w:rsidRPr="003415CC" w14:paraId="38D125D8" w14:textId="77777777" w:rsidTr="00626698">
        <w:trPr>
          <w:trHeight w:hRule="exact" w:val="410"/>
        </w:trPr>
        <w:tc>
          <w:tcPr>
            <w:tcW w:w="6118" w:type="dxa"/>
            <w:gridSpan w:val="4"/>
            <w:tcBorders>
              <w:top w:val="single" w:sz="4" w:space="0" w:color="auto"/>
              <w:left w:val="nil"/>
              <w:bottom w:val="single" w:sz="4" w:space="0" w:color="auto"/>
              <w:right w:val="single" w:sz="4" w:space="0" w:color="auto"/>
            </w:tcBorders>
            <w:shd w:val="clear" w:color="auto" w:fill="auto"/>
          </w:tcPr>
          <w:p w14:paraId="61DBE5C8" w14:textId="77777777" w:rsidR="000C1D45" w:rsidRPr="000A7981" w:rsidRDefault="000C1D45" w:rsidP="007E190E">
            <w:pPr>
              <w:pStyle w:val="Heading1"/>
              <w:spacing w:before="60"/>
              <w:rPr>
                <w:rFonts w:ascii="Arial" w:eastAsia="SimSun" w:hAnsi="Arial"/>
                <w:sz w:val="28"/>
                <w:szCs w:val="28"/>
              </w:rPr>
            </w:pPr>
            <w:r w:rsidRPr="000A7981">
              <w:rPr>
                <w:rFonts w:ascii="Arial" w:eastAsia="SimSun" w:hAnsi="Arial"/>
                <w:sz w:val="28"/>
                <w:szCs w:val="28"/>
              </w:rPr>
              <w:t xml:space="preserve">Summary: Intervention and Options </w:t>
            </w:r>
          </w:p>
          <w:p w14:paraId="4C0B097D" w14:textId="77777777" w:rsidR="000C1D45" w:rsidRPr="00D45B85" w:rsidRDefault="000C1D45" w:rsidP="007E190E">
            <w:pPr>
              <w:pStyle w:val="IAHeadLabel0"/>
              <w:spacing w:before="50"/>
              <w:ind w:left="113"/>
              <w:rPr>
                <w:rFonts w:cs="Arial"/>
                <w:sz w:val="28"/>
                <w:szCs w:val="28"/>
              </w:rPr>
            </w:pPr>
          </w:p>
        </w:tc>
        <w:tc>
          <w:tcPr>
            <w:tcW w:w="4098" w:type="dxa"/>
            <w:gridSpan w:val="3"/>
            <w:tcBorders>
              <w:top w:val="single" w:sz="4" w:space="0" w:color="auto"/>
              <w:left w:val="single" w:sz="4" w:space="0" w:color="auto"/>
              <w:bottom w:val="single" w:sz="4" w:space="0" w:color="auto"/>
              <w:right w:val="single" w:sz="4" w:space="0" w:color="auto"/>
            </w:tcBorders>
            <w:shd w:val="clear" w:color="auto" w:fill="E0E0E0"/>
            <w:vAlign w:val="center"/>
          </w:tcPr>
          <w:p w14:paraId="5E77E676" w14:textId="77777777" w:rsidR="000C1D45" w:rsidRPr="003415CC" w:rsidRDefault="000C1D45" w:rsidP="00307737">
            <w:pPr>
              <w:pStyle w:val="Title"/>
              <w:rPr>
                <w:rFonts w:eastAsia="SimSun"/>
                <w:b/>
                <w:color w:val="auto"/>
                <w:sz w:val="24"/>
                <w:szCs w:val="24"/>
              </w:rPr>
            </w:pPr>
            <w:r w:rsidRPr="004E09CE">
              <w:rPr>
                <w:rFonts w:eastAsia="SimSun"/>
                <w:b/>
                <w:color w:val="auto"/>
                <w:sz w:val="24"/>
                <w:szCs w:val="24"/>
              </w:rPr>
              <w:t>RPC</w:t>
            </w:r>
            <w:r w:rsidR="00EC6B93" w:rsidRPr="004E09CE">
              <w:rPr>
                <w:rFonts w:eastAsia="SimSun"/>
                <w:b/>
                <w:color w:val="auto"/>
                <w:sz w:val="24"/>
                <w:szCs w:val="24"/>
              </w:rPr>
              <w:t xml:space="preserve"> Opinion</w:t>
            </w:r>
            <w:r w:rsidRPr="004E09CE">
              <w:rPr>
                <w:rFonts w:eastAsia="SimSun"/>
                <w:b/>
                <w:color w:val="auto"/>
                <w:sz w:val="24"/>
                <w:szCs w:val="24"/>
              </w:rPr>
              <w:t xml:space="preserve">: </w:t>
            </w:r>
            <w:r w:rsidR="00307737" w:rsidRPr="003415CC">
              <w:rPr>
                <w:rStyle w:val="IARPCChar"/>
              </w:rPr>
              <w:fldChar w:fldCharType="begin">
                <w:ffData>
                  <w:name w:val="IARPC"/>
                  <w:enabled/>
                  <w:calcOnExit w:val="0"/>
                  <w:ddList>
                    <w:result w:val="1"/>
                    <w:listEntry w:val="RPC Opinion Status"/>
                    <w:listEntry w:val="Awaiting Scrutiny"/>
                    <w:listEntry w:val="RED"/>
                    <w:listEntry w:val="AMBER"/>
                    <w:listEntry w:val="GREEN"/>
                    <w:listEntry w:val="EANDCB Validated"/>
                    <w:listEntry w:val="Not Applicable"/>
                  </w:ddList>
                </w:ffData>
              </w:fldChar>
            </w:r>
            <w:bookmarkStart w:id="8" w:name="IARPC"/>
            <w:r w:rsidR="00307737" w:rsidRPr="003415CC">
              <w:rPr>
                <w:rStyle w:val="IARPCChar"/>
              </w:rPr>
              <w:instrText xml:space="preserve"> FORMDROPDOWN </w:instrText>
            </w:r>
            <w:r w:rsidR="007771D9">
              <w:rPr>
                <w:rStyle w:val="IARPCChar"/>
              </w:rPr>
            </w:r>
            <w:r w:rsidR="007771D9">
              <w:rPr>
                <w:rStyle w:val="IARPCChar"/>
              </w:rPr>
              <w:fldChar w:fldCharType="separate"/>
            </w:r>
            <w:r w:rsidR="00307737" w:rsidRPr="003415CC">
              <w:rPr>
                <w:rStyle w:val="IARPCChar"/>
              </w:rPr>
              <w:fldChar w:fldCharType="end"/>
            </w:r>
            <w:bookmarkEnd w:id="8"/>
          </w:p>
        </w:tc>
      </w:tr>
      <w:tr w:rsidR="00372A69" w:rsidRPr="003415CC" w14:paraId="4D5D8FE7" w14:textId="77777777" w:rsidTr="00626698">
        <w:trPr>
          <w:trHeight w:hRule="exact" w:val="90"/>
        </w:trPr>
        <w:tc>
          <w:tcPr>
            <w:tcW w:w="10216" w:type="dxa"/>
            <w:gridSpan w:val="7"/>
            <w:tcBorders>
              <w:top w:val="single" w:sz="4" w:space="0" w:color="auto"/>
              <w:left w:val="nil"/>
              <w:bottom w:val="nil"/>
              <w:right w:val="single" w:sz="4" w:space="0" w:color="auto"/>
            </w:tcBorders>
            <w:shd w:val="clear" w:color="auto" w:fill="auto"/>
          </w:tcPr>
          <w:p w14:paraId="4AA5954D" w14:textId="77777777" w:rsidR="00372A69" w:rsidRPr="003415CC" w:rsidRDefault="00372A69" w:rsidP="00372A69">
            <w:pPr>
              <w:rPr>
                <w:rFonts w:eastAsia="SimSun" w:cs="Arial"/>
              </w:rPr>
            </w:pPr>
          </w:p>
        </w:tc>
      </w:tr>
      <w:tr w:rsidR="00372A69" w:rsidRPr="003415CC" w14:paraId="07349C02" w14:textId="77777777" w:rsidTr="00626698">
        <w:tblPrEx>
          <w:tblBorders>
            <w:insideV w:val="none" w:sz="0" w:space="0" w:color="auto"/>
          </w:tblBorders>
          <w:shd w:val="clear" w:color="auto" w:fill="E0E0E0"/>
        </w:tblPrEx>
        <w:trPr>
          <w:gridAfter w:val="1"/>
          <w:wAfter w:w="9" w:type="dxa"/>
          <w:trHeight w:hRule="exact" w:val="312"/>
        </w:trPr>
        <w:tc>
          <w:tcPr>
            <w:tcW w:w="10207" w:type="dxa"/>
            <w:gridSpan w:val="6"/>
            <w:tcBorders>
              <w:top w:val="single" w:sz="4" w:space="0" w:color="auto"/>
              <w:bottom w:val="nil"/>
              <w:right w:val="single" w:sz="4" w:space="0" w:color="auto"/>
            </w:tcBorders>
            <w:shd w:val="clear" w:color="auto" w:fill="E0E0E0"/>
          </w:tcPr>
          <w:p w14:paraId="19665E19" w14:textId="77777777" w:rsidR="00372A69" w:rsidRPr="003415CC" w:rsidRDefault="00372A69" w:rsidP="006A0557">
            <w:pPr>
              <w:pStyle w:val="IATableLabel"/>
              <w:ind w:left="0"/>
              <w:jc w:val="center"/>
              <w:rPr>
                <w:rFonts w:cs="Arial"/>
              </w:rPr>
            </w:pPr>
            <w:bookmarkStart w:id="9" w:name="CostText"/>
            <w:r w:rsidRPr="003415CC">
              <w:rPr>
                <w:rFonts w:cs="Arial"/>
              </w:rPr>
              <w:t>Cost of Preferred (or more likely) Optio</w:t>
            </w:r>
            <w:r w:rsidR="00F06858" w:rsidRPr="003415CC">
              <w:rPr>
                <w:rFonts w:cs="Arial"/>
              </w:rPr>
              <w:t>n</w:t>
            </w:r>
            <w:bookmarkEnd w:id="9"/>
          </w:p>
        </w:tc>
      </w:tr>
      <w:tr w:rsidR="00372A69" w:rsidRPr="003415CC" w14:paraId="123FA910" w14:textId="77777777" w:rsidTr="00626698">
        <w:tblPrEx>
          <w:tblBorders>
            <w:insideV w:val="none" w:sz="0" w:space="0" w:color="auto"/>
          </w:tblBorders>
          <w:shd w:val="clear" w:color="auto" w:fill="E0E0E0"/>
        </w:tblPrEx>
        <w:trPr>
          <w:gridAfter w:val="1"/>
          <w:wAfter w:w="9" w:type="dxa"/>
          <w:trHeight w:hRule="exact" w:val="571"/>
        </w:trPr>
        <w:tc>
          <w:tcPr>
            <w:tcW w:w="1706" w:type="dxa"/>
            <w:tcBorders>
              <w:top w:val="single" w:sz="4" w:space="0" w:color="auto"/>
              <w:bottom w:val="nil"/>
              <w:right w:val="single" w:sz="4" w:space="0" w:color="auto"/>
            </w:tcBorders>
            <w:shd w:val="clear" w:color="auto" w:fill="E0E0E0"/>
            <w:vAlign w:val="center"/>
          </w:tcPr>
          <w:p w14:paraId="0851B1AD" w14:textId="77777777" w:rsidR="00372A69" w:rsidRPr="003415CC" w:rsidRDefault="00372A69" w:rsidP="006A0557">
            <w:pPr>
              <w:pStyle w:val="IATableLabel"/>
              <w:spacing w:before="0" w:after="0"/>
              <w:rPr>
                <w:rFonts w:cs="Arial"/>
              </w:rPr>
            </w:pPr>
            <w:r w:rsidRPr="003415CC">
              <w:rPr>
                <w:rFonts w:cs="Arial"/>
              </w:rPr>
              <w:t>Total Net Present Value</w:t>
            </w:r>
          </w:p>
        </w:tc>
        <w:tc>
          <w:tcPr>
            <w:tcW w:w="1560" w:type="dxa"/>
            <w:tcBorders>
              <w:top w:val="single" w:sz="4" w:space="0" w:color="auto"/>
              <w:bottom w:val="nil"/>
              <w:right w:val="single" w:sz="4" w:space="0" w:color="auto"/>
            </w:tcBorders>
            <w:shd w:val="clear" w:color="auto" w:fill="E0E0E0"/>
            <w:vAlign w:val="center"/>
          </w:tcPr>
          <w:p w14:paraId="4119EF1F" w14:textId="77777777" w:rsidR="00372A69" w:rsidRPr="003415CC" w:rsidRDefault="00372A69" w:rsidP="006A0557">
            <w:pPr>
              <w:pStyle w:val="IATableLabel"/>
              <w:spacing w:before="0" w:after="0"/>
              <w:rPr>
                <w:rFonts w:cs="Arial"/>
              </w:rPr>
            </w:pPr>
            <w:r w:rsidRPr="003415CC">
              <w:rPr>
                <w:rFonts w:cs="Arial"/>
              </w:rPr>
              <w:t>Business Net Present Value</w:t>
            </w:r>
          </w:p>
        </w:tc>
        <w:tc>
          <w:tcPr>
            <w:tcW w:w="2551" w:type="dxa"/>
            <w:tcBorders>
              <w:top w:val="single" w:sz="4" w:space="0" w:color="auto"/>
              <w:bottom w:val="nil"/>
              <w:right w:val="single" w:sz="4" w:space="0" w:color="auto"/>
            </w:tcBorders>
            <w:shd w:val="clear" w:color="auto" w:fill="E0E0E0"/>
            <w:vAlign w:val="center"/>
          </w:tcPr>
          <w:p w14:paraId="1AF757B9" w14:textId="77777777" w:rsidR="00372A69" w:rsidRPr="003415CC" w:rsidRDefault="00372A69" w:rsidP="006C6483">
            <w:pPr>
              <w:pStyle w:val="IATableLabel"/>
              <w:spacing w:before="0" w:after="0"/>
              <w:rPr>
                <w:rFonts w:cs="Arial"/>
              </w:rPr>
            </w:pPr>
            <w:r w:rsidRPr="003415CC">
              <w:rPr>
                <w:rFonts w:cs="Arial"/>
              </w:rPr>
              <w:t xml:space="preserve">Net cost </w:t>
            </w:r>
            <w:r w:rsidR="00332B05" w:rsidRPr="003415CC">
              <w:rPr>
                <w:rFonts w:cs="Arial"/>
              </w:rPr>
              <w:t xml:space="preserve">to business </w:t>
            </w:r>
            <w:r w:rsidRPr="003415CC">
              <w:rPr>
                <w:rFonts w:cs="Arial"/>
              </w:rPr>
              <w:t>per year</w:t>
            </w:r>
            <w:r w:rsidR="006656EC" w:rsidRPr="003415CC">
              <w:rPr>
                <w:rFonts w:cs="Arial"/>
              </w:rPr>
              <w:t xml:space="preserve"> </w:t>
            </w:r>
            <w:r w:rsidR="006656EC" w:rsidRPr="003415CC">
              <w:rPr>
                <w:rFonts w:cs="Arial"/>
                <w:b w:val="0"/>
              </w:rPr>
              <w:t>(</w:t>
            </w:r>
            <w:r w:rsidR="00332B05" w:rsidRPr="003415CC">
              <w:rPr>
                <w:rFonts w:cs="Arial"/>
                <w:b w:val="0"/>
                <w:sz w:val="16"/>
                <w:szCs w:val="16"/>
              </w:rPr>
              <w:t>EAN</w:t>
            </w:r>
            <w:r w:rsidR="00E81F35" w:rsidRPr="003415CC">
              <w:rPr>
                <w:rFonts w:cs="Arial"/>
                <w:b w:val="0"/>
                <w:sz w:val="16"/>
                <w:szCs w:val="16"/>
              </w:rPr>
              <w:t>D</w:t>
            </w:r>
            <w:r w:rsidR="00332B05" w:rsidRPr="003415CC">
              <w:rPr>
                <w:rFonts w:cs="Arial"/>
                <w:b w:val="0"/>
                <w:sz w:val="16"/>
                <w:szCs w:val="16"/>
              </w:rPr>
              <w:t xml:space="preserve">CB </w:t>
            </w:r>
            <w:r w:rsidR="006C6483" w:rsidRPr="003415CC">
              <w:rPr>
                <w:rFonts w:cs="Arial"/>
                <w:b w:val="0"/>
                <w:sz w:val="16"/>
                <w:szCs w:val="16"/>
              </w:rPr>
              <w:t>i</w:t>
            </w:r>
            <w:r w:rsidR="006656EC" w:rsidRPr="003415CC">
              <w:rPr>
                <w:rFonts w:cs="Arial"/>
                <w:b w:val="0"/>
                <w:sz w:val="16"/>
                <w:szCs w:val="16"/>
              </w:rPr>
              <w:t>n 20</w:t>
            </w:r>
            <w:r w:rsidR="00E81F35" w:rsidRPr="003415CC">
              <w:rPr>
                <w:rFonts w:cs="Arial"/>
                <w:b w:val="0"/>
                <w:sz w:val="16"/>
                <w:szCs w:val="16"/>
              </w:rPr>
              <w:t>14</w:t>
            </w:r>
            <w:r w:rsidR="006656EC" w:rsidRPr="003415CC">
              <w:rPr>
                <w:rFonts w:cs="Arial"/>
                <w:b w:val="0"/>
                <w:sz w:val="16"/>
                <w:szCs w:val="16"/>
              </w:rPr>
              <w:t xml:space="preserve"> prices)</w:t>
            </w:r>
          </w:p>
        </w:tc>
        <w:tc>
          <w:tcPr>
            <w:tcW w:w="1559" w:type="dxa"/>
            <w:gridSpan w:val="2"/>
            <w:tcBorders>
              <w:top w:val="single" w:sz="4" w:space="0" w:color="auto"/>
              <w:left w:val="single" w:sz="4" w:space="0" w:color="auto"/>
              <w:bottom w:val="nil"/>
              <w:right w:val="single" w:sz="4" w:space="0" w:color="auto"/>
            </w:tcBorders>
            <w:shd w:val="clear" w:color="auto" w:fill="E0E0E0"/>
            <w:vAlign w:val="center"/>
          </w:tcPr>
          <w:p w14:paraId="1DED176C" w14:textId="77777777" w:rsidR="00A0444F" w:rsidRPr="003415CC" w:rsidRDefault="00372A69" w:rsidP="00E81F35">
            <w:pPr>
              <w:pStyle w:val="IATableLabel"/>
              <w:spacing w:before="0" w:after="0"/>
              <w:rPr>
                <w:rFonts w:cs="Arial"/>
              </w:rPr>
            </w:pPr>
            <w:r w:rsidRPr="003415CC">
              <w:rPr>
                <w:rFonts w:cs="Arial"/>
              </w:rPr>
              <w:t>On</w:t>
            </w:r>
            <w:r w:rsidR="00290335" w:rsidRPr="003415CC">
              <w:rPr>
                <w:rFonts w:cs="Arial"/>
              </w:rPr>
              <w:t>e</w:t>
            </w:r>
            <w:r w:rsidRPr="003415CC">
              <w:rPr>
                <w:rFonts w:cs="Arial"/>
              </w:rPr>
              <w:t xml:space="preserve">-In, </w:t>
            </w:r>
          </w:p>
          <w:p w14:paraId="2BA83B17" w14:textId="77777777" w:rsidR="00372A69" w:rsidRPr="003415CC" w:rsidRDefault="003228BF" w:rsidP="00E81F35">
            <w:pPr>
              <w:pStyle w:val="IATableLabel"/>
              <w:spacing w:before="0" w:after="0"/>
              <w:rPr>
                <w:rFonts w:cs="Arial"/>
              </w:rPr>
            </w:pPr>
            <w:r w:rsidRPr="003415CC">
              <w:rPr>
                <w:rFonts w:cs="Arial"/>
              </w:rPr>
              <w:t>T</w:t>
            </w:r>
            <w:r w:rsidR="00E81F35" w:rsidRPr="003415CC">
              <w:rPr>
                <w:rFonts w:cs="Arial"/>
              </w:rPr>
              <w:t>hree</w:t>
            </w:r>
            <w:r w:rsidR="00372A69" w:rsidRPr="003415CC">
              <w:rPr>
                <w:rFonts w:cs="Arial"/>
              </w:rPr>
              <w:t>-Out</w:t>
            </w:r>
          </w:p>
        </w:tc>
        <w:tc>
          <w:tcPr>
            <w:tcW w:w="2831" w:type="dxa"/>
            <w:tcBorders>
              <w:top w:val="single" w:sz="4" w:space="0" w:color="auto"/>
              <w:left w:val="single" w:sz="4" w:space="0" w:color="auto"/>
              <w:bottom w:val="nil"/>
              <w:right w:val="single" w:sz="4" w:space="0" w:color="auto"/>
            </w:tcBorders>
            <w:shd w:val="clear" w:color="auto" w:fill="E0E0E0"/>
            <w:vAlign w:val="center"/>
          </w:tcPr>
          <w:p w14:paraId="6FEFA550" w14:textId="77777777" w:rsidR="00372A69" w:rsidRPr="003415CC" w:rsidRDefault="00227EBE" w:rsidP="00000766">
            <w:pPr>
              <w:pStyle w:val="IATableLabel"/>
              <w:spacing w:before="0" w:after="0"/>
              <w:rPr>
                <w:rFonts w:cs="Arial"/>
              </w:rPr>
            </w:pPr>
            <w:r w:rsidRPr="003415CC">
              <w:rPr>
                <w:rFonts w:cs="Arial"/>
              </w:rPr>
              <w:t>Business Impact Target</w:t>
            </w:r>
            <w:r w:rsidR="009A1142" w:rsidRPr="003415CC">
              <w:rPr>
                <w:rFonts w:cs="Arial"/>
              </w:rPr>
              <w:t xml:space="preserve">       S</w:t>
            </w:r>
            <w:r w:rsidRPr="003415CC">
              <w:rPr>
                <w:rFonts w:cs="Arial"/>
              </w:rPr>
              <w:t>tatus</w:t>
            </w:r>
          </w:p>
          <w:p w14:paraId="57A5E499" w14:textId="77777777" w:rsidR="00463490" w:rsidRPr="003415CC" w:rsidRDefault="00463490" w:rsidP="00000766">
            <w:pPr>
              <w:pStyle w:val="IATableLabel"/>
              <w:spacing w:before="0" w:after="0"/>
              <w:rPr>
                <w:rFonts w:cs="Arial"/>
              </w:rPr>
            </w:pPr>
          </w:p>
        </w:tc>
      </w:tr>
      <w:tr w:rsidR="00372A69" w:rsidRPr="003415CC" w14:paraId="722D91E7" w14:textId="77777777" w:rsidTr="00626698">
        <w:tblPrEx>
          <w:tblBorders>
            <w:insideV w:val="none" w:sz="0" w:space="0" w:color="auto"/>
          </w:tblBorders>
          <w:shd w:val="clear" w:color="auto" w:fill="E0E0E0"/>
        </w:tblPrEx>
        <w:trPr>
          <w:gridAfter w:val="1"/>
          <w:wAfter w:w="9" w:type="dxa"/>
          <w:trHeight w:hRule="exact" w:val="340"/>
        </w:trPr>
        <w:tc>
          <w:tcPr>
            <w:tcW w:w="1706" w:type="dxa"/>
            <w:tcBorders>
              <w:top w:val="nil"/>
              <w:bottom w:val="single" w:sz="4" w:space="0" w:color="auto"/>
              <w:right w:val="single" w:sz="4" w:space="0" w:color="auto"/>
            </w:tcBorders>
            <w:shd w:val="clear" w:color="auto" w:fill="E0E0E0"/>
            <w:vAlign w:val="center"/>
          </w:tcPr>
          <w:p w14:paraId="2F45785F" w14:textId="77777777" w:rsidR="00372A69" w:rsidRPr="00D45B85" w:rsidRDefault="00FF344A" w:rsidP="000A7981">
            <w:pPr>
              <w:pStyle w:val="IAIIOTNPV"/>
              <w:jc w:val="center"/>
              <w:rPr>
                <w:rFonts w:cs="Arial"/>
              </w:rPr>
            </w:pPr>
            <w:r>
              <w:rPr>
                <w:rFonts w:cs="Arial"/>
              </w:rPr>
              <w:t>£-</w:t>
            </w:r>
            <w:r w:rsidR="00F833D9">
              <w:rPr>
                <w:rFonts w:cs="Arial"/>
              </w:rPr>
              <w:t>108.27</w:t>
            </w:r>
          </w:p>
        </w:tc>
        <w:tc>
          <w:tcPr>
            <w:tcW w:w="1560" w:type="dxa"/>
            <w:tcBorders>
              <w:top w:val="nil"/>
              <w:bottom w:val="single" w:sz="4" w:space="0" w:color="auto"/>
              <w:right w:val="single" w:sz="4" w:space="0" w:color="auto"/>
            </w:tcBorders>
            <w:shd w:val="clear" w:color="auto" w:fill="E0E0E0"/>
            <w:vAlign w:val="center"/>
          </w:tcPr>
          <w:p w14:paraId="172798C6" w14:textId="77777777" w:rsidR="00372A69" w:rsidRPr="00D45B85" w:rsidRDefault="00FF344A" w:rsidP="000A7981">
            <w:pPr>
              <w:pStyle w:val="IAIOBNPV"/>
              <w:jc w:val="center"/>
              <w:rPr>
                <w:rFonts w:cs="Arial"/>
                <w:b/>
              </w:rPr>
            </w:pPr>
            <w:r>
              <w:rPr>
                <w:rFonts w:cs="Arial"/>
              </w:rPr>
              <w:t>£-</w:t>
            </w:r>
            <w:r w:rsidR="00F833D9">
              <w:rPr>
                <w:rFonts w:cs="Arial"/>
              </w:rPr>
              <w:t>108.27</w:t>
            </w:r>
          </w:p>
        </w:tc>
        <w:tc>
          <w:tcPr>
            <w:tcW w:w="2551" w:type="dxa"/>
            <w:tcBorders>
              <w:top w:val="nil"/>
              <w:bottom w:val="single" w:sz="4" w:space="0" w:color="auto"/>
              <w:right w:val="single" w:sz="4" w:space="0" w:color="auto"/>
            </w:tcBorders>
            <w:shd w:val="clear" w:color="auto" w:fill="E0E0E0"/>
            <w:vAlign w:val="center"/>
          </w:tcPr>
          <w:p w14:paraId="651CA99C" w14:textId="77777777" w:rsidR="00372A69" w:rsidRPr="00D45B85" w:rsidRDefault="00F833D9" w:rsidP="000A7981">
            <w:pPr>
              <w:pStyle w:val="IAIONCTBPY"/>
              <w:jc w:val="center"/>
              <w:rPr>
                <w:rFonts w:cs="Arial"/>
                <w:b/>
              </w:rPr>
            </w:pPr>
            <w:r>
              <w:rPr>
                <w:rFonts w:cs="Arial"/>
              </w:rPr>
              <w:t>£11.6m</w:t>
            </w:r>
          </w:p>
        </w:tc>
        <w:tc>
          <w:tcPr>
            <w:tcW w:w="1559" w:type="dxa"/>
            <w:gridSpan w:val="2"/>
            <w:tcBorders>
              <w:top w:val="nil"/>
              <w:left w:val="single" w:sz="4" w:space="0" w:color="auto"/>
              <w:bottom w:val="single" w:sz="4" w:space="0" w:color="auto"/>
              <w:right w:val="single" w:sz="4" w:space="0" w:color="auto"/>
            </w:tcBorders>
            <w:shd w:val="clear" w:color="auto" w:fill="E0E0E0"/>
            <w:vAlign w:val="center"/>
          </w:tcPr>
          <w:p w14:paraId="17A3C308" w14:textId="77777777" w:rsidR="00372A69" w:rsidRPr="00D45B85" w:rsidRDefault="00A0444F" w:rsidP="000A7981">
            <w:pPr>
              <w:pStyle w:val="IAIOInScopeInOut"/>
              <w:jc w:val="center"/>
              <w:rPr>
                <w:rFonts w:cs="Arial"/>
                <w:b/>
              </w:rPr>
            </w:pPr>
            <w:r w:rsidRPr="003415CC">
              <w:rPr>
                <w:rFonts w:cs="Arial"/>
              </w:rPr>
              <w:fldChar w:fldCharType="begin">
                <w:ffData>
                  <w:name w:val="IAInScopeInOut"/>
                  <w:enabled/>
                  <w:calcOnExit w:val="0"/>
                  <w:ddList>
                    <w:listEntry w:val="Not in scope"/>
                    <w:listEntry w:val="In scope"/>
                  </w:ddList>
                </w:ffData>
              </w:fldChar>
            </w:r>
            <w:bookmarkStart w:id="10" w:name="IAInScopeInOut"/>
            <w:r w:rsidRPr="003415CC">
              <w:rPr>
                <w:rFonts w:cs="Arial"/>
              </w:rPr>
              <w:instrText xml:space="preserve"> FORMDROPDOWN </w:instrText>
            </w:r>
            <w:r w:rsidR="007771D9">
              <w:rPr>
                <w:rFonts w:cs="Arial"/>
              </w:rPr>
            </w:r>
            <w:r w:rsidR="007771D9">
              <w:rPr>
                <w:rFonts w:cs="Arial"/>
              </w:rPr>
              <w:fldChar w:fldCharType="separate"/>
            </w:r>
            <w:r w:rsidRPr="003415CC">
              <w:rPr>
                <w:rFonts w:cs="Arial"/>
              </w:rPr>
              <w:fldChar w:fldCharType="end"/>
            </w:r>
            <w:bookmarkEnd w:id="10"/>
          </w:p>
        </w:tc>
        <w:tc>
          <w:tcPr>
            <w:tcW w:w="2831" w:type="dxa"/>
            <w:tcBorders>
              <w:top w:val="nil"/>
              <w:left w:val="single" w:sz="4" w:space="0" w:color="auto"/>
              <w:bottom w:val="single" w:sz="4" w:space="0" w:color="auto"/>
              <w:right w:val="single" w:sz="4" w:space="0" w:color="auto"/>
            </w:tcBorders>
            <w:shd w:val="clear" w:color="auto" w:fill="E0E0E0"/>
            <w:vAlign w:val="center"/>
          </w:tcPr>
          <w:p w14:paraId="007DB8F7" w14:textId="77777777" w:rsidR="00372A69" w:rsidRPr="00D45B85" w:rsidRDefault="00D07E33" w:rsidP="000A7981">
            <w:pPr>
              <w:pStyle w:val="IAIOPrefMQ"/>
              <w:jc w:val="center"/>
              <w:rPr>
                <w:rFonts w:cs="Arial"/>
                <w:b/>
              </w:rPr>
            </w:pPr>
            <w:r w:rsidRPr="003415CC">
              <w:rPr>
                <w:rFonts w:cs="Arial"/>
              </w:rPr>
              <w:fldChar w:fldCharType="begin">
                <w:ffData>
                  <w:name w:val="IAPrefMQ"/>
                  <w:enabled/>
                  <w:calcOnExit w:val="0"/>
                  <w:ddList>
                    <w:listEntry w:val="Qualifying provision"/>
                    <w:listEntry w:val="Non qualifying provision"/>
                    <w:listEntry w:val="Not a regulatory provision"/>
                  </w:ddList>
                </w:ffData>
              </w:fldChar>
            </w:r>
            <w:bookmarkStart w:id="11" w:name="IAPrefMQ"/>
            <w:r w:rsidRPr="003415CC">
              <w:rPr>
                <w:rFonts w:cs="Arial"/>
              </w:rPr>
              <w:instrText xml:space="preserve"> FORMDROPDOWN </w:instrText>
            </w:r>
            <w:r w:rsidR="007771D9">
              <w:rPr>
                <w:rFonts w:cs="Arial"/>
              </w:rPr>
            </w:r>
            <w:r w:rsidR="007771D9">
              <w:rPr>
                <w:rFonts w:cs="Arial"/>
              </w:rPr>
              <w:fldChar w:fldCharType="separate"/>
            </w:r>
            <w:r w:rsidRPr="003415CC">
              <w:rPr>
                <w:rFonts w:cs="Arial"/>
              </w:rPr>
              <w:fldChar w:fldCharType="end"/>
            </w:r>
            <w:bookmarkEnd w:id="11"/>
          </w:p>
        </w:tc>
      </w:tr>
      <w:tr w:rsidR="007208D9" w:rsidRPr="003415CC" w14:paraId="26176305" w14:textId="77777777" w:rsidTr="000A7981">
        <w:trPr>
          <w:gridAfter w:val="1"/>
          <w:wAfter w:w="9" w:type="dxa"/>
          <w:trHeight w:hRule="exact" w:val="2357"/>
        </w:trPr>
        <w:tc>
          <w:tcPr>
            <w:tcW w:w="10207" w:type="dxa"/>
            <w:gridSpan w:val="6"/>
            <w:tcBorders>
              <w:top w:val="single" w:sz="4" w:space="0" w:color="auto"/>
              <w:left w:val="single" w:sz="4" w:space="0" w:color="auto"/>
              <w:bottom w:val="single" w:sz="4" w:space="0" w:color="auto"/>
              <w:right w:val="single" w:sz="4" w:space="0" w:color="auto"/>
            </w:tcBorders>
          </w:tcPr>
          <w:p w14:paraId="59433145" w14:textId="77777777" w:rsidR="007208D9" w:rsidRPr="003415CC" w:rsidRDefault="000E17BB" w:rsidP="008369A3">
            <w:pPr>
              <w:pStyle w:val="IAIOQ1"/>
              <w:rPr>
                <w:rFonts w:cs="Arial"/>
              </w:rPr>
            </w:pPr>
            <w:bookmarkStart w:id="12" w:name="Summary1"/>
            <w:r w:rsidRPr="003415CC">
              <w:rPr>
                <w:rFonts w:cs="Arial"/>
              </w:rPr>
              <w:t>What is the problem under consideration? Why is government intervention necessary?</w:t>
            </w:r>
            <w:bookmarkEnd w:id="12"/>
          </w:p>
          <w:p w14:paraId="01C60E18" w14:textId="77777777" w:rsidR="00E75380" w:rsidRPr="004E09CE" w:rsidRDefault="004E09CE" w:rsidP="00F25166">
            <w:pPr>
              <w:pStyle w:val="IATableLines"/>
              <w:jc w:val="both"/>
              <w:rPr>
                <w:rFonts w:cs="Arial"/>
                <w:b/>
                <w:szCs w:val="22"/>
              </w:rPr>
            </w:pPr>
            <w:bookmarkStart w:id="13" w:name="IAIOA1"/>
            <w:r w:rsidRPr="000A7981">
              <w:rPr>
                <w:rFonts w:cs="Arial"/>
                <w:szCs w:val="22"/>
              </w:rPr>
              <w:t xml:space="preserve">Annual reports provide shareholders and investors with information on </w:t>
            </w:r>
            <w:r w:rsidR="00F53C81">
              <w:rPr>
                <w:rFonts w:cs="Arial"/>
                <w:szCs w:val="22"/>
              </w:rPr>
              <w:t xml:space="preserve">a </w:t>
            </w:r>
            <w:r w:rsidRPr="000A7981">
              <w:rPr>
                <w:rFonts w:cs="Arial"/>
                <w:szCs w:val="22"/>
              </w:rPr>
              <w:t xml:space="preserve">company’s financial and non-financial performance. Non-financial information comprises quantitative and qualitative data on </w:t>
            </w:r>
            <w:r>
              <w:rPr>
                <w:rFonts w:cs="Arial"/>
                <w:szCs w:val="22"/>
              </w:rPr>
              <w:t xml:space="preserve">the </w:t>
            </w:r>
            <w:r w:rsidRPr="000A7981">
              <w:rPr>
                <w:rFonts w:cs="Arial"/>
                <w:szCs w:val="22"/>
              </w:rPr>
              <w:t>business</w:t>
            </w:r>
            <w:r>
              <w:rPr>
                <w:rFonts w:cs="Arial"/>
                <w:szCs w:val="22"/>
              </w:rPr>
              <w:t>’s</w:t>
            </w:r>
            <w:r w:rsidRPr="000A7981">
              <w:rPr>
                <w:rFonts w:cs="Arial"/>
                <w:szCs w:val="22"/>
              </w:rPr>
              <w:t xml:space="preserve"> o</w:t>
            </w:r>
            <w:r w:rsidRPr="004E09CE">
              <w:rPr>
                <w:rFonts w:cs="Arial"/>
                <w:szCs w:val="22"/>
              </w:rPr>
              <w:t>perations</w:t>
            </w:r>
            <w:r>
              <w:rPr>
                <w:rFonts w:cs="Arial"/>
                <w:szCs w:val="22"/>
              </w:rPr>
              <w:t xml:space="preserve"> and principal risks</w:t>
            </w:r>
            <w:r w:rsidRPr="000A7981">
              <w:rPr>
                <w:rFonts w:cs="Arial"/>
                <w:szCs w:val="22"/>
              </w:rPr>
              <w:t xml:space="preserve">. </w:t>
            </w:r>
            <w:r w:rsidR="008369A3" w:rsidRPr="004E09CE">
              <w:rPr>
                <w:rFonts w:cs="Arial"/>
                <w:szCs w:val="22"/>
              </w:rPr>
              <w:fldChar w:fldCharType="begin">
                <w:ffData>
                  <w:name w:val="IAIOA1"/>
                  <w:enabled/>
                  <w:calcOnExit w:val="0"/>
                  <w:textInput>
                    <w:default w:val="Maximum of 7 lines"/>
                    <w:maxLength w:val="800"/>
                  </w:textInput>
                </w:ffData>
              </w:fldChar>
            </w:r>
            <w:r w:rsidR="008369A3" w:rsidRPr="003415CC">
              <w:rPr>
                <w:rFonts w:cs="Arial"/>
                <w:szCs w:val="22"/>
              </w:rPr>
              <w:instrText xml:space="preserve"> FORMTEXT </w:instrText>
            </w:r>
            <w:r w:rsidR="008369A3" w:rsidRPr="004E09CE">
              <w:rPr>
                <w:rFonts w:cs="Arial"/>
                <w:szCs w:val="22"/>
              </w:rPr>
            </w:r>
            <w:r w:rsidR="008369A3" w:rsidRPr="004E09CE">
              <w:rPr>
                <w:rFonts w:cs="Arial"/>
                <w:szCs w:val="22"/>
              </w:rPr>
              <w:fldChar w:fldCharType="separate"/>
            </w:r>
            <w:r w:rsidR="00562768" w:rsidRPr="004E09CE">
              <w:rPr>
                <w:rFonts w:cs="Arial"/>
                <w:szCs w:val="22"/>
              </w:rPr>
              <w:t xml:space="preserve">The quality and quantity of non-financial reporting </w:t>
            </w:r>
            <w:r>
              <w:rPr>
                <w:rFonts w:cs="Arial"/>
                <w:szCs w:val="22"/>
              </w:rPr>
              <w:t xml:space="preserve">currently fails to </w:t>
            </w:r>
            <w:r w:rsidR="00562768" w:rsidRPr="004E09CE">
              <w:rPr>
                <w:rFonts w:cs="Arial"/>
                <w:szCs w:val="22"/>
              </w:rPr>
              <w:t xml:space="preserve">adequately address the asymmetry of information that exists between companies and investors. Additionally there is no standard reporting framework across </w:t>
            </w:r>
            <w:r>
              <w:rPr>
                <w:rFonts w:cs="Arial"/>
                <w:szCs w:val="22"/>
              </w:rPr>
              <w:t>Europe</w:t>
            </w:r>
            <w:r w:rsidR="00562768" w:rsidRPr="004E09CE">
              <w:rPr>
                <w:rFonts w:cs="Arial"/>
                <w:szCs w:val="22"/>
              </w:rPr>
              <w:t xml:space="preserve"> to allow consistent comparison of companies. To address these issues a regulatory intervention at E</w:t>
            </w:r>
            <w:r w:rsidR="00294EDA">
              <w:rPr>
                <w:rFonts w:cs="Arial"/>
                <w:szCs w:val="22"/>
              </w:rPr>
              <w:t xml:space="preserve">uropean </w:t>
            </w:r>
            <w:r w:rsidR="00562768" w:rsidRPr="004E09CE">
              <w:rPr>
                <w:rFonts w:cs="Arial"/>
                <w:szCs w:val="22"/>
              </w:rPr>
              <w:t>level is necessary to set harmonised minimum non-financial reporting requirements</w:t>
            </w:r>
            <w:r w:rsidR="00294EDA">
              <w:rPr>
                <w:rFonts w:cs="Arial"/>
                <w:szCs w:val="22"/>
              </w:rPr>
              <w:t>.</w:t>
            </w:r>
            <w:r w:rsidR="00562768" w:rsidRPr="004E09CE">
              <w:rPr>
                <w:rFonts w:cs="Arial"/>
                <w:szCs w:val="22"/>
              </w:rPr>
              <w:t xml:space="preserve"> </w:t>
            </w:r>
            <w:r w:rsidR="008369A3" w:rsidRPr="004E09CE">
              <w:rPr>
                <w:rFonts w:cs="Arial"/>
                <w:szCs w:val="22"/>
              </w:rPr>
              <w:fldChar w:fldCharType="end"/>
            </w:r>
            <w:bookmarkEnd w:id="13"/>
          </w:p>
        </w:tc>
      </w:tr>
    </w:tbl>
    <w:p w14:paraId="6A3E886A" w14:textId="77777777" w:rsidR="007208D9" w:rsidRPr="004E09CE" w:rsidRDefault="007208D9" w:rsidP="007208D9">
      <w:pPr>
        <w:pStyle w:val="IASpacer"/>
        <w:rPr>
          <w:rFonts w:cs="Arial"/>
        </w:rPr>
      </w:pPr>
    </w:p>
    <w:tbl>
      <w:tblPr>
        <w:tblW w:w="5000" w:type="pct"/>
        <w:tblBorders>
          <w:top w:val="single" w:sz="4" w:space="0" w:color="auto"/>
          <w:left w:val="single" w:sz="4" w:space="0" w:color="auto"/>
          <w:bottom w:val="single" w:sz="4" w:space="0" w:color="auto"/>
          <w:right w:val="single" w:sz="4" w:space="0" w:color="auto"/>
        </w:tblBorders>
        <w:tblLayout w:type="fixed"/>
        <w:tblCellMar>
          <w:left w:w="0" w:type="dxa"/>
          <w:right w:w="0" w:type="dxa"/>
        </w:tblCellMar>
        <w:tblLook w:val="01E0" w:firstRow="1" w:lastRow="1" w:firstColumn="1" w:lastColumn="1" w:noHBand="0" w:noVBand="0"/>
      </w:tblPr>
      <w:tblGrid>
        <w:gridCol w:w="10215"/>
      </w:tblGrid>
      <w:tr w:rsidR="007208D9" w:rsidRPr="003415CC" w14:paraId="3887D503" w14:textId="77777777">
        <w:trPr>
          <w:trHeight w:hRule="exact" w:val="2182"/>
        </w:trPr>
        <w:tc>
          <w:tcPr>
            <w:tcW w:w="10214" w:type="dxa"/>
          </w:tcPr>
          <w:p w14:paraId="7C0433EE" w14:textId="77777777" w:rsidR="007208D9" w:rsidRPr="004E09CE" w:rsidRDefault="000E17BB" w:rsidP="008369A3">
            <w:pPr>
              <w:pStyle w:val="IAIOQ2"/>
              <w:rPr>
                <w:rFonts w:cs="Arial"/>
              </w:rPr>
            </w:pPr>
            <w:bookmarkStart w:id="14" w:name="Summary2"/>
            <w:r w:rsidRPr="004E09CE">
              <w:rPr>
                <w:rFonts w:cs="Arial"/>
              </w:rPr>
              <w:t>What are the policy objectives and the intended effects?</w:t>
            </w:r>
            <w:bookmarkEnd w:id="14"/>
          </w:p>
          <w:p w14:paraId="4849211B" w14:textId="77777777" w:rsidR="00E75380" w:rsidRPr="00294EDA" w:rsidRDefault="00A605AA" w:rsidP="000A7981">
            <w:pPr>
              <w:pStyle w:val="IATableLines"/>
              <w:jc w:val="both"/>
              <w:rPr>
                <w:rFonts w:cs="Arial"/>
                <w:b/>
              </w:rPr>
            </w:pPr>
            <w:r w:rsidRPr="001B2225">
              <w:rPr>
                <w:rFonts w:cs="Arial"/>
              </w:rPr>
              <w:t>The policy objective is to enhance the effectiveness of non-financial reporting by ‘public interest entities’ (PIEs), which are companies whose activities are likely to have a significant impact on the economy and society</w:t>
            </w:r>
            <w:r>
              <w:rPr>
                <w:rFonts w:cs="Arial"/>
              </w:rPr>
              <w:t xml:space="preserve"> (such as listed companies, banks and insurers)</w:t>
            </w:r>
            <w:r w:rsidRPr="001B2225">
              <w:rPr>
                <w:rFonts w:cs="Arial"/>
              </w:rPr>
              <w:t xml:space="preserve">. The changes to non-financial reporting requirements to increase transparency </w:t>
            </w:r>
            <w:r>
              <w:rPr>
                <w:rFonts w:cs="Arial"/>
              </w:rPr>
              <w:t>and accountability are intended</w:t>
            </w:r>
            <w:r w:rsidRPr="001B2225">
              <w:rPr>
                <w:rFonts w:cs="Arial"/>
              </w:rPr>
              <w:t xml:space="preserve"> to encourage companies to better assess non-financial risks, and opportunities and incorporate this into their business strategies and models. Dissemination of this in the Annual Report would increase transparency and help investors to make more informed investment decisions.</w:t>
            </w:r>
          </w:p>
        </w:tc>
      </w:tr>
    </w:tbl>
    <w:p w14:paraId="4E03A383" w14:textId="77777777" w:rsidR="007208D9" w:rsidRPr="00EB7A0C" w:rsidRDefault="007208D9" w:rsidP="007208D9">
      <w:pPr>
        <w:pStyle w:val="IASpacer"/>
        <w:rPr>
          <w:rFonts w:cs="Arial"/>
        </w:rPr>
      </w:pPr>
    </w:p>
    <w:tbl>
      <w:tblPr>
        <w:tblW w:w="5000" w:type="pct"/>
        <w:tblBorders>
          <w:top w:val="single" w:sz="4" w:space="0" w:color="auto"/>
          <w:left w:val="single" w:sz="4" w:space="0" w:color="auto"/>
          <w:bottom w:val="single" w:sz="4" w:space="0" w:color="auto"/>
          <w:right w:val="single" w:sz="4" w:space="0" w:color="auto"/>
        </w:tblBorders>
        <w:tblLayout w:type="fixed"/>
        <w:tblCellMar>
          <w:left w:w="0" w:type="dxa"/>
          <w:right w:w="0" w:type="dxa"/>
        </w:tblCellMar>
        <w:tblLook w:val="01E0" w:firstRow="1" w:lastRow="1" w:firstColumn="1" w:lastColumn="1" w:noHBand="0" w:noVBand="0"/>
      </w:tblPr>
      <w:tblGrid>
        <w:gridCol w:w="10215"/>
      </w:tblGrid>
      <w:tr w:rsidR="00686F5E" w:rsidRPr="003415CC" w14:paraId="77E20F04" w14:textId="77777777" w:rsidTr="000A7981">
        <w:trPr>
          <w:trHeight w:hRule="exact" w:val="3131"/>
        </w:trPr>
        <w:tc>
          <w:tcPr>
            <w:tcW w:w="9648" w:type="dxa"/>
          </w:tcPr>
          <w:p w14:paraId="7CA4C71B" w14:textId="77777777" w:rsidR="00686F5E" w:rsidRPr="003415CC" w:rsidRDefault="00686F5E" w:rsidP="008369A3">
            <w:pPr>
              <w:pStyle w:val="IAIOQ3"/>
              <w:rPr>
                <w:rFonts w:cs="Arial"/>
              </w:rPr>
            </w:pPr>
            <w:bookmarkStart w:id="15" w:name="IAIOQ3"/>
            <w:bookmarkStart w:id="16" w:name="Summary3"/>
            <w:r w:rsidRPr="00BA6CA2">
              <w:rPr>
                <w:rFonts w:cs="Arial"/>
              </w:rPr>
              <w:t>What policy options have been considered</w:t>
            </w:r>
            <w:r w:rsidR="005D6EA8" w:rsidRPr="003415CC">
              <w:rPr>
                <w:rFonts w:cs="Arial"/>
              </w:rPr>
              <w:t>, including any alternatives to regulation</w:t>
            </w:r>
            <w:r w:rsidRPr="003415CC">
              <w:rPr>
                <w:rFonts w:cs="Arial"/>
              </w:rPr>
              <w:t>? Please justify preferred option (further details in Evidence Base)</w:t>
            </w:r>
            <w:bookmarkEnd w:id="15"/>
          </w:p>
          <w:p w14:paraId="587753F0" w14:textId="77777777" w:rsidR="00355928" w:rsidRPr="000A7981" w:rsidRDefault="00355928" w:rsidP="000A7981">
            <w:pPr>
              <w:jc w:val="both"/>
              <w:rPr>
                <w:rFonts w:cs="Arial"/>
                <w:sz w:val="22"/>
                <w:szCs w:val="22"/>
              </w:rPr>
            </w:pPr>
            <w:r w:rsidRPr="000A7981">
              <w:rPr>
                <w:rFonts w:cs="Arial"/>
                <w:sz w:val="22"/>
                <w:szCs w:val="22"/>
              </w:rPr>
              <w:t>1) Do Nothing</w:t>
            </w:r>
          </w:p>
          <w:p w14:paraId="74DC0510" w14:textId="77777777" w:rsidR="00355928" w:rsidRPr="000A7981" w:rsidRDefault="00355928" w:rsidP="000A7981">
            <w:pPr>
              <w:jc w:val="both"/>
              <w:rPr>
                <w:rFonts w:cs="Arial"/>
                <w:sz w:val="22"/>
                <w:szCs w:val="22"/>
              </w:rPr>
            </w:pPr>
            <w:r w:rsidRPr="000A7981">
              <w:rPr>
                <w:rFonts w:cs="Arial"/>
                <w:sz w:val="22"/>
                <w:szCs w:val="22"/>
              </w:rPr>
              <w:t>2) Minimum implementation of the EU non-financial reporting directive (NFRD) for PIEs that are in scope</w:t>
            </w:r>
            <w:r w:rsidR="00266F21">
              <w:rPr>
                <w:rFonts w:cs="Arial"/>
                <w:sz w:val="22"/>
                <w:szCs w:val="22"/>
              </w:rPr>
              <w:t xml:space="preserve"> of the Directive</w:t>
            </w:r>
            <w:r w:rsidRPr="000A7981">
              <w:rPr>
                <w:rFonts w:cs="Arial"/>
                <w:sz w:val="22"/>
                <w:szCs w:val="22"/>
              </w:rPr>
              <w:t xml:space="preserve"> (i.e. those with more than 500 employees)</w:t>
            </w:r>
            <w:r w:rsidR="00FC03D5">
              <w:rPr>
                <w:rFonts w:cs="Arial"/>
                <w:sz w:val="22"/>
                <w:szCs w:val="22"/>
              </w:rPr>
              <w:t>.  This is the</w:t>
            </w:r>
            <w:r w:rsidR="00FC03D5" w:rsidRPr="00173D3D">
              <w:rPr>
                <w:rFonts w:cs="Arial"/>
                <w:sz w:val="22"/>
                <w:szCs w:val="22"/>
              </w:rPr>
              <w:t xml:space="preserve"> preferred option</w:t>
            </w:r>
            <w:r w:rsidRPr="000A7981">
              <w:rPr>
                <w:rFonts w:cs="Arial"/>
                <w:sz w:val="22"/>
                <w:szCs w:val="22"/>
              </w:rPr>
              <w:t xml:space="preserve">; </w:t>
            </w:r>
          </w:p>
          <w:p w14:paraId="37BB1FB7" w14:textId="77777777" w:rsidR="00355928" w:rsidRPr="000A7981" w:rsidRDefault="00355928" w:rsidP="000A7981">
            <w:pPr>
              <w:jc w:val="both"/>
              <w:rPr>
                <w:rFonts w:cs="Arial"/>
                <w:sz w:val="22"/>
                <w:szCs w:val="22"/>
              </w:rPr>
            </w:pPr>
            <w:r w:rsidRPr="000A7981">
              <w:rPr>
                <w:rFonts w:cs="Arial"/>
                <w:sz w:val="22"/>
                <w:szCs w:val="22"/>
              </w:rPr>
              <w:t xml:space="preserve">3) Implement </w:t>
            </w:r>
            <w:r w:rsidR="00266F21">
              <w:rPr>
                <w:rFonts w:cs="Arial"/>
                <w:sz w:val="22"/>
                <w:szCs w:val="22"/>
              </w:rPr>
              <w:t>O</w:t>
            </w:r>
            <w:r w:rsidRPr="000A7981">
              <w:rPr>
                <w:rFonts w:cs="Arial"/>
                <w:sz w:val="22"/>
                <w:szCs w:val="22"/>
              </w:rPr>
              <w:t xml:space="preserve">ption 2 but extend the NFRD requirements to all companies quoted on an EU regulated market (regardless of their number of employees); and </w:t>
            </w:r>
          </w:p>
          <w:p w14:paraId="20BC6E59" w14:textId="77777777" w:rsidR="00D50283" w:rsidRPr="00231EFA" w:rsidRDefault="00355928" w:rsidP="00231EFA">
            <w:pPr>
              <w:jc w:val="both"/>
              <w:rPr>
                <w:rFonts w:cs="Arial"/>
                <w:sz w:val="22"/>
                <w:szCs w:val="22"/>
              </w:rPr>
            </w:pPr>
            <w:r w:rsidRPr="000A7981">
              <w:rPr>
                <w:rFonts w:cs="Arial"/>
                <w:sz w:val="22"/>
                <w:szCs w:val="22"/>
              </w:rPr>
              <w:t xml:space="preserve">4) Implement Option 2 and dis-apply the current UK reporting requirements for all quoted companies outside the scope of the EU NFRD (those with fewer than 500 employees). </w:t>
            </w:r>
          </w:p>
        </w:tc>
      </w:tr>
    </w:tbl>
    <w:p w14:paraId="3666FF9E" w14:textId="77777777" w:rsidR="00686F5E" w:rsidRPr="003415CC" w:rsidRDefault="00686F5E">
      <w:pPr>
        <w:pStyle w:val="IASpacer2"/>
        <w:rPr>
          <w:rFonts w:cs="Aria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10215"/>
      </w:tblGrid>
      <w:tr w:rsidR="00720FFE" w:rsidRPr="003415CC" w14:paraId="66946BAC" w14:textId="77777777" w:rsidTr="007E190E">
        <w:tc>
          <w:tcPr>
            <w:tcW w:w="5000" w:type="pct"/>
            <w:shd w:val="clear" w:color="auto" w:fill="auto"/>
          </w:tcPr>
          <w:p w14:paraId="28693148" w14:textId="77777777" w:rsidR="00720FFE" w:rsidRPr="003415CC" w:rsidRDefault="00720FFE" w:rsidP="00332B05">
            <w:pPr>
              <w:pStyle w:val="IATableLabel"/>
              <w:rPr>
                <w:rFonts w:cs="Arial"/>
                <w:b w:val="0"/>
                <w:sz w:val="22"/>
                <w:szCs w:val="22"/>
              </w:rPr>
            </w:pPr>
            <w:r w:rsidRPr="003415CC">
              <w:rPr>
                <w:rFonts w:cs="Arial"/>
              </w:rPr>
              <w:t xml:space="preserve">Will the policy be reviewed?  </w:t>
            </w:r>
            <w:r w:rsidRPr="003415CC">
              <w:rPr>
                <w:rFonts w:cs="Arial"/>
                <w:b w:val="0"/>
                <w:sz w:val="22"/>
                <w:szCs w:val="22"/>
              </w:rPr>
              <w:t xml:space="preserve">It </w:t>
            </w:r>
            <w:bookmarkStart w:id="17" w:name="IAPolicyReview"/>
            <w:r w:rsidR="00BB249D" w:rsidRPr="003415CC">
              <w:rPr>
                <w:rStyle w:val="IAIOPolicyReviewChar"/>
                <w:rFonts w:cs="Arial"/>
              </w:rPr>
              <w:fldChar w:fldCharType="begin">
                <w:ffData>
                  <w:name w:val="IAPolicyReview"/>
                  <w:enabled/>
                  <w:calcOnExit w:val="0"/>
                  <w:ddList>
                    <w:result w:val="1"/>
                    <w:listEntry w:val="will/will not"/>
                    <w:listEntry w:val="will"/>
                    <w:listEntry w:val="will not"/>
                  </w:ddList>
                </w:ffData>
              </w:fldChar>
            </w:r>
            <w:r w:rsidR="00BB249D" w:rsidRPr="003415CC">
              <w:rPr>
                <w:rStyle w:val="IAIOPolicyReviewChar"/>
                <w:rFonts w:cs="Arial"/>
              </w:rPr>
              <w:instrText xml:space="preserve"> FORMDROPDOWN </w:instrText>
            </w:r>
            <w:r w:rsidR="007771D9">
              <w:rPr>
                <w:rStyle w:val="IAIOPolicyReviewChar"/>
                <w:rFonts w:cs="Arial"/>
              </w:rPr>
            </w:r>
            <w:r w:rsidR="007771D9">
              <w:rPr>
                <w:rStyle w:val="IAIOPolicyReviewChar"/>
                <w:rFonts w:cs="Arial"/>
              </w:rPr>
              <w:fldChar w:fldCharType="separate"/>
            </w:r>
            <w:r w:rsidR="00BB249D" w:rsidRPr="003415CC">
              <w:rPr>
                <w:rStyle w:val="IAIOPolicyReviewChar"/>
                <w:rFonts w:cs="Arial"/>
              </w:rPr>
              <w:fldChar w:fldCharType="end"/>
            </w:r>
            <w:bookmarkEnd w:id="17"/>
            <w:r w:rsidRPr="003415CC">
              <w:rPr>
                <w:rFonts w:cs="Arial"/>
                <w:b w:val="0"/>
                <w:sz w:val="22"/>
                <w:szCs w:val="22"/>
              </w:rPr>
              <w:t xml:space="preserve"> </w:t>
            </w:r>
            <w:proofErr w:type="gramStart"/>
            <w:r w:rsidRPr="003415CC">
              <w:rPr>
                <w:rFonts w:cs="Arial"/>
                <w:b w:val="0"/>
                <w:sz w:val="22"/>
                <w:szCs w:val="22"/>
              </w:rPr>
              <w:t>be</w:t>
            </w:r>
            <w:proofErr w:type="gramEnd"/>
            <w:r w:rsidRPr="003415CC">
              <w:rPr>
                <w:rFonts w:cs="Arial"/>
                <w:b w:val="0"/>
                <w:sz w:val="22"/>
                <w:szCs w:val="22"/>
              </w:rPr>
              <w:t xml:space="preserve"> reviewed.</w:t>
            </w:r>
            <w:r w:rsidRPr="003415CC">
              <w:rPr>
                <w:rFonts w:cs="Arial"/>
                <w:sz w:val="22"/>
                <w:szCs w:val="22"/>
              </w:rPr>
              <w:t xml:space="preserve"> </w:t>
            </w:r>
            <w:r w:rsidRPr="003415CC">
              <w:rPr>
                <w:rFonts w:cs="Arial"/>
              </w:rPr>
              <w:t xml:space="preserve"> If applicable, set review date:  </w:t>
            </w:r>
            <w:bookmarkStart w:id="18" w:name="IAReviewMonth"/>
            <w:r w:rsidR="00BB249D" w:rsidRPr="003415CC">
              <w:rPr>
                <w:rStyle w:val="IAIOReviewMonthChar"/>
                <w:rFonts w:cs="Arial"/>
              </w:rPr>
              <w:fldChar w:fldCharType="begin">
                <w:ffData>
                  <w:name w:val="IAReviewMonth"/>
                  <w:enabled/>
                  <w:calcOnExit w:val="0"/>
                  <w:ddList>
                    <w:result w:val="9"/>
                    <w:listEntry w:val="Month"/>
                    <w:listEntry w:val="01"/>
                    <w:listEntry w:val="02"/>
                    <w:listEntry w:val="03"/>
                    <w:listEntry w:val="04"/>
                    <w:listEntry w:val="05"/>
                    <w:listEntry w:val="06"/>
                    <w:listEntry w:val="07"/>
                    <w:listEntry w:val="08"/>
                    <w:listEntry w:val="09"/>
                    <w:listEntry w:val="10"/>
                    <w:listEntry w:val="11"/>
                    <w:listEntry w:val="12"/>
                  </w:ddList>
                </w:ffData>
              </w:fldChar>
            </w:r>
            <w:r w:rsidR="00BB249D" w:rsidRPr="003415CC">
              <w:rPr>
                <w:rStyle w:val="IAIOReviewMonthChar"/>
                <w:rFonts w:cs="Arial"/>
              </w:rPr>
              <w:instrText xml:space="preserve"> FORMDROPDOWN </w:instrText>
            </w:r>
            <w:r w:rsidR="007771D9">
              <w:rPr>
                <w:rStyle w:val="IAIOReviewMonthChar"/>
                <w:rFonts w:cs="Arial"/>
              </w:rPr>
            </w:r>
            <w:r w:rsidR="007771D9">
              <w:rPr>
                <w:rStyle w:val="IAIOReviewMonthChar"/>
                <w:rFonts w:cs="Arial"/>
              </w:rPr>
              <w:fldChar w:fldCharType="separate"/>
            </w:r>
            <w:r w:rsidR="00BB249D" w:rsidRPr="003415CC">
              <w:rPr>
                <w:rStyle w:val="IAIOReviewMonthChar"/>
                <w:rFonts w:cs="Arial"/>
              </w:rPr>
              <w:fldChar w:fldCharType="end"/>
            </w:r>
            <w:bookmarkEnd w:id="18"/>
            <w:r w:rsidRPr="003415CC">
              <w:rPr>
                <w:rFonts w:cs="Arial"/>
                <w:b w:val="0"/>
                <w:sz w:val="22"/>
                <w:szCs w:val="22"/>
              </w:rPr>
              <w:t>/</w:t>
            </w:r>
            <w:bookmarkStart w:id="19" w:name="IAReviewYear"/>
            <w:r w:rsidR="00BB249D" w:rsidRPr="003415CC">
              <w:rPr>
                <w:rStyle w:val="IAIOReviewYearChar"/>
                <w:rFonts w:cs="Arial"/>
              </w:rPr>
              <w:fldChar w:fldCharType="begin">
                <w:ffData>
                  <w:name w:val="IAReviewYear"/>
                  <w:enabled/>
                  <w:calcOnExit w:val="0"/>
                  <w:ddList>
                    <w:result w:val="11"/>
                    <w:listEntry w:val="Year"/>
                    <w:listEntry w:val="2010"/>
                    <w:listEntry w:val="2011"/>
                    <w:listEntry w:val="2012"/>
                    <w:listEntry w:val="2013"/>
                    <w:listEntry w:val="2014"/>
                    <w:listEntry w:val="2015"/>
                    <w:listEntry w:val="2016"/>
                    <w:listEntry w:val="2017"/>
                    <w:listEntry w:val="2018"/>
                    <w:listEntry w:val="2019"/>
                    <w:listEntry w:val="2020"/>
                    <w:listEntry w:val="2021"/>
                    <w:listEntry w:val="2022"/>
                    <w:listEntry w:val="2023"/>
                    <w:listEntry w:val="2024"/>
                    <w:listEntry w:val="2025"/>
                  </w:ddList>
                </w:ffData>
              </w:fldChar>
            </w:r>
            <w:r w:rsidR="00BB249D" w:rsidRPr="003415CC">
              <w:rPr>
                <w:rStyle w:val="IAIOReviewYearChar"/>
                <w:rFonts w:cs="Arial"/>
              </w:rPr>
              <w:instrText xml:space="preserve"> FORMDROPDOWN </w:instrText>
            </w:r>
            <w:r w:rsidR="007771D9">
              <w:rPr>
                <w:rStyle w:val="IAIOReviewYearChar"/>
                <w:rFonts w:cs="Arial"/>
              </w:rPr>
            </w:r>
            <w:r w:rsidR="007771D9">
              <w:rPr>
                <w:rStyle w:val="IAIOReviewYearChar"/>
                <w:rFonts w:cs="Arial"/>
              </w:rPr>
              <w:fldChar w:fldCharType="separate"/>
            </w:r>
            <w:r w:rsidR="00BB249D" w:rsidRPr="003415CC">
              <w:rPr>
                <w:rStyle w:val="IAIOReviewYearChar"/>
                <w:rFonts w:cs="Arial"/>
              </w:rPr>
              <w:fldChar w:fldCharType="end"/>
            </w:r>
            <w:bookmarkEnd w:id="19"/>
          </w:p>
        </w:tc>
      </w:tr>
    </w:tbl>
    <w:p w14:paraId="66F3A17D" w14:textId="77777777" w:rsidR="007E190E" w:rsidRPr="003415CC" w:rsidRDefault="007E190E" w:rsidP="007E190E">
      <w:pPr>
        <w:rPr>
          <w:rFonts w:cs="Arial"/>
          <w:vanish/>
        </w:rPr>
      </w:pPr>
      <w:bookmarkStart w:id="20" w:name="Summary4"/>
      <w:bookmarkEnd w:id="16"/>
    </w:p>
    <w:tbl>
      <w:tblPr>
        <w:tblW w:w="4993"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0E0E0"/>
        <w:tblLayout w:type="fixed"/>
        <w:tblCellMar>
          <w:left w:w="0" w:type="dxa"/>
          <w:right w:w="0" w:type="dxa"/>
        </w:tblCellMar>
        <w:tblLook w:val="01E0" w:firstRow="1" w:lastRow="1" w:firstColumn="1" w:lastColumn="1" w:noHBand="0" w:noVBand="0"/>
      </w:tblPr>
      <w:tblGrid>
        <w:gridCol w:w="6269"/>
        <w:gridCol w:w="983"/>
        <w:gridCol w:w="983"/>
        <w:gridCol w:w="348"/>
        <w:gridCol w:w="635"/>
        <w:gridCol w:w="983"/>
      </w:tblGrid>
      <w:tr w:rsidR="006656EC" w:rsidRPr="003415CC" w14:paraId="49BF6CAF" w14:textId="77777777">
        <w:trPr>
          <w:trHeight w:hRule="exact" w:val="340"/>
        </w:trPr>
        <w:tc>
          <w:tcPr>
            <w:tcW w:w="7252" w:type="dxa"/>
            <w:gridSpan w:val="2"/>
            <w:shd w:val="clear" w:color="auto" w:fill="E0E0E0"/>
            <w:vAlign w:val="center"/>
          </w:tcPr>
          <w:p w14:paraId="2B8729DA" w14:textId="77777777" w:rsidR="006656EC" w:rsidRPr="003415CC" w:rsidRDefault="006656EC" w:rsidP="006A0557">
            <w:pPr>
              <w:pStyle w:val="IATableText"/>
              <w:spacing w:before="0" w:after="0"/>
              <w:rPr>
                <w:rFonts w:cs="Arial"/>
                <w:sz w:val="20"/>
              </w:rPr>
            </w:pPr>
            <w:r w:rsidRPr="003415CC">
              <w:rPr>
                <w:rFonts w:cs="Arial"/>
                <w:iCs/>
                <w:sz w:val="20"/>
              </w:rPr>
              <w:t>Does implementation go beyond minimum EU requirements?</w:t>
            </w:r>
          </w:p>
        </w:tc>
        <w:bookmarkStart w:id="21" w:name="IACheckEU"/>
        <w:tc>
          <w:tcPr>
            <w:tcW w:w="2949" w:type="dxa"/>
            <w:gridSpan w:val="4"/>
            <w:tcBorders>
              <w:bottom w:val="single" w:sz="4" w:space="0" w:color="auto"/>
            </w:tcBorders>
            <w:shd w:val="clear" w:color="auto" w:fill="E0E0E0"/>
            <w:vAlign w:val="center"/>
          </w:tcPr>
          <w:p w14:paraId="7B5D6A2E" w14:textId="77777777" w:rsidR="006656EC" w:rsidRPr="003415CC" w:rsidRDefault="00BB249D" w:rsidP="00F91F5A">
            <w:pPr>
              <w:pStyle w:val="IAIOCheckEU"/>
              <w:rPr>
                <w:rFonts w:cs="Arial"/>
              </w:rPr>
            </w:pPr>
            <w:r w:rsidRPr="003415CC">
              <w:rPr>
                <w:rFonts w:cs="Arial"/>
              </w:rPr>
              <w:fldChar w:fldCharType="begin">
                <w:ffData>
                  <w:name w:val="IACheckEU"/>
                  <w:enabled/>
                  <w:calcOnExit w:val="0"/>
                  <w:ddList>
                    <w:result w:val="2"/>
                    <w:listEntry w:val="Yes / No / N/A"/>
                    <w:listEntry w:val="Yes"/>
                    <w:listEntry w:val="No"/>
                    <w:listEntry w:val="N/A"/>
                  </w:ddList>
                </w:ffData>
              </w:fldChar>
            </w:r>
            <w:r w:rsidRPr="003415CC">
              <w:rPr>
                <w:rFonts w:cs="Arial"/>
              </w:rPr>
              <w:instrText xml:space="preserve"> FORMDROPDOWN </w:instrText>
            </w:r>
            <w:r w:rsidR="007771D9">
              <w:rPr>
                <w:rFonts w:cs="Arial"/>
              </w:rPr>
            </w:r>
            <w:r w:rsidR="007771D9">
              <w:rPr>
                <w:rFonts w:cs="Arial"/>
              </w:rPr>
              <w:fldChar w:fldCharType="separate"/>
            </w:r>
            <w:r w:rsidRPr="003415CC">
              <w:rPr>
                <w:rFonts w:cs="Arial"/>
              </w:rPr>
              <w:fldChar w:fldCharType="end"/>
            </w:r>
            <w:bookmarkEnd w:id="21"/>
          </w:p>
        </w:tc>
      </w:tr>
      <w:tr w:rsidR="00422963" w:rsidRPr="003415CC" w14:paraId="57F200FD" w14:textId="77777777" w:rsidTr="000A5C5D">
        <w:trPr>
          <w:trHeight w:val="460"/>
        </w:trPr>
        <w:tc>
          <w:tcPr>
            <w:tcW w:w="6269" w:type="dxa"/>
            <w:shd w:val="clear" w:color="auto" w:fill="E0E0E0"/>
            <w:vAlign w:val="center"/>
          </w:tcPr>
          <w:p w14:paraId="4FB946B9" w14:textId="77777777" w:rsidR="00422963" w:rsidRPr="003415CC" w:rsidRDefault="00422963" w:rsidP="00422963">
            <w:pPr>
              <w:pStyle w:val="IATableLines"/>
              <w:rPr>
                <w:rFonts w:cs="Arial"/>
                <w:b/>
                <w:color w:val="000000"/>
                <w:sz w:val="20"/>
              </w:rPr>
            </w:pPr>
            <w:r w:rsidRPr="003415CC">
              <w:rPr>
                <w:rFonts w:cs="Arial"/>
                <w:sz w:val="20"/>
              </w:rPr>
              <w:t>Are any of these organisations in scope?</w:t>
            </w:r>
          </w:p>
        </w:tc>
        <w:tc>
          <w:tcPr>
            <w:tcW w:w="983" w:type="dxa"/>
            <w:shd w:val="clear" w:color="auto" w:fill="E0E0E0"/>
            <w:vAlign w:val="center"/>
          </w:tcPr>
          <w:p w14:paraId="11DAF62F" w14:textId="77777777" w:rsidR="00422963" w:rsidRPr="003415CC" w:rsidRDefault="00422963" w:rsidP="00422963">
            <w:pPr>
              <w:pStyle w:val="IATableLines"/>
              <w:rPr>
                <w:rFonts w:cs="Arial"/>
                <w:b/>
                <w:color w:val="000000"/>
                <w:sz w:val="20"/>
              </w:rPr>
            </w:pPr>
            <w:r w:rsidRPr="003415CC">
              <w:rPr>
                <w:rFonts w:cs="Arial"/>
                <w:b/>
                <w:color w:val="000000"/>
                <w:sz w:val="20"/>
              </w:rPr>
              <w:t>Micro</w:t>
            </w:r>
            <w:bookmarkStart w:id="22" w:name="IACheckMicro"/>
            <w:r w:rsidRPr="003415CC">
              <w:rPr>
                <w:rStyle w:val="IAIOCheckMicroChar"/>
                <w:rFonts w:cs="Arial"/>
                <w:b w:val="0"/>
                <w:sz w:val="20"/>
              </w:rPr>
              <w:fldChar w:fldCharType="begin">
                <w:ffData>
                  <w:name w:val="IACheckMicro"/>
                  <w:enabled/>
                  <w:calcOnExit w:val="0"/>
                  <w:ddList>
                    <w:result w:val="2"/>
                    <w:listEntry w:val="Yes/No"/>
                    <w:listEntry w:val="Yes"/>
                    <w:listEntry w:val="No"/>
                  </w:ddList>
                </w:ffData>
              </w:fldChar>
            </w:r>
            <w:r w:rsidRPr="003415CC">
              <w:rPr>
                <w:rStyle w:val="IAIOCheckMicroChar"/>
                <w:rFonts w:cs="Arial"/>
                <w:b w:val="0"/>
                <w:sz w:val="20"/>
              </w:rPr>
              <w:instrText xml:space="preserve"> FORMDROPDOWN </w:instrText>
            </w:r>
            <w:r w:rsidR="007771D9">
              <w:rPr>
                <w:rStyle w:val="IAIOCheckMicroChar"/>
                <w:rFonts w:cs="Arial"/>
                <w:b w:val="0"/>
                <w:sz w:val="20"/>
              </w:rPr>
            </w:r>
            <w:r w:rsidR="007771D9">
              <w:rPr>
                <w:rStyle w:val="IAIOCheckMicroChar"/>
                <w:rFonts w:cs="Arial"/>
                <w:b w:val="0"/>
                <w:sz w:val="20"/>
              </w:rPr>
              <w:fldChar w:fldCharType="separate"/>
            </w:r>
            <w:r w:rsidRPr="003415CC">
              <w:rPr>
                <w:rStyle w:val="IAIOCheckMicroChar"/>
                <w:rFonts w:cs="Arial"/>
                <w:b w:val="0"/>
                <w:sz w:val="20"/>
              </w:rPr>
              <w:fldChar w:fldCharType="end"/>
            </w:r>
            <w:bookmarkEnd w:id="22"/>
          </w:p>
        </w:tc>
        <w:tc>
          <w:tcPr>
            <w:tcW w:w="983" w:type="dxa"/>
            <w:shd w:val="clear" w:color="auto" w:fill="E0E0E0"/>
            <w:vAlign w:val="center"/>
          </w:tcPr>
          <w:p w14:paraId="18232DC9" w14:textId="77777777" w:rsidR="00422963" w:rsidRPr="003415CC" w:rsidRDefault="00422963" w:rsidP="00422963">
            <w:pPr>
              <w:pStyle w:val="IATableLines"/>
              <w:rPr>
                <w:rFonts w:cs="Arial"/>
                <w:b/>
                <w:color w:val="000000"/>
                <w:sz w:val="20"/>
              </w:rPr>
            </w:pPr>
            <w:r w:rsidRPr="003415CC">
              <w:rPr>
                <w:rFonts w:cs="Arial"/>
                <w:b/>
                <w:color w:val="000000"/>
                <w:sz w:val="20"/>
              </w:rPr>
              <w:t>Small</w:t>
            </w:r>
            <w:bookmarkStart w:id="23" w:name="IACheckSmall"/>
            <w:r w:rsidRPr="003415CC">
              <w:rPr>
                <w:rStyle w:val="IAIOCheckSmallChar"/>
                <w:rFonts w:cs="Arial"/>
                <w:b w:val="0"/>
                <w:sz w:val="20"/>
              </w:rPr>
              <w:fldChar w:fldCharType="begin">
                <w:ffData>
                  <w:name w:val="IACheckSmall"/>
                  <w:enabled/>
                  <w:calcOnExit w:val="0"/>
                  <w:ddList>
                    <w:result w:val="2"/>
                    <w:listEntry w:val="Yes/No"/>
                    <w:listEntry w:val="Yes"/>
                    <w:listEntry w:val="No"/>
                  </w:ddList>
                </w:ffData>
              </w:fldChar>
            </w:r>
            <w:r w:rsidRPr="003415CC">
              <w:rPr>
                <w:rStyle w:val="IAIOCheckSmallChar"/>
                <w:rFonts w:cs="Arial"/>
                <w:b w:val="0"/>
                <w:sz w:val="20"/>
              </w:rPr>
              <w:instrText xml:space="preserve"> FORMDROPDOWN </w:instrText>
            </w:r>
            <w:r w:rsidR="007771D9">
              <w:rPr>
                <w:rStyle w:val="IAIOCheckSmallChar"/>
                <w:rFonts w:cs="Arial"/>
                <w:b w:val="0"/>
                <w:sz w:val="20"/>
              </w:rPr>
            </w:r>
            <w:r w:rsidR="007771D9">
              <w:rPr>
                <w:rStyle w:val="IAIOCheckSmallChar"/>
                <w:rFonts w:cs="Arial"/>
                <w:b w:val="0"/>
                <w:sz w:val="20"/>
              </w:rPr>
              <w:fldChar w:fldCharType="separate"/>
            </w:r>
            <w:r w:rsidRPr="003415CC">
              <w:rPr>
                <w:rStyle w:val="IAIOCheckSmallChar"/>
                <w:rFonts w:cs="Arial"/>
                <w:b w:val="0"/>
                <w:sz w:val="20"/>
              </w:rPr>
              <w:fldChar w:fldCharType="end"/>
            </w:r>
            <w:bookmarkEnd w:id="23"/>
          </w:p>
        </w:tc>
        <w:tc>
          <w:tcPr>
            <w:tcW w:w="983" w:type="dxa"/>
            <w:gridSpan w:val="2"/>
            <w:shd w:val="clear" w:color="auto" w:fill="E0E0E0"/>
            <w:vAlign w:val="center"/>
          </w:tcPr>
          <w:p w14:paraId="18A04127" w14:textId="77777777" w:rsidR="00422963" w:rsidRPr="003415CC" w:rsidRDefault="00422963" w:rsidP="00422963">
            <w:pPr>
              <w:pStyle w:val="IATableLines"/>
              <w:rPr>
                <w:rFonts w:cs="Arial"/>
                <w:b/>
                <w:color w:val="000000"/>
                <w:sz w:val="20"/>
              </w:rPr>
            </w:pPr>
            <w:r w:rsidRPr="003415CC">
              <w:rPr>
                <w:rFonts w:cs="Arial"/>
                <w:b/>
                <w:color w:val="000000"/>
                <w:sz w:val="20"/>
              </w:rPr>
              <w:t>Medium</w:t>
            </w:r>
            <w:bookmarkStart w:id="24" w:name="IACheckMedium"/>
            <w:r w:rsidRPr="003415CC">
              <w:rPr>
                <w:rStyle w:val="IAIOCheckMediumChar"/>
                <w:rFonts w:cs="Arial"/>
                <w:b w:val="0"/>
                <w:sz w:val="20"/>
              </w:rPr>
              <w:fldChar w:fldCharType="begin">
                <w:ffData>
                  <w:name w:val="IACheckMedium"/>
                  <w:enabled/>
                  <w:calcOnExit w:val="0"/>
                  <w:ddList>
                    <w:result w:val="2"/>
                    <w:listEntry w:val="Yes/No"/>
                    <w:listEntry w:val="Yes"/>
                    <w:listEntry w:val="No"/>
                  </w:ddList>
                </w:ffData>
              </w:fldChar>
            </w:r>
            <w:r w:rsidRPr="003415CC">
              <w:rPr>
                <w:rStyle w:val="IAIOCheckMediumChar"/>
                <w:rFonts w:cs="Arial"/>
                <w:b w:val="0"/>
                <w:sz w:val="20"/>
              </w:rPr>
              <w:instrText xml:space="preserve"> FORMDROPDOWN </w:instrText>
            </w:r>
            <w:r w:rsidR="007771D9">
              <w:rPr>
                <w:rStyle w:val="IAIOCheckMediumChar"/>
                <w:rFonts w:cs="Arial"/>
                <w:b w:val="0"/>
                <w:sz w:val="20"/>
              </w:rPr>
            </w:r>
            <w:r w:rsidR="007771D9">
              <w:rPr>
                <w:rStyle w:val="IAIOCheckMediumChar"/>
                <w:rFonts w:cs="Arial"/>
                <w:b w:val="0"/>
                <w:sz w:val="20"/>
              </w:rPr>
              <w:fldChar w:fldCharType="separate"/>
            </w:r>
            <w:r w:rsidRPr="003415CC">
              <w:rPr>
                <w:rStyle w:val="IAIOCheckMediumChar"/>
                <w:rFonts w:cs="Arial"/>
                <w:b w:val="0"/>
                <w:sz w:val="20"/>
              </w:rPr>
              <w:fldChar w:fldCharType="end"/>
            </w:r>
            <w:bookmarkEnd w:id="24"/>
          </w:p>
        </w:tc>
        <w:tc>
          <w:tcPr>
            <w:tcW w:w="983" w:type="dxa"/>
            <w:shd w:val="clear" w:color="auto" w:fill="E0E0E0"/>
            <w:vAlign w:val="center"/>
          </w:tcPr>
          <w:p w14:paraId="56F0336F" w14:textId="77777777" w:rsidR="00422963" w:rsidRPr="003415CC" w:rsidRDefault="00422963" w:rsidP="00422963">
            <w:pPr>
              <w:pStyle w:val="IATableLines"/>
              <w:rPr>
                <w:rFonts w:cs="Arial"/>
                <w:b/>
                <w:color w:val="000000"/>
                <w:sz w:val="20"/>
              </w:rPr>
            </w:pPr>
            <w:r w:rsidRPr="003415CC">
              <w:rPr>
                <w:rFonts w:cs="Arial"/>
                <w:b/>
                <w:color w:val="000000"/>
                <w:sz w:val="20"/>
              </w:rPr>
              <w:t>Large</w:t>
            </w:r>
            <w:bookmarkStart w:id="25" w:name="IACheckLarge"/>
            <w:r w:rsidRPr="003415CC">
              <w:rPr>
                <w:rStyle w:val="IAIOCheckLargeChar"/>
                <w:rFonts w:cs="Arial"/>
                <w:b w:val="0"/>
                <w:sz w:val="20"/>
              </w:rPr>
              <w:fldChar w:fldCharType="begin">
                <w:ffData>
                  <w:name w:val="IACheckLarge"/>
                  <w:enabled/>
                  <w:calcOnExit w:val="0"/>
                  <w:ddList>
                    <w:result w:val="1"/>
                    <w:listEntry w:val="Yes/No"/>
                    <w:listEntry w:val="Yes"/>
                    <w:listEntry w:val="No"/>
                  </w:ddList>
                </w:ffData>
              </w:fldChar>
            </w:r>
            <w:r w:rsidRPr="003415CC">
              <w:rPr>
                <w:rStyle w:val="IAIOCheckLargeChar"/>
                <w:rFonts w:cs="Arial"/>
                <w:b w:val="0"/>
                <w:sz w:val="20"/>
              </w:rPr>
              <w:instrText xml:space="preserve"> FORMDROPDOWN </w:instrText>
            </w:r>
            <w:r w:rsidR="007771D9">
              <w:rPr>
                <w:rStyle w:val="IAIOCheckLargeChar"/>
                <w:rFonts w:cs="Arial"/>
                <w:b w:val="0"/>
                <w:sz w:val="20"/>
              </w:rPr>
            </w:r>
            <w:r w:rsidR="007771D9">
              <w:rPr>
                <w:rStyle w:val="IAIOCheckLargeChar"/>
                <w:rFonts w:cs="Arial"/>
                <w:b w:val="0"/>
                <w:sz w:val="20"/>
              </w:rPr>
              <w:fldChar w:fldCharType="separate"/>
            </w:r>
            <w:r w:rsidRPr="003415CC">
              <w:rPr>
                <w:rStyle w:val="IAIOCheckLargeChar"/>
                <w:rFonts w:cs="Arial"/>
                <w:b w:val="0"/>
                <w:sz w:val="20"/>
              </w:rPr>
              <w:fldChar w:fldCharType="end"/>
            </w:r>
            <w:bookmarkEnd w:id="25"/>
          </w:p>
        </w:tc>
      </w:tr>
      <w:tr w:rsidR="00422963" w:rsidRPr="003415CC" w14:paraId="76366448" w14:textId="77777777">
        <w:tblPrEx>
          <w:shd w:val="clear" w:color="auto" w:fill="auto"/>
        </w:tblPrEx>
        <w:trPr>
          <w:trHeight w:hRule="exact" w:val="567"/>
        </w:trPr>
        <w:tc>
          <w:tcPr>
            <w:tcW w:w="7252" w:type="dxa"/>
            <w:gridSpan w:val="2"/>
            <w:tcBorders>
              <w:top w:val="single" w:sz="4" w:space="0" w:color="auto"/>
              <w:left w:val="single" w:sz="4" w:space="0" w:color="auto"/>
              <w:bottom w:val="single" w:sz="4" w:space="0" w:color="auto"/>
              <w:right w:val="single" w:sz="4" w:space="0" w:color="auto"/>
            </w:tcBorders>
            <w:shd w:val="clear" w:color="auto" w:fill="E0E0E0"/>
            <w:vAlign w:val="center"/>
          </w:tcPr>
          <w:p w14:paraId="7A1CD7AD" w14:textId="77777777" w:rsidR="00422963" w:rsidRPr="003415CC" w:rsidRDefault="00422963" w:rsidP="00422963">
            <w:pPr>
              <w:pStyle w:val="IATableText"/>
              <w:spacing w:before="0" w:after="0"/>
              <w:rPr>
                <w:rFonts w:eastAsia="Times New Roman" w:cs="Arial"/>
                <w:sz w:val="16"/>
                <w:szCs w:val="16"/>
              </w:rPr>
            </w:pPr>
            <w:r w:rsidRPr="003415CC">
              <w:rPr>
                <w:rFonts w:cs="Arial"/>
                <w:sz w:val="20"/>
              </w:rPr>
              <w:t>What is the CO</w:t>
            </w:r>
            <w:r w:rsidRPr="003415CC">
              <w:rPr>
                <w:rFonts w:cs="Arial"/>
                <w:sz w:val="20"/>
                <w:vertAlign w:val="subscript"/>
              </w:rPr>
              <w:t>2</w:t>
            </w:r>
            <w:r w:rsidRPr="003415CC">
              <w:rPr>
                <w:rFonts w:cs="Arial"/>
                <w:sz w:val="20"/>
              </w:rPr>
              <w:t xml:space="preserve"> equivalent change in greenhouse gas emissions? </w:t>
            </w:r>
            <w:r w:rsidRPr="003415CC">
              <w:rPr>
                <w:rFonts w:cs="Arial"/>
                <w:sz w:val="20"/>
              </w:rPr>
              <w:br/>
              <w:t>(Million tonnes CO</w:t>
            </w:r>
            <w:r w:rsidRPr="003415CC">
              <w:rPr>
                <w:rFonts w:cs="Arial"/>
                <w:sz w:val="20"/>
                <w:vertAlign w:val="subscript"/>
              </w:rPr>
              <w:t>2</w:t>
            </w:r>
            <w:r w:rsidRPr="003415CC">
              <w:rPr>
                <w:rFonts w:cs="Arial"/>
                <w:sz w:val="20"/>
              </w:rPr>
              <w:t xml:space="preserve"> equivalent)</w:t>
            </w:r>
            <w:r w:rsidRPr="003415CC">
              <w:rPr>
                <w:rFonts w:cs="Arial"/>
                <w:spacing w:val="0"/>
                <w:sz w:val="18"/>
              </w:rPr>
              <w:t xml:space="preserve">  </w:t>
            </w:r>
          </w:p>
        </w:tc>
        <w:tc>
          <w:tcPr>
            <w:tcW w:w="1331" w:type="dxa"/>
            <w:gridSpan w:val="2"/>
            <w:tcBorders>
              <w:top w:val="single" w:sz="4" w:space="0" w:color="auto"/>
              <w:left w:val="single" w:sz="4" w:space="0" w:color="auto"/>
              <w:bottom w:val="single" w:sz="4" w:space="0" w:color="auto"/>
              <w:right w:val="single" w:sz="4" w:space="0" w:color="auto"/>
            </w:tcBorders>
            <w:shd w:val="clear" w:color="auto" w:fill="E0E0E0"/>
          </w:tcPr>
          <w:p w14:paraId="3F8B0C06" w14:textId="77777777" w:rsidR="00422963" w:rsidRPr="003415CC" w:rsidRDefault="00422963" w:rsidP="00422963">
            <w:pPr>
              <w:pStyle w:val="IATableLabel"/>
              <w:rPr>
                <w:rFonts w:cs="Arial"/>
              </w:rPr>
            </w:pPr>
            <w:r w:rsidRPr="003415CC">
              <w:rPr>
                <w:rFonts w:cs="Arial"/>
              </w:rPr>
              <w:t xml:space="preserve">Traded:   </w:t>
            </w:r>
            <w:r w:rsidRPr="003415CC">
              <w:rPr>
                <w:rFonts w:cs="Arial"/>
              </w:rPr>
              <w:br/>
            </w:r>
            <w:bookmarkStart w:id="26" w:name="IACO2Traded"/>
            <w:r w:rsidRPr="003415CC">
              <w:rPr>
                <w:rStyle w:val="IAIOCO2TradedChar"/>
                <w:rFonts w:cs="Arial"/>
                <w:sz w:val="20"/>
              </w:rPr>
              <w:fldChar w:fldCharType="begin">
                <w:ffData>
                  <w:name w:val="IACO2Traded"/>
                  <w:enabled/>
                  <w:calcOnExit w:val="0"/>
                  <w:textInput>
                    <w:maxLength w:val="8"/>
                  </w:textInput>
                </w:ffData>
              </w:fldChar>
            </w:r>
            <w:r w:rsidRPr="003415CC">
              <w:rPr>
                <w:rStyle w:val="IAIOCO2TradedChar"/>
                <w:rFonts w:cs="Arial"/>
                <w:sz w:val="20"/>
              </w:rPr>
              <w:instrText xml:space="preserve"> FORMTEXT </w:instrText>
            </w:r>
            <w:r w:rsidRPr="003415CC">
              <w:rPr>
                <w:rStyle w:val="IAIOCO2TradedChar"/>
                <w:rFonts w:cs="Arial"/>
                <w:sz w:val="20"/>
              </w:rPr>
            </w:r>
            <w:r w:rsidRPr="003415CC">
              <w:rPr>
                <w:rStyle w:val="IAIOCO2TradedChar"/>
                <w:rFonts w:cs="Arial"/>
                <w:sz w:val="20"/>
              </w:rPr>
              <w:fldChar w:fldCharType="separate"/>
            </w:r>
            <w:r w:rsidRPr="003415CC">
              <w:rPr>
                <w:rStyle w:val="IAIOCO2TradedChar"/>
                <w:rFonts w:cs="Arial"/>
                <w:sz w:val="20"/>
              </w:rPr>
              <w:t> </w:t>
            </w:r>
            <w:r w:rsidRPr="003415CC">
              <w:rPr>
                <w:rStyle w:val="IAIOCO2TradedChar"/>
                <w:rFonts w:cs="Arial"/>
                <w:sz w:val="20"/>
              </w:rPr>
              <w:t> </w:t>
            </w:r>
            <w:r w:rsidRPr="003415CC">
              <w:rPr>
                <w:rStyle w:val="IAIOCO2TradedChar"/>
                <w:rFonts w:cs="Arial"/>
                <w:sz w:val="20"/>
              </w:rPr>
              <w:t> </w:t>
            </w:r>
            <w:r w:rsidRPr="003415CC">
              <w:rPr>
                <w:rStyle w:val="IAIOCO2TradedChar"/>
                <w:rFonts w:cs="Arial"/>
                <w:sz w:val="20"/>
              </w:rPr>
              <w:t> </w:t>
            </w:r>
            <w:r w:rsidRPr="003415CC">
              <w:rPr>
                <w:rStyle w:val="IAIOCO2TradedChar"/>
                <w:rFonts w:cs="Arial"/>
                <w:sz w:val="20"/>
              </w:rPr>
              <w:t> </w:t>
            </w:r>
            <w:r w:rsidRPr="003415CC">
              <w:rPr>
                <w:rStyle w:val="IAIOCO2TradedChar"/>
                <w:rFonts w:cs="Arial"/>
                <w:sz w:val="20"/>
              </w:rPr>
              <w:fldChar w:fldCharType="end"/>
            </w:r>
            <w:bookmarkEnd w:id="26"/>
          </w:p>
        </w:tc>
        <w:tc>
          <w:tcPr>
            <w:tcW w:w="1618" w:type="dxa"/>
            <w:gridSpan w:val="2"/>
            <w:tcBorders>
              <w:top w:val="single" w:sz="4" w:space="0" w:color="auto"/>
              <w:left w:val="single" w:sz="4" w:space="0" w:color="auto"/>
              <w:bottom w:val="single" w:sz="4" w:space="0" w:color="auto"/>
              <w:right w:val="single" w:sz="4" w:space="0" w:color="auto"/>
            </w:tcBorders>
            <w:shd w:val="clear" w:color="auto" w:fill="E0E0E0"/>
          </w:tcPr>
          <w:p w14:paraId="5459058A" w14:textId="77777777" w:rsidR="00422963" w:rsidRPr="003415CC" w:rsidRDefault="00422963" w:rsidP="00422963">
            <w:pPr>
              <w:pStyle w:val="IATableLabel"/>
              <w:rPr>
                <w:rFonts w:cs="Arial"/>
              </w:rPr>
            </w:pPr>
            <w:r w:rsidRPr="003415CC">
              <w:rPr>
                <w:rFonts w:cs="Arial"/>
              </w:rPr>
              <w:t xml:space="preserve">Non-traded:   </w:t>
            </w:r>
            <w:r w:rsidRPr="003415CC">
              <w:rPr>
                <w:rFonts w:cs="Arial"/>
              </w:rPr>
              <w:br/>
            </w:r>
            <w:bookmarkStart w:id="27" w:name="IACO2NonTraded"/>
            <w:r w:rsidRPr="003415CC">
              <w:rPr>
                <w:rStyle w:val="IAIOCO2TradedChar"/>
                <w:rFonts w:cs="Arial"/>
                <w:sz w:val="20"/>
              </w:rPr>
              <w:fldChar w:fldCharType="begin">
                <w:ffData>
                  <w:name w:val="IACO2NonTraded"/>
                  <w:enabled/>
                  <w:calcOnExit w:val="0"/>
                  <w:textInput>
                    <w:maxLength w:val="8"/>
                  </w:textInput>
                </w:ffData>
              </w:fldChar>
            </w:r>
            <w:r w:rsidRPr="003415CC">
              <w:rPr>
                <w:rStyle w:val="IAIOCO2TradedChar"/>
                <w:rFonts w:cs="Arial"/>
                <w:sz w:val="20"/>
              </w:rPr>
              <w:instrText xml:space="preserve"> FORMTEXT </w:instrText>
            </w:r>
            <w:r w:rsidRPr="003415CC">
              <w:rPr>
                <w:rStyle w:val="IAIOCO2TradedChar"/>
                <w:rFonts w:cs="Arial"/>
                <w:sz w:val="20"/>
              </w:rPr>
            </w:r>
            <w:r w:rsidRPr="003415CC">
              <w:rPr>
                <w:rStyle w:val="IAIOCO2TradedChar"/>
                <w:rFonts w:cs="Arial"/>
                <w:sz w:val="20"/>
              </w:rPr>
              <w:fldChar w:fldCharType="separate"/>
            </w:r>
            <w:r w:rsidRPr="003415CC">
              <w:rPr>
                <w:rStyle w:val="IAIOCO2TradedChar"/>
                <w:rFonts w:cs="Arial"/>
                <w:noProof/>
                <w:sz w:val="20"/>
              </w:rPr>
              <w:t> </w:t>
            </w:r>
            <w:r w:rsidRPr="003415CC">
              <w:rPr>
                <w:rStyle w:val="IAIOCO2TradedChar"/>
                <w:rFonts w:cs="Arial"/>
                <w:noProof/>
                <w:sz w:val="20"/>
              </w:rPr>
              <w:t> </w:t>
            </w:r>
            <w:r w:rsidRPr="003415CC">
              <w:rPr>
                <w:rStyle w:val="IAIOCO2TradedChar"/>
                <w:rFonts w:cs="Arial"/>
                <w:noProof/>
                <w:sz w:val="20"/>
              </w:rPr>
              <w:t> </w:t>
            </w:r>
            <w:r w:rsidRPr="003415CC">
              <w:rPr>
                <w:rStyle w:val="IAIOCO2TradedChar"/>
                <w:rFonts w:cs="Arial"/>
                <w:noProof/>
                <w:sz w:val="20"/>
              </w:rPr>
              <w:t> </w:t>
            </w:r>
            <w:r w:rsidRPr="003415CC">
              <w:rPr>
                <w:rStyle w:val="IAIOCO2TradedChar"/>
                <w:rFonts w:cs="Arial"/>
                <w:noProof/>
                <w:sz w:val="20"/>
              </w:rPr>
              <w:t> </w:t>
            </w:r>
            <w:r w:rsidRPr="003415CC">
              <w:rPr>
                <w:rStyle w:val="IAIOCO2TradedChar"/>
                <w:rFonts w:cs="Arial"/>
                <w:sz w:val="20"/>
              </w:rPr>
              <w:fldChar w:fldCharType="end"/>
            </w:r>
            <w:bookmarkEnd w:id="27"/>
          </w:p>
        </w:tc>
      </w:tr>
    </w:tbl>
    <w:p w14:paraId="1FB2269A" w14:textId="77777777" w:rsidR="000E17BB" w:rsidRPr="003415CC" w:rsidRDefault="000E17BB">
      <w:pPr>
        <w:pStyle w:val="IASign-off"/>
        <w:rPr>
          <w:rFonts w:cs="Arial"/>
          <w:sz w:val="20"/>
        </w:rPr>
      </w:pPr>
      <w:bookmarkStart w:id="28" w:name="SignOfftext"/>
      <w:bookmarkEnd w:id="20"/>
      <w:r w:rsidRPr="003415CC">
        <w:rPr>
          <w:rFonts w:cs="Arial"/>
          <w:iCs/>
          <w:color w:val="000000"/>
          <w:sz w:val="20"/>
        </w:rPr>
        <w:t>I have read the Impact Assessment and I am satisfied that (a) it represents a fair and reasonable view of the expected costs, benefits and impact of the policy, and (b) that the benefits justify the costs.</w:t>
      </w:r>
    </w:p>
    <w:tbl>
      <w:tblPr>
        <w:tblW w:w="5020" w:type="pct"/>
        <w:tblLayout w:type="fixed"/>
        <w:tblCellMar>
          <w:left w:w="0" w:type="dxa"/>
          <w:right w:w="0" w:type="dxa"/>
        </w:tblCellMar>
        <w:tblLook w:val="0000" w:firstRow="0" w:lastRow="0" w:firstColumn="0" w:lastColumn="0" w:noHBand="0" w:noVBand="0"/>
      </w:tblPr>
      <w:tblGrid>
        <w:gridCol w:w="4815"/>
        <w:gridCol w:w="2701"/>
        <w:gridCol w:w="707"/>
        <w:gridCol w:w="2023"/>
      </w:tblGrid>
      <w:tr w:rsidR="000E17BB" w:rsidRPr="003415CC" w14:paraId="24A73742" w14:textId="77777777">
        <w:trPr>
          <w:cantSplit/>
          <w:trHeight w:hRule="exact" w:val="767"/>
        </w:trPr>
        <w:tc>
          <w:tcPr>
            <w:tcW w:w="2350" w:type="pct"/>
            <w:vAlign w:val="bottom"/>
          </w:tcPr>
          <w:p w14:paraId="107FB2F2" w14:textId="77777777" w:rsidR="000E17BB" w:rsidRPr="003415CC" w:rsidRDefault="000E17BB" w:rsidP="002B4B80">
            <w:pPr>
              <w:pStyle w:val="IASignature"/>
              <w:tabs>
                <w:tab w:val="clear" w:pos="6804"/>
                <w:tab w:val="clear" w:pos="10206"/>
                <w:tab w:val="left" w:leader="dot" w:pos="7380"/>
              </w:tabs>
              <w:ind w:right="284"/>
              <w:rPr>
                <w:rFonts w:cs="Arial"/>
                <w:b/>
                <w:i/>
              </w:rPr>
            </w:pPr>
            <w:r w:rsidRPr="003415CC">
              <w:rPr>
                <w:rFonts w:cs="Arial"/>
                <w:b/>
                <w:i/>
              </w:rPr>
              <w:t xml:space="preserve">Signed by the responsible </w:t>
            </w:r>
            <w:bookmarkStart w:id="29" w:name="IASignedBy"/>
            <w:r w:rsidRPr="003415CC">
              <w:rPr>
                <w:rFonts w:cs="Arial"/>
                <w:b/>
                <w:i/>
              </w:rPr>
              <w:fldChar w:fldCharType="begin">
                <w:ffData>
                  <w:name w:val="IASignedBy"/>
                  <w:enabled/>
                  <w:calcOnExit w:val="0"/>
                  <w:ddList>
                    <w:result w:val="3"/>
                    <w:listEntry w:val="SELECT SIGNATORY"/>
                    <w:listEntry w:val="Chair"/>
                    <w:listEntry w:val="Chief Executive"/>
                    <w:listEntry w:val="Minister"/>
                  </w:ddList>
                </w:ffData>
              </w:fldChar>
            </w:r>
            <w:r w:rsidRPr="003415CC">
              <w:rPr>
                <w:rFonts w:cs="Arial"/>
                <w:b/>
                <w:i/>
              </w:rPr>
              <w:instrText xml:space="preserve"> FORMDROPDOWN </w:instrText>
            </w:r>
            <w:r w:rsidR="007771D9">
              <w:rPr>
                <w:rFonts w:cs="Arial"/>
                <w:b/>
                <w:i/>
              </w:rPr>
            </w:r>
            <w:r w:rsidR="007771D9">
              <w:rPr>
                <w:rFonts w:cs="Arial"/>
                <w:b/>
                <w:i/>
              </w:rPr>
              <w:fldChar w:fldCharType="separate"/>
            </w:r>
            <w:r w:rsidRPr="003415CC">
              <w:rPr>
                <w:rFonts w:cs="Arial"/>
                <w:b/>
                <w:i/>
              </w:rPr>
              <w:fldChar w:fldCharType="end"/>
            </w:r>
            <w:bookmarkEnd w:id="29"/>
            <w:r w:rsidRPr="003415CC">
              <w:rPr>
                <w:rFonts w:cs="Arial"/>
                <w:b/>
                <w:i/>
              </w:rPr>
              <w:t>:</w:t>
            </w:r>
          </w:p>
        </w:tc>
        <w:tc>
          <w:tcPr>
            <w:tcW w:w="1318" w:type="pct"/>
            <w:tcBorders>
              <w:bottom w:val="dashSmallGap" w:sz="4" w:space="0" w:color="auto"/>
            </w:tcBorders>
            <w:vAlign w:val="bottom"/>
          </w:tcPr>
          <w:p w14:paraId="0E00AEF5" w14:textId="77777777" w:rsidR="000E17BB" w:rsidRPr="003415CC" w:rsidRDefault="007771D9" w:rsidP="002B4B80">
            <w:pPr>
              <w:pStyle w:val="IAIOtextSign"/>
              <w:ind w:left="113" w:right="113"/>
              <w:jc w:val="left"/>
              <w:rPr>
                <w:rFonts w:eastAsia="SimSun" w:cs="Arial"/>
                <w:spacing w:val="-5"/>
                <w:sz w:val="22"/>
                <w:szCs w:val="20"/>
                <w:lang w:eastAsia="zh-CN"/>
              </w:rPr>
            </w:pPr>
            <w:r>
              <w:rPr>
                <w:rFonts w:eastAsia="SimSun" w:cs="Arial"/>
                <w:spacing w:val="-5"/>
                <w:sz w:val="22"/>
                <w:szCs w:val="20"/>
                <w:lang w:eastAsia="zh-CN"/>
              </w:rPr>
              <w:t>Margot James</w:t>
            </w:r>
          </w:p>
        </w:tc>
        <w:tc>
          <w:tcPr>
            <w:tcW w:w="345" w:type="pct"/>
            <w:vAlign w:val="bottom"/>
          </w:tcPr>
          <w:p w14:paraId="4B449397" w14:textId="77777777" w:rsidR="000E17BB" w:rsidRPr="003415CC" w:rsidRDefault="005A1A2B" w:rsidP="002B4B80">
            <w:pPr>
              <w:pStyle w:val="IASignature"/>
              <w:tabs>
                <w:tab w:val="clear" w:pos="6804"/>
                <w:tab w:val="clear" w:pos="10206"/>
                <w:tab w:val="left" w:leader="dot" w:pos="7380"/>
              </w:tabs>
              <w:ind w:right="284"/>
              <w:rPr>
                <w:rFonts w:cs="Arial"/>
                <w:b/>
                <w:i/>
              </w:rPr>
            </w:pPr>
            <w:r w:rsidRPr="003415CC">
              <w:rPr>
                <w:rFonts w:cs="Arial"/>
                <w:b/>
                <w:i/>
              </w:rPr>
              <w:t> Dat</w:t>
            </w:r>
            <w:r w:rsidR="000E17BB" w:rsidRPr="003415CC">
              <w:rPr>
                <w:rFonts w:cs="Arial"/>
                <w:b/>
                <w:i/>
              </w:rPr>
              <w:t>e:</w:t>
            </w:r>
          </w:p>
        </w:tc>
        <w:tc>
          <w:tcPr>
            <w:tcW w:w="988" w:type="pct"/>
            <w:tcBorders>
              <w:bottom w:val="dashSmallGap" w:sz="4" w:space="0" w:color="auto"/>
            </w:tcBorders>
            <w:vAlign w:val="bottom"/>
          </w:tcPr>
          <w:p w14:paraId="20DEF69A" w14:textId="77777777" w:rsidR="000E17BB" w:rsidRPr="003415CC" w:rsidRDefault="007771D9" w:rsidP="002B4B80">
            <w:pPr>
              <w:pStyle w:val="IAIOSigDate"/>
              <w:ind w:left="113" w:right="113"/>
              <w:jc w:val="left"/>
              <w:rPr>
                <w:rFonts w:eastAsia="SimSun" w:cs="Arial"/>
                <w:spacing w:val="-5"/>
                <w:szCs w:val="20"/>
                <w:lang w:eastAsia="zh-CN"/>
              </w:rPr>
            </w:pPr>
            <w:bookmarkStart w:id="30" w:name="SigDate"/>
            <w:r w:rsidRPr="007771D9">
              <w:rPr>
                <w:rFonts w:eastAsia="SimSun" w:cs="Arial"/>
                <w:spacing w:val="-5"/>
                <w:sz w:val="18"/>
                <w:szCs w:val="20"/>
                <w:lang w:eastAsia="zh-CN"/>
              </w:rPr>
              <w:t xml:space="preserve">2 </w:t>
            </w:r>
            <w:bookmarkStart w:id="31" w:name="_GoBack"/>
            <w:bookmarkEnd w:id="31"/>
            <w:r w:rsidRPr="007771D9">
              <w:rPr>
                <w:rFonts w:eastAsia="SimSun" w:cs="Arial"/>
                <w:spacing w:val="-5"/>
                <w:sz w:val="18"/>
                <w:szCs w:val="20"/>
                <w:lang w:eastAsia="zh-CN"/>
              </w:rPr>
              <w:t>November 16</w:t>
            </w:r>
            <w:r w:rsidR="000E17BB" w:rsidRPr="003415CC">
              <w:rPr>
                <w:rFonts w:eastAsia="SimSun" w:cs="Arial"/>
                <w:spacing w:val="-5"/>
                <w:szCs w:val="20"/>
                <w:lang w:eastAsia="zh-CN"/>
              </w:rPr>
              <w:fldChar w:fldCharType="begin">
                <w:ffData>
                  <w:name w:val="SigDate"/>
                  <w:enabled/>
                  <w:calcOnExit w:val="0"/>
                  <w:textInput/>
                </w:ffData>
              </w:fldChar>
            </w:r>
            <w:r w:rsidR="000E17BB" w:rsidRPr="003415CC">
              <w:rPr>
                <w:rFonts w:eastAsia="SimSun" w:cs="Arial"/>
                <w:spacing w:val="-5"/>
                <w:szCs w:val="20"/>
                <w:lang w:eastAsia="zh-CN"/>
              </w:rPr>
              <w:instrText xml:space="preserve"> FORMTEXT </w:instrText>
            </w:r>
            <w:r w:rsidR="000E17BB" w:rsidRPr="003415CC">
              <w:rPr>
                <w:rFonts w:eastAsia="SimSun" w:cs="Arial"/>
                <w:spacing w:val="-5"/>
                <w:szCs w:val="20"/>
                <w:lang w:eastAsia="zh-CN"/>
              </w:rPr>
            </w:r>
            <w:r w:rsidR="000E17BB" w:rsidRPr="003415CC">
              <w:rPr>
                <w:rFonts w:eastAsia="SimSun" w:cs="Arial"/>
                <w:spacing w:val="-5"/>
                <w:szCs w:val="20"/>
                <w:lang w:eastAsia="zh-CN"/>
              </w:rPr>
              <w:fldChar w:fldCharType="separate"/>
            </w:r>
            <w:r w:rsidR="000E17BB" w:rsidRPr="003415CC">
              <w:rPr>
                <w:rFonts w:eastAsia="SimSun" w:cs="Arial"/>
                <w:noProof/>
                <w:spacing w:val="-5"/>
                <w:szCs w:val="20"/>
                <w:lang w:eastAsia="zh-CN"/>
              </w:rPr>
              <w:t> </w:t>
            </w:r>
            <w:r w:rsidR="000E17BB" w:rsidRPr="003415CC">
              <w:rPr>
                <w:rFonts w:eastAsia="SimSun" w:cs="Arial"/>
                <w:noProof/>
                <w:spacing w:val="-5"/>
                <w:szCs w:val="20"/>
                <w:lang w:eastAsia="zh-CN"/>
              </w:rPr>
              <w:t> </w:t>
            </w:r>
            <w:r w:rsidR="000E17BB" w:rsidRPr="003415CC">
              <w:rPr>
                <w:rFonts w:eastAsia="SimSun" w:cs="Arial"/>
                <w:noProof/>
                <w:spacing w:val="-5"/>
                <w:szCs w:val="20"/>
                <w:lang w:eastAsia="zh-CN"/>
              </w:rPr>
              <w:t> </w:t>
            </w:r>
            <w:r w:rsidR="000E17BB" w:rsidRPr="003415CC">
              <w:rPr>
                <w:rFonts w:eastAsia="SimSun" w:cs="Arial"/>
                <w:noProof/>
                <w:spacing w:val="-5"/>
                <w:szCs w:val="20"/>
                <w:lang w:eastAsia="zh-CN"/>
              </w:rPr>
              <w:t> </w:t>
            </w:r>
            <w:r w:rsidR="000E17BB" w:rsidRPr="003415CC">
              <w:rPr>
                <w:rFonts w:eastAsia="SimSun" w:cs="Arial"/>
                <w:noProof/>
                <w:spacing w:val="-5"/>
                <w:szCs w:val="20"/>
                <w:lang w:eastAsia="zh-CN"/>
              </w:rPr>
              <w:t> </w:t>
            </w:r>
            <w:r w:rsidR="000E17BB" w:rsidRPr="003415CC">
              <w:rPr>
                <w:rFonts w:eastAsia="SimSun" w:cs="Arial"/>
                <w:spacing w:val="-5"/>
                <w:szCs w:val="20"/>
                <w:lang w:eastAsia="zh-CN"/>
              </w:rPr>
              <w:fldChar w:fldCharType="end"/>
            </w:r>
            <w:bookmarkEnd w:id="30"/>
          </w:p>
        </w:tc>
      </w:tr>
      <w:bookmarkEnd w:id="28"/>
    </w:tbl>
    <w:p w14:paraId="3DFF9321" w14:textId="77777777" w:rsidR="00F1328C" w:rsidRPr="000A7981" w:rsidRDefault="00F1328C" w:rsidP="005A3880">
      <w:pPr>
        <w:pStyle w:val="Heading1"/>
        <w:spacing w:before="0"/>
        <w:rPr>
          <w:rFonts w:ascii="Arial" w:hAnsi="Arial"/>
        </w:rPr>
        <w:sectPr w:rsidR="00F1328C" w:rsidRPr="000A7981" w:rsidSect="005A3880">
          <w:headerReference w:type="default" r:id="rId9"/>
          <w:footerReference w:type="default" r:id="rId10"/>
          <w:footnotePr>
            <w:numRestart w:val="eachSect"/>
          </w:footnotePr>
          <w:type w:val="continuous"/>
          <w:pgSz w:w="11907" w:h="16840" w:code="9"/>
          <w:pgMar w:top="680" w:right="851" w:bottom="680" w:left="851" w:header="284" w:footer="284" w:gutter="0"/>
          <w:cols w:space="708"/>
          <w:docGrid w:linePitch="360"/>
        </w:sectPr>
      </w:pPr>
    </w:p>
    <w:p w14:paraId="10BC1CA7" w14:textId="77777777" w:rsidR="0041160C" w:rsidRPr="000A7981" w:rsidRDefault="0041160C" w:rsidP="0041160C">
      <w:pPr>
        <w:pStyle w:val="Heading1"/>
        <w:spacing w:before="0"/>
        <w:rPr>
          <w:rFonts w:ascii="Arial" w:hAnsi="Arial"/>
        </w:rPr>
      </w:pPr>
      <w:bookmarkStart w:id="32" w:name="EvidenceHead"/>
      <w:r w:rsidRPr="000A7981">
        <w:rPr>
          <w:rFonts w:ascii="Arial" w:hAnsi="Arial"/>
        </w:rPr>
        <w:lastRenderedPageBreak/>
        <w:t>Summary: Analysis &amp; Evidence</w:t>
      </w:r>
      <w:r w:rsidRPr="000A7981">
        <w:rPr>
          <w:rFonts w:ascii="Arial" w:hAnsi="Arial"/>
        </w:rPr>
        <w:tab/>
      </w:r>
      <w:r w:rsidRPr="00D45B85">
        <w:rPr>
          <w:rFonts w:ascii="Arial" w:hAnsi="Arial"/>
          <w:b w:val="0"/>
          <w:bCs w:val="0"/>
        </w:rPr>
        <w:t xml:space="preserve">Policy Option </w:t>
      </w:r>
      <w:r w:rsidRPr="004E09CE">
        <w:rPr>
          <w:rFonts w:ascii="Arial" w:hAnsi="Arial"/>
          <w:b w:val="0"/>
          <w:bCs w:val="0"/>
        </w:rPr>
        <w:t>2</w:t>
      </w:r>
    </w:p>
    <w:p w14:paraId="1BA3E6F8" w14:textId="77777777" w:rsidR="0041160C" w:rsidRPr="003415CC" w:rsidRDefault="0041160C" w:rsidP="0041160C">
      <w:pPr>
        <w:pStyle w:val="IAHeadLabel"/>
        <w:spacing w:before="50"/>
        <w:rPr>
          <w:rFonts w:cs="Arial"/>
        </w:rPr>
      </w:pPr>
      <w:r w:rsidRPr="00D45B85">
        <w:rPr>
          <w:rFonts w:cs="Arial"/>
        </w:rPr>
        <w:t xml:space="preserve">Description: </w:t>
      </w:r>
      <w:r w:rsidR="00EE0E76" w:rsidRPr="000A7981">
        <w:rPr>
          <w:rFonts w:cs="Arial"/>
          <w:b w:val="0"/>
          <w:sz w:val="22"/>
          <w:szCs w:val="22"/>
        </w:rPr>
        <w:t>Minimum implementation of the EU NFRD for PIEs</w:t>
      </w:r>
      <w:r w:rsidR="00EE0E76">
        <w:rPr>
          <w:rFonts w:cs="Arial"/>
          <w:b w:val="0"/>
          <w:sz w:val="22"/>
          <w:szCs w:val="22"/>
        </w:rPr>
        <w:t xml:space="preserve"> with over 500 employees.</w:t>
      </w:r>
      <w:r w:rsidRPr="004E09CE">
        <w:rPr>
          <w:rFonts w:cs="Arial"/>
        </w:rPr>
        <w:t xml:space="preserve"> </w:t>
      </w:r>
      <w:r w:rsidRPr="003415CC">
        <w:rPr>
          <w:rStyle w:val="IAPODescriptionCharChar"/>
          <w:rFonts w:cs="Arial"/>
        </w:rPr>
        <w:fldChar w:fldCharType="begin">
          <w:ffData>
            <w:name w:val="Text70"/>
            <w:enabled/>
            <w:calcOnExit w:val="0"/>
            <w:textInput>
              <w:maxLength w:val="230"/>
            </w:textInput>
          </w:ffData>
        </w:fldChar>
      </w:r>
      <w:r w:rsidRPr="003415CC">
        <w:rPr>
          <w:rStyle w:val="IAPODescriptionCharChar"/>
          <w:rFonts w:cs="Arial"/>
        </w:rPr>
        <w:instrText xml:space="preserve"> FORMTEXT </w:instrText>
      </w:r>
      <w:r w:rsidRPr="003415CC">
        <w:rPr>
          <w:rStyle w:val="IAPODescriptionCharChar"/>
          <w:rFonts w:cs="Arial"/>
        </w:rPr>
      </w:r>
      <w:r w:rsidRPr="003415CC">
        <w:rPr>
          <w:rStyle w:val="IAPODescriptionCharChar"/>
          <w:rFonts w:cs="Arial"/>
        </w:rPr>
        <w:fldChar w:fldCharType="separate"/>
      </w:r>
      <w:r w:rsidRPr="003415CC">
        <w:rPr>
          <w:rStyle w:val="IAPODescriptionCharChar"/>
          <w:rFonts w:cs="Arial"/>
          <w:noProof/>
        </w:rPr>
        <w:t> </w:t>
      </w:r>
      <w:r w:rsidRPr="003415CC">
        <w:rPr>
          <w:rStyle w:val="IAPODescriptionCharChar"/>
          <w:rFonts w:cs="Arial"/>
          <w:noProof/>
        </w:rPr>
        <w:t> </w:t>
      </w:r>
      <w:r w:rsidRPr="003415CC">
        <w:rPr>
          <w:rStyle w:val="IAPODescriptionCharChar"/>
          <w:rFonts w:cs="Arial"/>
          <w:noProof/>
        </w:rPr>
        <w:t> </w:t>
      </w:r>
      <w:r w:rsidRPr="003415CC">
        <w:rPr>
          <w:rStyle w:val="IAPODescriptionCharChar"/>
          <w:rFonts w:cs="Arial"/>
          <w:noProof/>
        </w:rPr>
        <w:t> </w:t>
      </w:r>
      <w:r w:rsidRPr="003415CC">
        <w:rPr>
          <w:rStyle w:val="IAPODescriptionCharChar"/>
          <w:rFonts w:cs="Arial"/>
          <w:noProof/>
        </w:rPr>
        <w:t> </w:t>
      </w:r>
      <w:r w:rsidRPr="003415CC">
        <w:rPr>
          <w:rStyle w:val="IAPODescriptionCharChar"/>
          <w:rFonts w:cs="Arial"/>
        </w:rPr>
        <w:fldChar w:fldCharType="end"/>
      </w:r>
    </w:p>
    <w:p w14:paraId="79E089B0" w14:textId="77777777" w:rsidR="0041160C" w:rsidRPr="003415CC" w:rsidRDefault="0041160C" w:rsidP="0041160C">
      <w:pPr>
        <w:pStyle w:val="IAHeadLabel"/>
        <w:spacing w:before="50"/>
        <w:rPr>
          <w:rFonts w:cs="Arial"/>
        </w:rPr>
      </w:pPr>
      <w:r w:rsidRPr="003415CC">
        <w:rPr>
          <w:rFonts w:cs="Arial"/>
        </w:rPr>
        <w:t>FULL ECONOMIC ASSESSMENT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265"/>
        <w:gridCol w:w="1260"/>
        <w:gridCol w:w="1440"/>
        <w:gridCol w:w="1800"/>
        <w:gridCol w:w="1827"/>
        <w:gridCol w:w="2633"/>
      </w:tblGrid>
      <w:tr w:rsidR="0041160C" w:rsidRPr="003415CC" w14:paraId="60EFD38E" w14:textId="77777777" w:rsidTr="0041160C">
        <w:trPr>
          <w:trHeight w:hRule="exact" w:val="312"/>
        </w:trPr>
        <w:tc>
          <w:tcPr>
            <w:tcW w:w="1265" w:type="dxa"/>
            <w:vMerge w:val="restart"/>
            <w:shd w:val="clear" w:color="auto" w:fill="auto"/>
          </w:tcPr>
          <w:p w14:paraId="360F1DB9" w14:textId="77777777" w:rsidR="0041160C" w:rsidRPr="003415CC" w:rsidRDefault="0041160C" w:rsidP="0041160C">
            <w:pPr>
              <w:pStyle w:val="POPBY"/>
              <w:rPr>
                <w:rFonts w:cs="Arial"/>
              </w:rPr>
            </w:pPr>
            <w:r w:rsidRPr="003415CC">
              <w:rPr>
                <w:rFonts w:cs="Arial"/>
              </w:rPr>
              <w:t xml:space="preserve">Price Base Year  </w:t>
            </w:r>
            <w:r w:rsidRPr="003415CC">
              <w:rPr>
                <w:rFonts w:cs="Arial"/>
                <w:b w:val="0"/>
              </w:rPr>
              <w:fldChar w:fldCharType="begin">
                <w:ffData>
                  <w:name w:val="Text55"/>
                  <w:enabled/>
                  <w:calcOnExit w:val="0"/>
                  <w:textInput>
                    <w:maxLength w:val="4"/>
                  </w:textInput>
                </w:ffData>
              </w:fldChar>
            </w:r>
            <w:r w:rsidRPr="003415CC">
              <w:rPr>
                <w:rFonts w:cs="Arial"/>
                <w:b w:val="0"/>
              </w:rPr>
              <w:instrText xml:space="preserve"> FORMTEXT </w:instrText>
            </w:r>
            <w:r w:rsidRPr="003415CC">
              <w:rPr>
                <w:rFonts w:cs="Arial"/>
                <w:b w:val="0"/>
              </w:rPr>
            </w:r>
            <w:r w:rsidRPr="003415CC">
              <w:rPr>
                <w:rFonts w:cs="Arial"/>
                <w:b w:val="0"/>
              </w:rPr>
              <w:fldChar w:fldCharType="separate"/>
            </w:r>
            <w:r w:rsidRPr="003415CC">
              <w:rPr>
                <w:rFonts w:cs="Arial"/>
                <w:b w:val="0"/>
                <w:noProof/>
              </w:rPr>
              <w:t>2016</w:t>
            </w:r>
            <w:r w:rsidRPr="003415CC">
              <w:rPr>
                <w:rFonts w:cs="Arial"/>
                <w:b w:val="0"/>
              </w:rPr>
              <w:fldChar w:fldCharType="end"/>
            </w:r>
          </w:p>
        </w:tc>
        <w:tc>
          <w:tcPr>
            <w:tcW w:w="1260" w:type="dxa"/>
            <w:vMerge w:val="restart"/>
            <w:shd w:val="clear" w:color="auto" w:fill="auto"/>
          </w:tcPr>
          <w:p w14:paraId="7CF4148D" w14:textId="77777777" w:rsidR="0041160C" w:rsidRPr="003415CC" w:rsidRDefault="0041160C" w:rsidP="0041160C">
            <w:pPr>
              <w:pStyle w:val="POPVBY"/>
              <w:rPr>
                <w:rFonts w:cs="Arial"/>
              </w:rPr>
            </w:pPr>
            <w:r w:rsidRPr="003415CC">
              <w:rPr>
                <w:rFonts w:cs="Arial"/>
              </w:rPr>
              <w:t xml:space="preserve">PV Base Year  </w:t>
            </w:r>
            <w:r w:rsidRPr="003415CC">
              <w:rPr>
                <w:rFonts w:cs="Arial"/>
                <w:b w:val="0"/>
              </w:rPr>
              <w:fldChar w:fldCharType="begin">
                <w:ffData>
                  <w:name w:val="Text56"/>
                  <w:enabled/>
                  <w:calcOnExit w:val="0"/>
                  <w:textInput>
                    <w:maxLength w:val="4"/>
                  </w:textInput>
                </w:ffData>
              </w:fldChar>
            </w:r>
            <w:r w:rsidRPr="003415CC">
              <w:rPr>
                <w:rFonts w:cs="Arial"/>
                <w:b w:val="0"/>
              </w:rPr>
              <w:instrText xml:space="preserve"> FORMTEXT </w:instrText>
            </w:r>
            <w:r w:rsidRPr="003415CC">
              <w:rPr>
                <w:rFonts w:cs="Arial"/>
                <w:b w:val="0"/>
              </w:rPr>
            </w:r>
            <w:r w:rsidRPr="003415CC">
              <w:rPr>
                <w:rFonts w:cs="Arial"/>
                <w:b w:val="0"/>
              </w:rPr>
              <w:fldChar w:fldCharType="separate"/>
            </w:r>
            <w:r w:rsidRPr="003415CC">
              <w:rPr>
                <w:rFonts w:cs="Arial"/>
                <w:b w:val="0"/>
                <w:noProof/>
              </w:rPr>
              <w:t>2017</w:t>
            </w:r>
            <w:r w:rsidRPr="003415CC">
              <w:rPr>
                <w:rFonts w:cs="Arial"/>
                <w:b w:val="0"/>
              </w:rPr>
              <w:fldChar w:fldCharType="end"/>
            </w:r>
          </w:p>
        </w:tc>
        <w:tc>
          <w:tcPr>
            <w:tcW w:w="1440" w:type="dxa"/>
            <w:vMerge w:val="restart"/>
            <w:tcBorders>
              <w:right w:val="single" w:sz="12" w:space="0" w:color="auto"/>
            </w:tcBorders>
            <w:shd w:val="clear" w:color="auto" w:fill="auto"/>
          </w:tcPr>
          <w:p w14:paraId="3AC556F7" w14:textId="77777777" w:rsidR="0041160C" w:rsidRPr="003415CC" w:rsidRDefault="0041160C" w:rsidP="0041160C">
            <w:pPr>
              <w:pStyle w:val="POTPY"/>
              <w:rPr>
                <w:rFonts w:cs="Arial"/>
              </w:rPr>
            </w:pPr>
            <w:r w:rsidRPr="003415CC">
              <w:rPr>
                <w:rFonts w:cs="Arial"/>
              </w:rPr>
              <w:t xml:space="preserve">Time Period Years  </w:t>
            </w:r>
            <w:r w:rsidRPr="003415CC">
              <w:rPr>
                <w:rFonts w:cs="Arial"/>
                <w:b w:val="0"/>
              </w:rPr>
              <w:fldChar w:fldCharType="begin">
                <w:ffData>
                  <w:name w:val="Text57"/>
                  <w:enabled/>
                  <w:calcOnExit w:val="0"/>
                  <w:textInput>
                    <w:maxLength w:val="4"/>
                  </w:textInput>
                </w:ffData>
              </w:fldChar>
            </w:r>
            <w:r w:rsidRPr="003415CC">
              <w:rPr>
                <w:rFonts w:cs="Arial"/>
                <w:b w:val="0"/>
              </w:rPr>
              <w:instrText xml:space="preserve"> FORMTEXT </w:instrText>
            </w:r>
            <w:r w:rsidRPr="003415CC">
              <w:rPr>
                <w:rFonts w:cs="Arial"/>
                <w:b w:val="0"/>
              </w:rPr>
            </w:r>
            <w:r w:rsidRPr="003415CC">
              <w:rPr>
                <w:rFonts w:cs="Arial"/>
                <w:b w:val="0"/>
              </w:rPr>
              <w:fldChar w:fldCharType="separate"/>
            </w:r>
            <w:r w:rsidRPr="003415CC">
              <w:rPr>
                <w:rFonts w:cs="Arial"/>
                <w:b w:val="0"/>
                <w:noProof/>
              </w:rPr>
              <w:t>10</w:t>
            </w:r>
            <w:r w:rsidRPr="003415CC">
              <w:rPr>
                <w:rFonts w:cs="Arial"/>
                <w:b w:val="0"/>
              </w:rPr>
              <w:fldChar w:fldCharType="end"/>
            </w:r>
          </w:p>
        </w:tc>
        <w:tc>
          <w:tcPr>
            <w:tcW w:w="6260" w:type="dxa"/>
            <w:gridSpan w:val="3"/>
            <w:tcBorders>
              <w:top w:val="single" w:sz="12" w:space="0" w:color="auto"/>
              <w:left w:val="single" w:sz="12" w:space="0" w:color="auto"/>
              <w:bottom w:val="single" w:sz="4" w:space="0" w:color="auto"/>
              <w:right w:val="single" w:sz="12" w:space="0" w:color="auto"/>
            </w:tcBorders>
            <w:shd w:val="clear" w:color="auto" w:fill="FFFFFF"/>
          </w:tcPr>
          <w:p w14:paraId="3FA6113B" w14:textId="77777777" w:rsidR="0041160C" w:rsidRPr="003415CC" w:rsidRDefault="0041160C" w:rsidP="0041160C">
            <w:pPr>
              <w:pStyle w:val="IATableLabel"/>
              <w:jc w:val="center"/>
              <w:rPr>
                <w:rFonts w:cs="Arial"/>
              </w:rPr>
            </w:pPr>
            <w:r w:rsidRPr="003415CC">
              <w:rPr>
                <w:rFonts w:cs="Arial"/>
              </w:rPr>
              <w:t>Net Benefit (Present Value (PV)) (£m)</w:t>
            </w:r>
          </w:p>
        </w:tc>
      </w:tr>
      <w:tr w:rsidR="0041160C" w:rsidRPr="003415CC" w14:paraId="3E736B25" w14:textId="77777777" w:rsidTr="0041160C">
        <w:trPr>
          <w:trHeight w:hRule="exact" w:val="340"/>
        </w:trPr>
        <w:tc>
          <w:tcPr>
            <w:tcW w:w="1265" w:type="dxa"/>
            <w:vMerge/>
            <w:shd w:val="clear" w:color="auto" w:fill="auto"/>
          </w:tcPr>
          <w:p w14:paraId="6B93E798" w14:textId="77777777" w:rsidR="0041160C" w:rsidRPr="003415CC" w:rsidRDefault="0041160C" w:rsidP="0041160C">
            <w:pPr>
              <w:pStyle w:val="IATableNotes"/>
              <w:ind w:left="0"/>
              <w:rPr>
                <w:rFonts w:cs="Arial"/>
                <w:b/>
                <w:sz w:val="20"/>
              </w:rPr>
            </w:pPr>
          </w:p>
        </w:tc>
        <w:tc>
          <w:tcPr>
            <w:tcW w:w="1260" w:type="dxa"/>
            <w:vMerge/>
            <w:shd w:val="clear" w:color="auto" w:fill="auto"/>
          </w:tcPr>
          <w:p w14:paraId="24289979" w14:textId="77777777" w:rsidR="0041160C" w:rsidRPr="003415CC" w:rsidRDefault="0041160C" w:rsidP="0041160C">
            <w:pPr>
              <w:pStyle w:val="IATableNotes"/>
              <w:ind w:left="0"/>
              <w:rPr>
                <w:rFonts w:cs="Arial"/>
                <w:b/>
                <w:sz w:val="20"/>
              </w:rPr>
            </w:pPr>
          </w:p>
        </w:tc>
        <w:tc>
          <w:tcPr>
            <w:tcW w:w="1440" w:type="dxa"/>
            <w:vMerge/>
            <w:tcBorders>
              <w:right w:val="single" w:sz="12" w:space="0" w:color="auto"/>
            </w:tcBorders>
            <w:shd w:val="clear" w:color="auto" w:fill="auto"/>
          </w:tcPr>
          <w:p w14:paraId="449475F9" w14:textId="77777777" w:rsidR="0041160C" w:rsidRPr="003415CC" w:rsidRDefault="0041160C" w:rsidP="0041160C">
            <w:pPr>
              <w:pStyle w:val="IATableNotes"/>
              <w:ind w:left="0"/>
              <w:rPr>
                <w:rFonts w:cs="Arial"/>
                <w:b/>
                <w:sz w:val="20"/>
              </w:rPr>
            </w:pPr>
          </w:p>
        </w:tc>
        <w:tc>
          <w:tcPr>
            <w:tcW w:w="1800" w:type="dxa"/>
            <w:tcBorders>
              <w:top w:val="single" w:sz="4" w:space="0" w:color="auto"/>
              <w:left w:val="single" w:sz="12" w:space="0" w:color="auto"/>
              <w:bottom w:val="single" w:sz="12" w:space="0" w:color="auto"/>
              <w:right w:val="single" w:sz="4" w:space="0" w:color="auto"/>
            </w:tcBorders>
            <w:shd w:val="clear" w:color="auto" w:fill="auto"/>
          </w:tcPr>
          <w:p w14:paraId="0E7EA215" w14:textId="77777777" w:rsidR="0041160C" w:rsidRPr="003415CC" w:rsidRDefault="0041160C" w:rsidP="00621AA7">
            <w:pPr>
              <w:pStyle w:val="IATableLabel"/>
              <w:rPr>
                <w:rFonts w:cs="Arial"/>
                <w:bCs/>
              </w:rPr>
            </w:pPr>
            <w:r w:rsidRPr="003415CC">
              <w:rPr>
                <w:rFonts w:cs="Arial"/>
              </w:rPr>
              <w:t>Low:</w:t>
            </w:r>
            <w:r w:rsidR="00621AA7">
              <w:rPr>
                <w:rFonts w:cs="Arial"/>
              </w:rPr>
              <w:t>-</w:t>
            </w:r>
            <w:r w:rsidR="00F833D9">
              <w:rPr>
                <w:rFonts w:cs="Arial"/>
              </w:rPr>
              <w:t>189.24</w:t>
            </w:r>
          </w:p>
        </w:tc>
        <w:tc>
          <w:tcPr>
            <w:tcW w:w="1827" w:type="dxa"/>
            <w:tcBorders>
              <w:top w:val="single" w:sz="4" w:space="0" w:color="auto"/>
              <w:left w:val="single" w:sz="4" w:space="0" w:color="auto"/>
              <w:bottom w:val="single" w:sz="12" w:space="0" w:color="auto"/>
              <w:right w:val="single" w:sz="12" w:space="0" w:color="auto"/>
            </w:tcBorders>
            <w:shd w:val="clear" w:color="auto" w:fill="auto"/>
          </w:tcPr>
          <w:p w14:paraId="2B1CC431" w14:textId="77777777" w:rsidR="0041160C" w:rsidRPr="003415CC" w:rsidRDefault="0041160C" w:rsidP="00621AA7">
            <w:pPr>
              <w:pStyle w:val="IATableLabel"/>
              <w:rPr>
                <w:rFonts w:cs="Arial"/>
                <w:bCs/>
                <w:szCs w:val="18"/>
              </w:rPr>
            </w:pPr>
            <w:r w:rsidRPr="003415CC">
              <w:rPr>
                <w:rFonts w:cs="Arial"/>
              </w:rPr>
              <w:t xml:space="preserve">High: </w:t>
            </w:r>
            <w:r w:rsidR="00621AA7">
              <w:rPr>
                <w:rStyle w:val="PONBHighChar"/>
              </w:rPr>
              <w:t>-</w:t>
            </w:r>
            <w:r w:rsidR="00F833D9">
              <w:rPr>
                <w:rStyle w:val="PONBHighChar"/>
              </w:rPr>
              <w:t>50.25</w:t>
            </w:r>
          </w:p>
        </w:tc>
        <w:tc>
          <w:tcPr>
            <w:tcW w:w="2633" w:type="dxa"/>
            <w:tcBorders>
              <w:top w:val="single" w:sz="12" w:space="0" w:color="auto"/>
              <w:left w:val="single" w:sz="12" w:space="0" w:color="auto"/>
              <w:bottom w:val="single" w:sz="12" w:space="0" w:color="auto"/>
              <w:right w:val="single" w:sz="12" w:space="0" w:color="auto"/>
            </w:tcBorders>
            <w:shd w:val="clear" w:color="auto" w:fill="FFFFFF"/>
          </w:tcPr>
          <w:p w14:paraId="099F46FF" w14:textId="77777777" w:rsidR="0041160C" w:rsidRPr="003415CC" w:rsidRDefault="0041160C" w:rsidP="009527D5">
            <w:pPr>
              <w:pStyle w:val="IATableLabel"/>
              <w:rPr>
                <w:rFonts w:cs="Arial"/>
                <w:szCs w:val="18"/>
              </w:rPr>
            </w:pPr>
            <w:r w:rsidRPr="003415CC">
              <w:rPr>
                <w:rFonts w:cs="Arial"/>
              </w:rPr>
              <w:t xml:space="preserve">Best Estimate: </w:t>
            </w:r>
            <w:r w:rsidR="009527D5">
              <w:rPr>
                <w:rStyle w:val="PONBBestEstChar"/>
              </w:rPr>
              <w:t>-</w:t>
            </w:r>
            <w:r w:rsidR="00217748">
              <w:rPr>
                <w:rStyle w:val="PONBBestEstChar"/>
              </w:rPr>
              <w:t>108.27</w:t>
            </w:r>
          </w:p>
        </w:tc>
      </w:tr>
    </w:tbl>
    <w:p w14:paraId="6CE2415B" w14:textId="77777777" w:rsidR="0041160C" w:rsidRPr="003415CC" w:rsidRDefault="0041160C" w:rsidP="0041160C">
      <w:pPr>
        <w:pStyle w:val="IASpacer"/>
        <w:rPr>
          <w:rFonts w:cs="Arial"/>
        </w:rPr>
      </w:pP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1E0" w:firstRow="1" w:lastRow="1" w:firstColumn="1" w:lastColumn="1" w:noHBand="0" w:noVBand="0"/>
      </w:tblPr>
      <w:tblGrid>
        <w:gridCol w:w="1995"/>
        <w:gridCol w:w="1949"/>
        <w:gridCol w:w="790"/>
        <w:gridCol w:w="2865"/>
        <w:gridCol w:w="1776"/>
        <w:gridCol w:w="860"/>
      </w:tblGrid>
      <w:tr w:rsidR="0041160C" w:rsidRPr="003415CC" w14:paraId="4545C49F" w14:textId="77777777" w:rsidTr="0041160C">
        <w:trPr>
          <w:trHeight w:hRule="exact" w:val="567"/>
        </w:trPr>
        <w:tc>
          <w:tcPr>
            <w:tcW w:w="1995" w:type="dxa"/>
            <w:shd w:val="clear" w:color="auto" w:fill="FFFFFF"/>
          </w:tcPr>
          <w:p w14:paraId="3EF234DF" w14:textId="77777777" w:rsidR="0041160C" w:rsidRPr="003415CC" w:rsidRDefault="0041160C" w:rsidP="0041160C">
            <w:pPr>
              <w:pStyle w:val="IATableLabel"/>
              <w:rPr>
                <w:rFonts w:cs="Arial"/>
                <w:sz w:val="24"/>
                <w:szCs w:val="24"/>
              </w:rPr>
            </w:pPr>
            <w:r w:rsidRPr="003415CC">
              <w:rPr>
                <w:rFonts w:cs="Arial"/>
                <w:sz w:val="24"/>
                <w:szCs w:val="24"/>
              </w:rPr>
              <w:t>COSTS (£m)</w:t>
            </w:r>
          </w:p>
        </w:tc>
        <w:tc>
          <w:tcPr>
            <w:tcW w:w="2739" w:type="dxa"/>
            <w:gridSpan w:val="2"/>
            <w:tcBorders>
              <w:top w:val="single" w:sz="12" w:space="0" w:color="auto"/>
              <w:bottom w:val="single" w:sz="6" w:space="0" w:color="auto"/>
            </w:tcBorders>
            <w:shd w:val="clear" w:color="auto" w:fill="auto"/>
          </w:tcPr>
          <w:p w14:paraId="6CE32FBE" w14:textId="77777777" w:rsidR="0041160C" w:rsidRPr="003415CC" w:rsidRDefault="0041160C" w:rsidP="0041160C">
            <w:pPr>
              <w:pStyle w:val="IATableLabel"/>
              <w:tabs>
                <w:tab w:val="right" w:pos="1800"/>
                <w:tab w:val="center" w:pos="2340"/>
              </w:tabs>
              <w:jc w:val="right"/>
              <w:rPr>
                <w:rFonts w:cs="Arial"/>
              </w:rPr>
            </w:pPr>
            <w:r w:rsidRPr="003415CC">
              <w:rPr>
                <w:rFonts w:cs="Arial"/>
              </w:rPr>
              <w:t xml:space="preserve">Total Transition </w:t>
            </w:r>
            <w:r w:rsidRPr="003415CC">
              <w:rPr>
                <w:rFonts w:cs="Arial"/>
              </w:rPr>
              <w:br/>
            </w:r>
            <w:r w:rsidRPr="003415CC">
              <w:rPr>
                <w:rFonts w:cs="Arial"/>
              </w:rPr>
              <w:tab/>
            </w:r>
            <w:r w:rsidRPr="003415CC">
              <w:rPr>
                <w:rFonts w:cs="Arial"/>
                <w:b w:val="0"/>
                <w:sz w:val="18"/>
                <w:szCs w:val="18"/>
              </w:rPr>
              <w:t>(Constant Price)</w:t>
            </w:r>
            <w:r w:rsidRPr="003415CC">
              <w:rPr>
                <w:rFonts w:cs="Arial"/>
              </w:rPr>
              <w:tab/>
            </w:r>
            <w:r w:rsidRPr="003415CC">
              <w:rPr>
                <w:rFonts w:cs="Arial"/>
                <w:b w:val="0"/>
                <w:sz w:val="18"/>
                <w:szCs w:val="18"/>
              </w:rPr>
              <w:t>Yea</w:t>
            </w:r>
            <w:r w:rsidRPr="003415CC">
              <w:rPr>
                <w:rFonts w:cs="Arial"/>
                <w:b w:val="0"/>
                <w:bCs/>
                <w:sz w:val="18"/>
                <w:szCs w:val="18"/>
              </w:rPr>
              <w:t>r</w:t>
            </w:r>
            <w:r w:rsidRPr="003415CC">
              <w:rPr>
                <w:rFonts w:cs="Arial"/>
                <w:b w:val="0"/>
                <w:sz w:val="18"/>
                <w:szCs w:val="18"/>
              </w:rPr>
              <w:t>s</w:t>
            </w:r>
          </w:p>
          <w:p w14:paraId="62AB78F8" w14:textId="77777777" w:rsidR="0041160C" w:rsidRPr="003415CC" w:rsidRDefault="0041160C" w:rsidP="0041160C">
            <w:pPr>
              <w:pStyle w:val="IATableLabel"/>
              <w:jc w:val="right"/>
              <w:rPr>
                <w:rFonts w:cs="Arial"/>
              </w:rPr>
            </w:pPr>
            <w:r w:rsidRPr="003415CC">
              <w:rPr>
                <w:rFonts w:cs="Arial"/>
              </w:rPr>
              <w:br/>
            </w:r>
          </w:p>
        </w:tc>
        <w:tc>
          <w:tcPr>
            <w:tcW w:w="2865" w:type="dxa"/>
            <w:tcBorders>
              <w:bottom w:val="single" w:sz="6" w:space="0" w:color="auto"/>
              <w:right w:val="single" w:sz="12" w:space="0" w:color="auto"/>
            </w:tcBorders>
            <w:shd w:val="clear" w:color="auto" w:fill="auto"/>
          </w:tcPr>
          <w:p w14:paraId="674C9FFA" w14:textId="77777777" w:rsidR="0041160C" w:rsidRPr="003415CC" w:rsidRDefault="0041160C" w:rsidP="0041160C">
            <w:pPr>
              <w:pStyle w:val="IATableLabel"/>
              <w:jc w:val="right"/>
              <w:rPr>
                <w:rFonts w:cs="Arial"/>
                <w:bCs/>
              </w:rPr>
            </w:pPr>
            <w:r w:rsidRPr="003415CC">
              <w:rPr>
                <w:rFonts w:cs="Arial"/>
              </w:rPr>
              <w:t xml:space="preserve">Average Annual </w:t>
            </w:r>
            <w:r w:rsidRPr="003415CC">
              <w:rPr>
                <w:rFonts w:cs="Arial"/>
              </w:rPr>
              <w:br/>
            </w:r>
            <w:r w:rsidRPr="003415CC">
              <w:rPr>
                <w:rFonts w:cs="Arial"/>
                <w:b w:val="0"/>
                <w:sz w:val="18"/>
                <w:szCs w:val="18"/>
              </w:rPr>
              <w:t xml:space="preserve">(excl. Transition) </w:t>
            </w:r>
            <w:r w:rsidRPr="003415CC">
              <w:rPr>
                <w:rFonts w:cs="Arial"/>
                <w:b w:val="0"/>
                <w:bCs/>
                <w:sz w:val="18"/>
                <w:szCs w:val="18"/>
              </w:rPr>
              <w:t>(Constant Price)</w:t>
            </w:r>
          </w:p>
        </w:tc>
        <w:tc>
          <w:tcPr>
            <w:tcW w:w="2636" w:type="dxa"/>
            <w:gridSpan w:val="2"/>
            <w:tcBorders>
              <w:top w:val="single" w:sz="12" w:space="0" w:color="auto"/>
              <w:left w:val="single" w:sz="12" w:space="0" w:color="auto"/>
              <w:bottom w:val="single" w:sz="6" w:space="0" w:color="auto"/>
            </w:tcBorders>
            <w:shd w:val="clear" w:color="auto" w:fill="auto"/>
          </w:tcPr>
          <w:p w14:paraId="01A22A84" w14:textId="77777777" w:rsidR="0041160C" w:rsidRPr="003415CC" w:rsidRDefault="0041160C" w:rsidP="0041160C">
            <w:pPr>
              <w:pStyle w:val="IATableLabel"/>
              <w:jc w:val="right"/>
              <w:rPr>
                <w:rFonts w:cs="Arial"/>
              </w:rPr>
            </w:pPr>
            <w:r w:rsidRPr="003415CC">
              <w:rPr>
                <w:rFonts w:cs="Arial"/>
              </w:rPr>
              <w:t>Total Cost</w:t>
            </w:r>
            <w:r w:rsidRPr="003415CC">
              <w:rPr>
                <w:rFonts w:cs="Arial"/>
                <w:b w:val="0"/>
                <w:sz w:val="18"/>
                <w:szCs w:val="18"/>
              </w:rPr>
              <w:t xml:space="preserve"> </w:t>
            </w:r>
            <w:r w:rsidRPr="003415CC">
              <w:rPr>
                <w:rFonts w:cs="Arial"/>
                <w:b w:val="0"/>
                <w:sz w:val="18"/>
                <w:szCs w:val="18"/>
              </w:rPr>
              <w:br/>
              <w:t>(Present Value)</w:t>
            </w:r>
          </w:p>
        </w:tc>
      </w:tr>
      <w:tr w:rsidR="0041160C" w:rsidRPr="003415CC" w14:paraId="499AAE46" w14:textId="77777777" w:rsidTr="0041160C">
        <w:trPr>
          <w:trHeight w:hRule="exact" w:val="348"/>
        </w:trPr>
        <w:tc>
          <w:tcPr>
            <w:tcW w:w="1995" w:type="dxa"/>
            <w:tcBorders>
              <w:top w:val="single" w:sz="6" w:space="0" w:color="auto"/>
              <w:bottom w:val="single" w:sz="6" w:space="0" w:color="auto"/>
            </w:tcBorders>
            <w:shd w:val="clear" w:color="auto" w:fill="auto"/>
            <w:vAlign w:val="center"/>
          </w:tcPr>
          <w:p w14:paraId="2094EA39" w14:textId="77777777" w:rsidR="0041160C" w:rsidRPr="003415CC" w:rsidRDefault="0041160C" w:rsidP="0041160C">
            <w:pPr>
              <w:pStyle w:val="IATableLabel"/>
              <w:rPr>
                <w:rFonts w:cs="Arial"/>
              </w:rPr>
            </w:pPr>
            <w:r w:rsidRPr="003415CC">
              <w:rPr>
                <w:rFonts w:cs="Arial"/>
              </w:rPr>
              <w:t xml:space="preserve">Low </w:t>
            </w:r>
          </w:p>
        </w:tc>
        <w:tc>
          <w:tcPr>
            <w:tcW w:w="1949" w:type="dxa"/>
            <w:tcBorders>
              <w:top w:val="single" w:sz="6" w:space="0" w:color="auto"/>
              <w:bottom w:val="single" w:sz="6" w:space="0" w:color="auto"/>
            </w:tcBorders>
            <w:shd w:val="clear" w:color="auto" w:fill="auto"/>
            <w:vAlign w:val="center"/>
          </w:tcPr>
          <w:p w14:paraId="0BEA3F36" w14:textId="77777777" w:rsidR="0041160C" w:rsidRPr="003415CC" w:rsidRDefault="005F1ED0" w:rsidP="0041160C">
            <w:pPr>
              <w:pStyle w:val="POTTCostsLow"/>
              <w:rPr>
                <w:rFonts w:cs="Arial"/>
                <w:sz w:val="20"/>
              </w:rPr>
            </w:pPr>
            <w:r>
              <w:rPr>
                <w:rFonts w:cs="Arial"/>
                <w:sz w:val="20"/>
              </w:rPr>
              <w:t>3.7</w:t>
            </w:r>
          </w:p>
        </w:tc>
        <w:tc>
          <w:tcPr>
            <w:tcW w:w="790" w:type="dxa"/>
            <w:vMerge w:val="restart"/>
            <w:tcBorders>
              <w:top w:val="single" w:sz="6" w:space="0" w:color="auto"/>
            </w:tcBorders>
            <w:shd w:val="clear" w:color="auto" w:fill="auto"/>
            <w:vAlign w:val="center"/>
          </w:tcPr>
          <w:p w14:paraId="3487BE6E" w14:textId="77777777" w:rsidR="0041160C" w:rsidRPr="003415CC" w:rsidRDefault="0041160C" w:rsidP="0041160C">
            <w:pPr>
              <w:pStyle w:val="POTTCostsYear"/>
              <w:rPr>
                <w:rFonts w:cs="Arial"/>
                <w:sz w:val="20"/>
                <w:szCs w:val="20"/>
              </w:rPr>
            </w:pPr>
            <w:r w:rsidRPr="003415CC">
              <w:rPr>
                <w:rFonts w:cs="Arial"/>
                <w:sz w:val="20"/>
                <w:szCs w:val="20"/>
              </w:rPr>
              <w:fldChar w:fldCharType="begin">
                <w:ffData>
                  <w:name w:val="Text48"/>
                  <w:enabled/>
                  <w:calcOnExit w:val="0"/>
                  <w:textInput>
                    <w:maxLength w:val="3"/>
                  </w:textInput>
                </w:ffData>
              </w:fldChar>
            </w:r>
            <w:r w:rsidRPr="003415CC">
              <w:rPr>
                <w:rFonts w:cs="Arial"/>
                <w:sz w:val="20"/>
                <w:szCs w:val="20"/>
              </w:rPr>
              <w:instrText xml:space="preserve"> FORMTEXT </w:instrText>
            </w:r>
            <w:r w:rsidRPr="003415CC">
              <w:rPr>
                <w:rFonts w:cs="Arial"/>
                <w:sz w:val="20"/>
                <w:szCs w:val="20"/>
              </w:rPr>
            </w:r>
            <w:r w:rsidRPr="003415CC">
              <w:rPr>
                <w:rFonts w:cs="Arial"/>
                <w:sz w:val="20"/>
                <w:szCs w:val="20"/>
              </w:rPr>
              <w:fldChar w:fldCharType="separate"/>
            </w:r>
            <w:r w:rsidRPr="003415CC">
              <w:rPr>
                <w:rFonts w:cs="Arial"/>
                <w:noProof/>
                <w:sz w:val="20"/>
                <w:szCs w:val="20"/>
              </w:rPr>
              <w:t> </w:t>
            </w:r>
            <w:r w:rsidRPr="003415CC">
              <w:rPr>
                <w:rFonts w:cs="Arial"/>
                <w:noProof/>
                <w:sz w:val="20"/>
                <w:szCs w:val="20"/>
              </w:rPr>
              <w:t> </w:t>
            </w:r>
            <w:r w:rsidRPr="003415CC">
              <w:rPr>
                <w:rFonts w:cs="Arial"/>
                <w:noProof/>
                <w:sz w:val="20"/>
                <w:szCs w:val="20"/>
              </w:rPr>
              <w:t> </w:t>
            </w:r>
            <w:r w:rsidRPr="003415CC">
              <w:rPr>
                <w:rFonts w:cs="Arial"/>
                <w:sz w:val="20"/>
                <w:szCs w:val="20"/>
              </w:rPr>
              <w:fldChar w:fldCharType="end"/>
            </w:r>
          </w:p>
        </w:tc>
        <w:tc>
          <w:tcPr>
            <w:tcW w:w="2865" w:type="dxa"/>
            <w:tcBorders>
              <w:top w:val="single" w:sz="6" w:space="0" w:color="auto"/>
              <w:bottom w:val="single" w:sz="6" w:space="0" w:color="auto"/>
              <w:right w:val="single" w:sz="12" w:space="0" w:color="auto"/>
            </w:tcBorders>
            <w:shd w:val="clear" w:color="auto" w:fill="auto"/>
            <w:vAlign w:val="center"/>
          </w:tcPr>
          <w:p w14:paraId="56A14432" w14:textId="77777777" w:rsidR="0041160C" w:rsidRPr="003415CC" w:rsidRDefault="005F1ED0" w:rsidP="0041160C">
            <w:pPr>
              <w:pStyle w:val="POAACostsLow"/>
              <w:rPr>
                <w:rFonts w:cs="Arial"/>
                <w:sz w:val="20"/>
              </w:rPr>
            </w:pPr>
            <w:r>
              <w:rPr>
                <w:rFonts w:cs="Arial"/>
                <w:sz w:val="20"/>
              </w:rPr>
              <w:t>5.4</w:t>
            </w:r>
          </w:p>
        </w:tc>
        <w:tc>
          <w:tcPr>
            <w:tcW w:w="2636" w:type="dxa"/>
            <w:gridSpan w:val="2"/>
            <w:tcBorders>
              <w:top w:val="single" w:sz="6" w:space="0" w:color="auto"/>
              <w:left w:val="single" w:sz="12" w:space="0" w:color="auto"/>
              <w:bottom w:val="single" w:sz="6" w:space="0" w:color="auto"/>
            </w:tcBorders>
            <w:shd w:val="clear" w:color="auto" w:fill="auto"/>
            <w:vAlign w:val="center"/>
          </w:tcPr>
          <w:p w14:paraId="03C221E3" w14:textId="77777777" w:rsidR="0041160C" w:rsidRPr="003415CC" w:rsidRDefault="005F1ED0" w:rsidP="0041160C">
            <w:pPr>
              <w:pStyle w:val="POTCCostsLow"/>
              <w:rPr>
                <w:rFonts w:cs="Arial"/>
                <w:sz w:val="20"/>
              </w:rPr>
            </w:pPr>
            <w:r>
              <w:rPr>
                <w:rFonts w:cs="Arial"/>
                <w:sz w:val="20"/>
              </w:rPr>
              <w:t>50.2</w:t>
            </w:r>
          </w:p>
        </w:tc>
      </w:tr>
      <w:tr w:rsidR="0041160C" w:rsidRPr="003415CC" w14:paraId="51F0B609" w14:textId="77777777" w:rsidTr="0041160C">
        <w:trPr>
          <w:trHeight w:hRule="exact" w:val="348"/>
        </w:trPr>
        <w:tc>
          <w:tcPr>
            <w:tcW w:w="1995" w:type="dxa"/>
            <w:tcBorders>
              <w:top w:val="single" w:sz="6" w:space="0" w:color="auto"/>
              <w:bottom w:val="single" w:sz="12" w:space="0" w:color="auto"/>
            </w:tcBorders>
            <w:shd w:val="clear" w:color="auto" w:fill="auto"/>
            <w:vAlign w:val="center"/>
          </w:tcPr>
          <w:p w14:paraId="4E1C7EBB" w14:textId="77777777" w:rsidR="0041160C" w:rsidRPr="003415CC" w:rsidRDefault="0041160C" w:rsidP="0041160C">
            <w:pPr>
              <w:pStyle w:val="IATableLabel"/>
              <w:rPr>
                <w:rFonts w:cs="Arial"/>
              </w:rPr>
            </w:pPr>
            <w:r w:rsidRPr="003415CC">
              <w:rPr>
                <w:rFonts w:cs="Arial"/>
              </w:rPr>
              <w:t xml:space="preserve">High </w:t>
            </w:r>
          </w:p>
        </w:tc>
        <w:tc>
          <w:tcPr>
            <w:tcW w:w="1949" w:type="dxa"/>
            <w:tcBorders>
              <w:top w:val="single" w:sz="6" w:space="0" w:color="auto"/>
              <w:bottom w:val="single" w:sz="12" w:space="0" w:color="auto"/>
            </w:tcBorders>
            <w:shd w:val="clear" w:color="auto" w:fill="auto"/>
            <w:vAlign w:val="center"/>
          </w:tcPr>
          <w:p w14:paraId="3636BAD4" w14:textId="77777777" w:rsidR="0041160C" w:rsidRPr="003415CC" w:rsidRDefault="005F1ED0" w:rsidP="0041160C">
            <w:pPr>
              <w:pStyle w:val="POTTCostsHigh"/>
              <w:rPr>
                <w:rFonts w:cs="Arial"/>
                <w:sz w:val="20"/>
              </w:rPr>
            </w:pPr>
            <w:r>
              <w:rPr>
                <w:rFonts w:cs="Arial"/>
                <w:sz w:val="20"/>
              </w:rPr>
              <w:t>13.2</w:t>
            </w:r>
          </w:p>
        </w:tc>
        <w:tc>
          <w:tcPr>
            <w:tcW w:w="790" w:type="dxa"/>
            <w:vMerge/>
            <w:shd w:val="clear" w:color="auto" w:fill="FFFFFF"/>
            <w:vAlign w:val="center"/>
          </w:tcPr>
          <w:p w14:paraId="6CAA2A42" w14:textId="77777777" w:rsidR="0041160C" w:rsidRPr="003415CC" w:rsidRDefault="0041160C" w:rsidP="0041160C">
            <w:pPr>
              <w:pStyle w:val="IATableText"/>
              <w:jc w:val="right"/>
              <w:rPr>
                <w:rFonts w:cs="Arial"/>
                <w:sz w:val="20"/>
              </w:rPr>
            </w:pPr>
          </w:p>
        </w:tc>
        <w:tc>
          <w:tcPr>
            <w:tcW w:w="2865" w:type="dxa"/>
            <w:tcBorders>
              <w:top w:val="single" w:sz="6" w:space="0" w:color="auto"/>
              <w:bottom w:val="single" w:sz="12" w:space="0" w:color="auto"/>
              <w:right w:val="single" w:sz="12" w:space="0" w:color="auto"/>
            </w:tcBorders>
            <w:shd w:val="clear" w:color="auto" w:fill="auto"/>
            <w:vAlign w:val="center"/>
          </w:tcPr>
          <w:p w14:paraId="57241E9C" w14:textId="77777777" w:rsidR="0041160C" w:rsidRPr="003415CC" w:rsidRDefault="005F1ED0" w:rsidP="0041160C">
            <w:pPr>
              <w:pStyle w:val="POAACostsHigh"/>
              <w:rPr>
                <w:rFonts w:cs="Arial"/>
                <w:sz w:val="20"/>
              </w:rPr>
            </w:pPr>
            <w:r>
              <w:rPr>
                <w:rFonts w:cs="Arial"/>
                <w:sz w:val="20"/>
              </w:rPr>
              <w:t>20.4</w:t>
            </w:r>
          </w:p>
        </w:tc>
        <w:tc>
          <w:tcPr>
            <w:tcW w:w="2636" w:type="dxa"/>
            <w:gridSpan w:val="2"/>
            <w:tcBorders>
              <w:top w:val="single" w:sz="6" w:space="0" w:color="auto"/>
              <w:left w:val="single" w:sz="12" w:space="0" w:color="auto"/>
              <w:bottom w:val="single" w:sz="12" w:space="0" w:color="auto"/>
            </w:tcBorders>
            <w:shd w:val="clear" w:color="auto" w:fill="auto"/>
            <w:vAlign w:val="center"/>
          </w:tcPr>
          <w:p w14:paraId="1FB73172" w14:textId="77777777" w:rsidR="0041160C" w:rsidRPr="003415CC" w:rsidRDefault="00621AA7" w:rsidP="0041160C">
            <w:pPr>
              <w:pStyle w:val="POTCCostsHigh"/>
              <w:rPr>
                <w:rFonts w:cs="Arial"/>
                <w:sz w:val="20"/>
              </w:rPr>
            </w:pPr>
            <w:r>
              <w:rPr>
                <w:rFonts w:cs="Arial"/>
                <w:sz w:val="20"/>
              </w:rPr>
              <w:t>1</w:t>
            </w:r>
            <w:r w:rsidR="005F1ED0">
              <w:rPr>
                <w:rFonts w:cs="Arial"/>
                <w:sz w:val="20"/>
              </w:rPr>
              <w:t>89.2</w:t>
            </w:r>
          </w:p>
        </w:tc>
      </w:tr>
      <w:tr w:rsidR="0041160C" w:rsidRPr="003415CC" w14:paraId="10357D12" w14:textId="77777777" w:rsidTr="0041160C">
        <w:trPr>
          <w:trHeight w:hRule="exact" w:val="348"/>
        </w:trPr>
        <w:tc>
          <w:tcPr>
            <w:tcW w:w="1995" w:type="dxa"/>
            <w:tcBorders>
              <w:top w:val="single" w:sz="12" w:space="0" w:color="auto"/>
              <w:bottom w:val="single" w:sz="12" w:space="0" w:color="auto"/>
              <w:right w:val="single" w:sz="12" w:space="0" w:color="auto"/>
            </w:tcBorders>
            <w:shd w:val="clear" w:color="auto" w:fill="FFFFFF"/>
            <w:vAlign w:val="center"/>
          </w:tcPr>
          <w:p w14:paraId="1A844606" w14:textId="77777777" w:rsidR="0041160C" w:rsidRPr="003415CC" w:rsidRDefault="0041160C" w:rsidP="0041160C">
            <w:pPr>
              <w:pStyle w:val="IATableLabel"/>
              <w:rPr>
                <w:rFonts w:cs="Arial"/>
              </w:rPr>
            </w:pPr>
            <w:r w:rsidRPr="003415CC">
              <w:rPr>
                <w:rFonts w:cs="Arial"/>
              </w:rPr>
              <w:t>Best Estimate</w:t>
            </w:r>
          </w:p>
          <w:p w14:paraId="5F7F03FB" w14:textId="77777777" w:rsidR="0041160C" w:rsidRPr="003415CC" w:rsidRDefault="0041160C" w:rsidP="0041160C">
            <w:pPr>
              <w:pStyle w:val="IATableNotes"/>
              <w:spacing w:beforeLines="40" w:before="96"/>
              <w:ind w:left="0" w:right="-22"/>
              <w:jc w:val="center"/>
              <w:rPr>
                <w:rFonts w:cs="Arial"/>
                <w:b/>
                <w:sz w:val="20"/>
              </w:rPr>
            </w:pPr>
          </w:p>
        </w:tc>
        <w:tc>
          <w:tcPr>
            <w:tcW w:w="1949" w:type="dxa"/>
            <w:tcBorders>
              <w:top w:val="single" w:sz="12" w:space="0" w:color="auto"/>
              <w:left w:val="single" w:sz="12" w:space="0" w:color="auto"/>
              <w:bottom w:val="single" w:sz="12" w:space="0" w:color="auto"/>
              <w:right w:val="single" w:sz="12" w:space="0" w:color="auto"/>
            </w:tcBorders>
            <w:shd w:val="clear" w:color="auto" w:fill="FFFFFF"/>
            <w:vAlign w:val="center"/>
          </w:tcPr>
          <w:p w14:paraId="26C8B00B" w14:textId="77777777" w:rsidR="0041160C" w:rsidRPr="003415CC" w:rsidRDefault="005F1ED0" w:rsidP="0041160C">
            <w:pPr>
              <w:pStyle w:val="POTTCostsBest"/>
              <w:rPr>
                <w:rFonts w:cs="Arial"/>
                <w:sz w:val="20"/>
              </w:rPr>
            </w:pPr>
            <w:r>
              <w:rPr>
                <w:rFonts w:cs="Arial"/>
                <w:sz w:val="20"/>
              </w:rPr>
              <w:t>7.6</w:t>
            </w:r>
          </w:p>
        </w:tc>
        <w:tc>
          <w:tcPr>
            <w:tcW w:w="790" w:type="dxa"/>
            <w:vMerge/>
            <w:tcBorders>
              <w:left w:val="single" w:sz="12" w:space="0" w:color="auto"/>
              <w:right w:val="single" w:sz="12" w:space="0" w:color="auto"/>
            </w:tcBorders>
            <w:shd w:val="clear" w:color="auto" w:fill="FFFFFF"/>
            <w:vAlign w:val="center"/>
          </w:tcPr>
          <w:p w14:paraId="7C165322" w14:textId="77777777" w:rsidR="0041160C" w:rsidRPr="003415CC" w:rsidRDefault="0041160C" w:rsidP="0041160C">
            <w:pPr>
              <w:pStyle w:val="IATableText"/>
              <w:jc w:val="right"/>
              <w:rPr>
                <w:rFonts w:cs="Arial"/>
                <w:sz w:val="20"/>
              </w:rPr>
            </w:pPr>
          </w:p>
        </w:tc>
        <w:tc>
          <w:tcPr>
            <w:tcW w:w="2865" w:type="dxa"/>
            <w:tcBorders>
              <w:top w:val="single" w:sz="12" w:space="0" w:color="auto"/>
              <w:left w:val="single" w:sz="12" w:space="0" w:color="auto"/>
              <w:bottom w:val="single" w:sz="12" w:space="0" w:color="auto"/>
              <w:right w:val="single" w:sz="12" w:space="0" w:color="auto"/>
            </w:tcBorders>
            <w:shd w:val="clear" w:color="auto" w:fill="FFFFFF"/>
            <w:vAlign w:val="center"/>
          </w:tcPr>
          <w:p w14:paraId="7F8047F1" w14:textId="77777777" w:rsidR="0041160C" w:rsidRPr="003415CC" w:rsidRDefault="005F1ED0" w:rsidP="0041160C">
            <w:pPr>
              <w:pStyle w:val="POAACostsBest"/>
              <w:rPr>
                <w:rFonts w:cs="Arial"/>
                <w:sz w:val="20"/>
              </w:rPr>
            </w:pPr>
            <w:r>
              <w:rPr>
                <w:rFonts w:cs="Arial"/>
                <w:sz w:val="20"/>
              </w:rPr>
              <w:t>11.7</w:t>
            </w:r>
          </w:p>
        </w:tc>
        <w:tc>
          <w:tcPr>
            <w:tcW w:w="2636" w:type="dxa"/>
            <w:gridSpan w:val="2"/>
            <w:tcBorders>
              <w:top w:val="single" w:sz="12" w:space="0" w:color="auto"/>
              <w:left w:val="single" w:sz="12" w:space="0" w:color="auto"/>
              <w:bottom w:val="single" w:sz="12" w:space="0" w:color="auto"/>
            </w:tcBorders>
            <w:shd w:val="clear" w:color="auto" w:fill="FFFFFF"/>
            <w:vAlign w:val="center"/>
          </w:tcPr>
          <w:p w14:paraId="7754EDD8" w14:textId="77777777" w:rsidR="0041160C" w:rsidRPr="003415CC" w:rsidRDefault="005F1ED0" w:rsidP="0041160C">
            <w:pPr>
              <w:pStyle w:val="POTCCostsBest"/>
              <w:rPr>
                <w:rFonts w:cs="Arial"/>
                <w:sz w:val="20"/>
              </w:rPr>
            </w:pPr>
            <w:r>
              <w:rPr>
                <w:rFonts w:cs="Arial"/>
                <w:sz w:val="20"/>
              </w:rPr>
              <w:t>108.3</w:t>
            </w:r>
          </w:p>
        </w:tc>
      </w:tr>
      <w:tr w:rsidR="0041160C" w:rsidRPr="003415CC" w14:paraId="54DFC612" w14:textId="77777777" w:rsidTr="00386188">
        <w:trPr>
          <w:trHeight w:hRule="exact" w:val="2450"/>
        </w:trPr>
        <w:tc>
          <w:tcPr>
            <w:tcW w:w="10235" w:type="dxa"/>
            <w:gridSpan w:val="6"/>
            <w:tcBorders>
              <w:bottom w:val="single" w:sz="6" w:space="0" w:color="auto"/>
            </w:tcBorders>
            <w:shd w:val="clear" w:color="auto" w:fill="auto"/>
          </w:tcPr>
          <w:p w14:paraId="6F0BC9EB" w14:textId="77777777" w:rsidR="0041160C" w:rsidRPr="003415CC" w:rsidRDefault="0041160C" w:rsidP="0041160C">
            <w:pPr>
              <w:pStyle w:val="IAPOQ1"/>
              <w:rPr>
                <w:rFonts w:cs="Arial"/>
                <w:szCs w:val="22"/>
              </w:rPr>
            </w:pPr>
            <w:r w:rsidRPr="003415CC">
              <w:rPr>
                <w:rFonts w:cs="Arial"/>
              </w:rPr>
              <w:t xml:space="preserve">Description and scale of key monetised costs by ‘main affected groups’ </w:t>
            </w:r>
          </w:p>
          <w:p w14:paraId="324E26EC" w14:textId="77777777" w:rsidR="00386188" w:rsidRDefault="00386188" w:rsidP="00F76924">
            <w:pPr>
              <w:pStyle w:val="ListParagraph"/>
              <w:numPr>
                <w:ilvl w:val="0"/>
                <w:numId w:val="54"/>
              </w:numPr>
              <w:jc w:val="both"/>
              <w:rPr>
                <w:rFonts w:eastAsia="SimSun" w:cs="Arial"/>
                <w:spacing w:val="-5"/>
                <w:sz w:val="22"/>
                <w:szCs w:val="20"/>
                <w:lang w:eastAsia="zh-CN"/>
              </w:rPr>
            </w:pPr>
            <w:r w:rsidRPr="00386188">
              <w:rPr>
                <w:rFonts w:eastAsia="SimSun" w:cs="Arial"/>
                <w:spacing w:val="-5"/>
                <w:sz w:val="22"/>
                <w:szCs w:val="20"/>
                <w:lang w:eastAsia="zh-CN"/>
              </w:rPr>
              <w:t>Costs to large quoted PIEs (with more than 500 employees) and their subsidiaries of meeting the additional reporting</w:t>
            </w:r>
            <w:r w:rsidR="005F1ED0">
              <w:rPr>
                <w:rFonts w:eastAsia="SimSun" w:cs="Arial"/>
                <w:spacing w:val="-5"/>
                <w:sz w:val="22"/>
                <w:szCs w:val="20"/>
                <w:lang w:eastAsia="zh-CN"/>
              </w:rPr>
              <w:t xml:space="preserve"> requirements of the NFRD: £10.65</w:t>
            </w:r>
            <w:r w:rsidRPr="00386188">
              <w:rPr>
                <w:rFonts w:eastAsia="SimSun" w:cs="Arial"/>
                <w:spacing w:val="-5"/>
                <w:sz w:val="22"/>
                <w:szCs w:val="20"/>
                <w:lang w:eastAsia="zh-CN"/>
              </w:rPr>
              <w:t xml:space="preserve">m in the first year (which includes </w:t>
            </w:r>
            <w:r w:rsidR="005F1ED0">
              <w:rPr>
                <w:rFonts w:eastAsia="SimSun" w:cs="Arial"/>
                <w:spacing w:val="-5"/>
                <w:sz w:val="22"/>
                <w:szCs w:val="20"/>
                <w:lang w:eastAsia="zh-CN"/>
              </w:rPr>
              <w:t>familiarisation costs) and £6.47</w:t>
            </w:r>
            <w:r w:rsidRPr="00386188">
              <w:rPr>
                <w:rFonts w:eastAsia="SimSun" w:cs="Arial"/>
                <w:spacing w:val="-5"/>
                <w:sz w:val="22"/>
                <w:szCs w:val="20"/>
                <w:lang w:eastAsia="zh-CN"/>
              </w:rPr>
              <w:t>m per year thereafter.</w:t>
            </w:r>
          </w:p>
          <w:p w14:paraId="7B37EA72" w14:textId="77777777" w:rsidR="00386188" w:rsidRDefault="00386188" w:rsidP="00F76924">
            <w:pPr>
              <w:pStyle w:val="ListParagraph"/>
              <w:numPr>
                <w:ilvl w:val="0"/>
                <w:numId w:val="54"/>
              </w:numPr>
              <w:jc w:val="both"/>
              <w:rPr>
                <w:rFonts w:eastAsia="SimSun" w:cs="Arial"/>
                <w:spacing w:val="-5"/>
                <w:sz w:val="22"/>
                <w:szCs w:val="20"/>
                <w:lang w:eastAsia="zh-CN"/>
              </w:rPr>
            </w:pPr>
            <w:r w:rsidRPr="00386188">
              <w:rPr>
                <w:rFonts w:eastAsia="SimSun" w:cs="Arial"/>
                <w:spacing w:val="-5"/>
                <w:sz w:val="22"/>
                <w:szCs w:val="20"/>
                <w:lang w:eastAsia="zh-CN"/>
              </w:rPr>
              <w:t>Costs to large unquoted PIEs (with more than 500 employees) and their subsidiaries of meeting the additional</w:t>
            </w:r>
            <w:r w:rsidR="00293D5D">
              <w:rPr>
                <w:rFonts w:eastAsia="SimSun" w:cs="Arial"/>
                <w:spacing w:val="-5"/>
                <w:sz w:val="22"/>
                <w:szCs w:val="20"/>
                <w:lang w:eastAsia="zh-CN"/>
              </w:rPr>
              <w:t xml:space="preserve"> requirement</w:t>
            </w:r>
            <w:r w:rsidR="000B5942">
              <w:rPr>
                <w:rFonts w:eastAsia="SimSun" w:cs="Arial"/>
                <w:spacing w:val="-5"/>
                <w:sz w:val="22"/>
                <w:szCs w:val="20"/>
                <w:lang w:eastAsia="zh-CN"/>
              </w:rPr>
              <w:t>s of the NFRD: £8.49</w:t>
            </w:r>
            <w:r w:rsidRPr="00386188">
              <w:rPr>
                <w:rFonts w:eastAsia="SimSun" w:cs="Arial"/>
                <w:spacing w:val="-5"/>
                <w:sz w:val="22"/>
                <w:szCs w:val="20"/>
                <w:lang w:eastAsia="zh-CN"/>
              </w:rPr>
              <w:t>m in the first year (which includes</w:t>
            </w:r>
            <w:r w:rsidR="000B5942">
              <w:rPr>
                <w:rFonts w:eastAsia="SimSun" w:cs="Arial"/>
                <w:spacing w:val="-5"/>
                <w:sz w:val="22"/>
                <w:szCs w:val="20"/>
                <w:lang w:eastAsia="zh-CN"/>
              </w:rPr>
              <w:t xml:space="preserve"> familiarisation costs) and 5.22</w:t>
            </w:r>
            <w:r w:rsidRPr="00386188">
              <w:rPr>
                <w:rFonts w:eastAsia="SimSun" w:cs="Arial"/>
                <w:spacing w:val="-5"/>
                <w:sz w:val="22"/>
                <w:szCs w:val="20"/>
                <w:lang w:eastAsia="zh-CN"/>
              </w:rPr>
              <w:t>m per year thereafter.</w:t>
            </w:r>
          </w:p>
          <w:p w14:paraId="2B2A18E4" w14:textId="77777777" w:rsidR="00386188" w:rsidRPr="00386188" w:rsidRDefault="00021CED" w:rsidP="00F76924">
            <w:pPr>
              <w:pStyle w:val="ListParagraph"/>
              <w:numPr>
                <w:ilvl w:val="0"/>
                <w:numId w:val="54"/>
              </w:numPr>
              <w:jc w:val="both"/>
              <w:rPr>
                <w:rFonts w:eastAsia="SimSun" w:cs="Arial"/>
                <w:spacing w:val="-5"/>
                <w:sz w:val="22"/>
                <w:szCs w:val="20"/>
                <w:lang w:eastAsia="zh-CN"/>
              </w:rPr>
            </w:pPr>
            <w:r>
              <w:rPr>
                <w:rFonts w:eastAsia="SimSun" w:cs="Arial"/>
                <w:spacing w:val="-5"/>
                <w:sz w:val="22"/>
                <w:szCs w:val="20"/>
                <w:lang w:eastAsia="zh-CN"/>
              </w:rPr>
              <w:t>Familiarisation costs of £0.20</w:t>
            </w:r>
            <w:r w:rsidR="00386188" w:rsidRPr="00386188">
              <w:rPr>
                <w:rFonts w:eastAsia="SimSun" w:cs="Arial"/>
                <w:spacing w:val="-5"/>
                <w:sz w:val="22"/>
                <w:szCs w:val="20"/>
                <w:lang w:eastAsia="zh-CN"/>
              </w:rPr>
              <w:t>m to quoted and unquoted companies in scope but already reporting on additional matters required by the NFRD.</w:t>
            </w:r>
          </w:p>
          <w:p w14:paraId="0909B7E0" w14:textId="77777777" w:rsidR="0041160C" w:rsidRPr="00362DAF" w:rsidRDefault="0041160C" w:rsidP="000A7981">
            <w:pPr>
              <w:pStyle w:val="IAPOA1"/>
              <w:jc w:val="both"/>
              <w:rPr>
                <w:rFonts w:cs="Arial"/>
              </w:rPr>
            </w:pPr>
          </w:p>
        </w:tc>
      </w:tr>
      <w:tr w:rsidR="0041160C" w:rsidRPr="003415CC" w14:paraId="36DA4BB0" w14:textId="77777777" w:rsidTr="000A7981">
        <w:trPr>
          <w:trHeight w:hRule="exact" w:val="1864"/>
        </w:trPr>
        <w:tc>
          <w:tcPr>
            <w:tcW w:w="10235" w:type="dxa"/>
            <w:gridSpan w:val="6"/>
            <w:tcBorders>
              <w:top w:val="single" w:sz="6" w:space="0" w:color="auto"/>
              <w:bottom w:val="single" w:sz="12" w:space="0" w:color="auto"/>
            </w:tcBorders>
            <w:shd w:val="clear" w:color="auto" w:fill="auto"/>
          </w:tcPr>
          <w:p w14:paraId="27BE7523" w14:textId="77777777" w:rsidR="0041160C" w:rsidRPr="003415CC" w:rsidRDefault="0041160C" w:rsidP="0041160C">
            <w:pPr>
              <w:pStyle w:val="IAPOQ2"/>
              <w:rPr>
                <w:rFonts w:cs="Arial"/>
                <w:szCs w:val="22"/>
              </w:rPr>
            </w:pPr>
            <w:r w:rsidRPr="003415CC">
              <w:rPr>
                <w:rFonts w:cs="Arial"/>
              </w:rPr>
              <w:t xml:space="preserve">Other key non-monetised costs by ‘main affected groups’ </w:t>
            </w:r>
          </w:p>
          <w:p w14:paraId="50A075F6" w14:textId="77777777" w:rsidR="0041160C" w:rsidRPr="00362DAF" w:rsidRDefault="0041160C" w:rsidP="00D40A3D">
            <w:pPr>
              <w:pStyle w:val="IAPOA2"/>
              <w:jc w:val="both"/>
              <w:rPr>
                <w:rFonts w:cs="Arial"/>
                <w:b/>
                <w:szCs w:val="22"/>
              </w:rPr>
            </w:pPr>
            <w:r w:rsidRPr="000A7981">
              <w:rPr>
                <w:rFonts w:cs="Arial"/>
                <w:szCs w:val="22"/>
              </w:rPr>
              <w:t>This option introduce</w:t>
            </w:r>
            <w:r w:rsidR="00A21E2D">
              <w:rPr>
                <w:rFonts w:cs="Arial"/>
                <w:szCs w:val="22"/>
              </w:rPr>
              <w:t>s</w:t>
            </w:r>
            <w:r w:rsidRPr="000A7981">
              <w:rPr>
                <w:rFonts w:cs="Arial"/>
                <w:szCs w:val="22"/>
              </w:rPr>
              <w:t xml:space="preserve"> different reporting requirements among companies depending on </w:t>
            </w:r>
            <w:r w:rsidR="00FB3819">
              <w:rPr>
                <w:rFonts w:cs="Arial"/>
                <w:szCs w:val="22"/>
              </w:rPr>
              <w:t xml:space="preserve">their </w:t>
            </w:r>
            <w:r w:rsidRPr="000A7981">
              <w:rPr>
                <w:rFonts w:cs="Arial"/>
                <w:szCs w:val="22"/>
              </w:rPr>
              <w:t xml:space="preserve">number of employees. </w:t>
            </w:r>
            <w:r w:rsidR="00E67C06">
              <w:rPr>
                <w:rFonts w:cs="Arial"/>
                <w:szCs w:val="22"/>
              </w:rPr>
              <w:t xml:space="preserve">This would </w:t>
            </w:r>
            <w:r w:rsidR="00E67C06">
              <w:rPr>
                <w:rFonts w:eastAsiaTheme="minorHAnsi" w:cs="Arial"/>
                <w:szCs w:val="22"/>
              </w:rPr>
              <w:t xml:space="preserve">result in costs for investors and other stakeholders - as it </w:t>
            </w:r>
            <w:r w:rsidR="00E67C06" w:rsidRPr="000A7981">
              <w:rPr>
                <w:rFonts w:eastAsiaTheme="minorHAnsi" w:cs="Arial"/>
                <w:szCs w:val="22"/>
              </w:rPr>
              <w:t>reduces the level of comparability across years and across listed companies</w:t>
            </w:r>
            <w:r w:rsidR="00E67C06">
              <w:rPr>
                <w:rFonts w:eastAsiaTheme="minorHAnsi" w:cs="Arial"/>
                <w:szCs w:val="22"/>
              </w:rPr>
              <w:t>.</w:t>
            </w:r>
            <w:r w:rsidR="00E67C06" w:rsidRPr="000A7981">
              <w:rPr>
                <w:rFonts w:eastAsiaTheme="minorHAnsi" w:cs="Arial"/>
                <w:szCs w:val="22"/>
              </w:rPr>
              <w:t xml:space="preserve"> </w:t>
            </w:r>
            <w:r w:rsidR="00E67C06">
              <w:rPr>
                <w:rFonts w:eastAsiaTheme="minorHAnsi" w:cs="Arial"/>
                <w:szCs w:val="22"/>
              </w:rPr>
              <w:t>It also</w:t>
            </w:r>
            <w:r w:rsidRPr="000A7981">
              <w:rPr>
                <w:rFonts w:eastAsiaTheme="minorHAnsi" w:cs="Arial"/>
                <w:szCs w:val="22"/>
              </w:rPr>
              <w:t xml:space="preserve"> mean</w:t>
            </w:r>
            <w:r w:rsidR="00E67C06">
              <w:rPr>
                <w:rFonts w:eastAsiaTheme="minorHAnsi" w:cs="Arial"/>
                <w:szCs w:val="22"/>
              </w:rPr>
              <w:t>s</w:t>
            </w:r>
            <w:r w:rsidRPr="000A7981">
              <w:rPr>
                <w:rFonts w:eastAsiaTheme="minorHAnsi" w:cs="Arial"/>
                <w:szCs w:val="22"/>
              </w:rPr>
              <w:t xml:space="preserve"> that companies that move between categories</w:t>
            </w:r>
            <w:r w:rsidR="00FB3819">
              <w:rPr>
                <w:rFonts w:eastAsiaTheme="minorHAnsi" w:cs="Arial"/>
                <w:szCs w:val="22"/>
              </w:rPr>
              <w:t xml:space="preserve"> (e.g. by growing in size)</w:t>
            </w:r>
            <w:r w:rsidR="00E67C06">
              <w:rPr>
                <w:rFonts w:eastAsiaTheme="minorHAnsi" w:cs="Arial"/>
                <w:szCs w:val="22"/>
              </w:rPr>
              <w:t xml:space="preserve"> w</w:t>
            </w:r>
            <w:r w:rsidRPr="000A7981">
              <w:rPr>
                <w:rFonts w:eastAsiaTheme="minorHAnsi" w:cs="Arial"/>
                <w:szCs w:val="22"/>
              </w:rPr>
              <w:t xml:space="preserve">ould </w:t>
            </w:r>
            <w:r w:rsidR="00FB3819">
              <w:rPr>
                <w:rFonts w:eastAsiaTheme="minorHAnsi" w:cs="Arial"/>
                <w:szCs w:val="22"/>
              </w:rPr>
              <w:t xml:space="preserve">change the non-financial reporting </w:t>
            </w:r>
            <w:r w:rsidRPr="000A7981">
              <w:rPr>
                <w:rFonts w:eastAsiaTheme="minorHAnsi" w:cs="Arial"/>
                <w:szCs w:val="22"/>
              </w:rPr>
              <w:t xml:space="preserve">frameworks </w:t>
            </w:r>
            <w:r w:rsidR="00FB3819">
              <w:rPr>
                <w:rFonts w:eastAsiaTheme="minorHAnsi" w:cs="Arial"/>
                <w:szCs w:val="22"/>
              </w:rPr>
              <w:t xml:space="preserve">they use.  </w:t>
            </w:r>
            <w:r w:rsidRPr="000A7981">
              <w:rPr>
                <w:rFonts w:eastAsiaTheme="minorHAnsi" w:cs="Arial"/>
                <w:szCs w:val="22"/>
              </w:rPr>
              <w:t xml:space="preserve">This </w:t>
            </w:r>
            <w:r w:rsidR="00672163">
              <w:rPr>
                <w:rFonts w:eastAsiaTheme="minorHAnsi" w:cs="Arial"/>
                <w:szCs w:val="22"/>
              </w:rPr>
              <w:t xml:space="preserve">could result in </w:t>
            </w:r>
            <w:r w:rsidRPr="000A7981">
              <w:rPr>
                <w:rFonts w:eastAsiaTheme="minorHAnsi" w:cs="Arial"/>
                <w:szCs w:val="22"/>
              </w:rPr>
              <w:t>administrative</w:t>
            </w:r>
            <w:r w:rsidR="00672163">
              <w:rPr>
                <w:rFonts w:eastAsiaTheme="minorHAnsi" w:cs="Arial"/>
                <w:szCs w:val="22"/>
              </w:rPr>
              <w:t xml:space="preserve"> costs</w:t>
            </w:r>
            <w:r w:rsidR="00E67C06">
              <w:rPr>
                <w:rFonts w:eastAsiaTheme="minorHAnsi" w:cs="Arial"/>
                <w:szCs w:val="22"/>
              </w:rPr>
              <w:t xml:space="preserve"> as well as a reduction in comparability of reports for the same company </w:t>
            </w:r>
            <w:r w:rsidR="00D40A3D">
              <w:rPr>
                <w:rFonts w:eastAsiaTheme="minorHAnsi" w:cs="Arial"/>
                <w:szCs w:val="22"/>
              </w:rPr>
              <w:t>over time</w:t>
            </w:r>
            <w:r w:rsidRPr="000A7981">
              <w:rPr>
                <w:rFonts w:eastAsiaTheme="minorHAnsi" w:cs="Arial"/>
                <w:szCs w:val="22"/>
              </w:rPr>
              <w:t>.</w:t>
            </w:r>
          </w:p>
        </w:tc>
      </w:tr>
      <w:tr w:rsidR="0041160C" w:rsidRPr="003415CC" w14:paraId="36FC77AD" w14:textId="77777777" w:rsidTr="0041160C">
        <w:trPr>
          <w:trHeight w:hRule="exact" w:val="567"/>
        </w:trPr>
        <w:tc>
          <w:tcPr>
            <w:tcW w:w="1995" w:type="dxa"/>
            <w:shd w:val="clear" w:color="auto" w:fill="FFFFFF"/>
          </w:tcPr>
          <w:p w14:paraId="6F96794C" w14:textId="77777777" w:rsidR="0041160C" w:rsidRPr="003415CC" w:rsidRDefault="0041160C" w:rsidP="0041160C">
            <w:pPr>
              <w:pStyle w:val="IATableLabel"/>
              <w:rPr>
                <w:rFonts w:cs="Arial"/>
                <w:sz w:val="24"/>
                <w:szCs w:val="24"/>
              </w:rPr>
            </w:pPr>
            <w:r w:rsidRPr="003415CC">
              <w:rPr>
                <w:rFonts w:cs="Arial"/>
                <w:sz w:val="24"/>
                <w:szCs w:val="24"/>
              </w:rPr>
              <w:t>BENEFITS (£m)</w:t>
            </w:r>
          </w:p>
        </w:tc>
        <w:tc>
          <w:tcPr>
            <w:tcW w:w="2739" w:type="dxa"/>
            <w:gridSpan w:val="2"/>
            <w:tcBorders>
              <w:top w:val="single" w:sz="12" w:space="0" w:color="auto"/>
              <w:bottom w:val="single" w:sz="6" w:space="0" w:color="auto"/>
            </w:tcBorders>
            <w:shd w:val="clear" w:color="auto" w:fill="auto"/>
          </w:tcPr>
          <w:p w14:paraId="7AB85B0E" w14:textId="77777777" w:rsidR="0041160C" w:rsidRPr="003415CC" w:rsidRDefault="0041160C" w:rsidP="0041160C">
            <w:pPr>
              <w:pStyle w:val="IATableLabel"/>
              <w:tabs>
                <w:tab w:val="right" w:pos="1797"/>
                <w:tab w:val="center" w:pos="2340"/>
              </w:tabs>
              <w:jc w:val="right"/>
              <w:rPr>
                <w:rFonts w:cs="Arial"/>
              </w:rPr>
            </w:pPr>
            <w:r w:rsidRPr="003415CC">
              <w:rPr>
                <w:rFonts w:cs="Arial"/>
              </w:rPr>
              <w:t xml:space="preserve">Total Transition </w:t>
            </w:r>
            <w:r w:rsidRPr="003415CC">
              <w:rPr>
                <w:rFonts w:cs="Arial"/>
              </w:rPr>
              <w:br/>
            </w:r>
            <w:r w:rsidRPr="003415CC">
              <w:rPr>
                <w:rFonts w:cs="Arial"/>
              </w:rPr>
              <w:tab/>
            </w:r>
            <w:r w:rsidRPr="003415CC">
              <w:rPr>
                <w:rFonts w:cs="Arial"/>
                <w:b w:val="0"/>
                <w:sz w:val="18"/>
                <w:szCs w:val="18"/>
              </w:rPr>
              <w:t>(Constant Price)</w:t>
            </w:r>
            <w:r w:rsidRPr="003415CC">
              <w:rPr>
                <w:rFonts w:cs="Arial"/>
              </w:rPr>
              <w:tab/>
            </w:r>
            <w:r w:rsidRPr="003415CC">
              <w:rPr>
                <w:rFonts w:cs="Arial"/>
                <w:b w:val="0"/>
                <w:sz w:val="18"/>
                <w:szCs w:val="18"/>
              </w:rPr>
              <w:t>Yea</w:t>
            </w:r>
            <w:r w:rsidRPr="003415CC">
              <w:rPr>
                <w:rFonts w:cs="Arial"/>
                <w:b w:val="0"/>
                <w:bCs/>
                <w:sz w:val="18"/>
                <w:szCs w:val="18"/>
              </w:rPr>
              <w:t>r</w:t>
            </w:r>
            <w:r w:rsidRPr="003415CC">
              <w:rPr>
                <w:rFonts w:cs="Arial"/>
                <w:b w:val="0"/>
                <w:sz w:val="18"/>
                <w:szCs w:val="18"/>
              </w:rPr>
              <w:t>s</w:t>
            </w:r>
          </w:p>
          <w:p w14:paraId="0D8A316F" w14:textId="77777777" w:rsidR="0041160C" w:rsidRPr="003415CC" w:rsidRDefault="0041160C" w:rsidP="0041160C">
            <w:pPr>
              <w:pStyle w:val="IATableLabel"/>
              <w:jc w:val="right"/>
              <w:rPr>
                <w:rFonts w:cs="Arial"/>
              </w:rPr>
            </w:pPr>
            <w:r w:rsidRPr="003415CC">
              <w:rPr>
                <w:rFonts w:cs="Arial"/>
              </w:rPr>
              <w:br/>
            </w:r>
          </w:p>
        </w:tc>
        <w:tc>
          <w:tcPr>
            <w:tcW w:w="2865" w:type="dxa"/>
            <w:tcBorders>
              <w:bottom w:val="single" w:sz="6" w:space="0" w:color="auto"/>
              <w:right w:val="single" w:sz="12" w:space="0" w:color="auto"/>
            </w:tcBorders>
            <w:shd w:val="clear" w:color="auto" w:fill="auto"/>
          </w:tcPr>
          <w:p w14:paraId="099720DB" w14:textId="77777777" w:rsidR="0041160C" w:rsidRPr="003415CC" w:rsidRDefault="0041160C" w:rsidP="0041160C">
            <w:pPr>
              <w:pStyle w:val="IATableLabel"/>
              <w:jc w:val="right"/>
              <w:rPr>
                <w:rFonts w:cs="Arial"/>
                <w:bCs/>
              </w:rPr>
            </w:pPr>
            <w:r w:rsidRPr="003415CC">
              <w:rPr>
                <w:rFonts w:cs="Arial"/>
              </w:rPr>
              <w:t xml:space="preserve">Average Annual </w:t>
            </w:r>
            <w:r w:rsidRPr="003415CC">
              <w:rPr>
                <w:rFonts w:cs="Arial"/>
              </w:rPr>
              <w:br/>
            </w:r>
            <w:r w:rsidRPr="003415CC">
              <w:rPr>
                <w:rFonts w:cs="Arial"/>
                <w:b w:val="0"/>
                <w:sz w:val="18"/>
                <w:szCs w:val="18"/>
              </w:rPr>
              <w:t xml:space="preserve">(excl. Transition) </w:t>
            </w:r>
            <w:r w:rsidRPr="003415CC">
              <w:rPr>
                <w:rFonts w:cs="Arial"/>
                <w:b w:val="0"/>
                <w:bCs/>
                <w:sz w:val="18"/>
                <w:szCs w:val="18"/>
              </w:rPr>
              <w:t>(Constant Price)</w:t>
            </w:r>
          </w:p>
        </w:tc>
        <w:tc>
          <w:tcPr>
            <w:tcW w:w="2636" w:type="dxa"/>
            <w:gridSpan w:val="2"/>
            <w:tcBorders>
              <w:top w:val="single" w:sz="12" w:space="0" w:color="auto"/>
              <w:left w:val="single" w:sz="12" w:space="0" w:color="auto"/>
              <w:bottom w:val="single" w:sz="6" w:space="0" w:color="auto"/>
            </w:tcBorders>
            <w:shd w:val="clear" w:color="auto" w:fill="auto"/>
          </w:tcPr>
          <w:p w14:paraId="05D42783" w14:textId="77777777" w:rsidR="0041160C" w:rsidRPr="003415CC" w:rsidRDefault="0041160C" w:rsidP="0041160C">
            <w:pPr>
              <w:pStyle w:val="IATableLabel"/>
              <w:jc w:val="right"/>
              <w:rPr>
                <w:rFonts w:cs="Arial"/>
              </w:rPr>
            </w:pPr>
            <w:r w:rsidRPr="003415CC">
              <w:rPr>
                <w:rFonts w:cs="Arial"/>
              </w:rPr>
              <w:t>Total Benefit</w:t>
            </w:r>
            <w:r w:rsidRPr="003415CC">
              <w:rPr>
                <w:rFonts w:cs="Arial"/>
                <w:b w:val="0"/>
                <w:sz w:val="18"/>
                <w:szCs w:val="18"/>
              </w:rPr>
              <w:t xml:space="preserve"> </w:t>
            </w:r>
            <w:r w:rsidRPr="003415CC">
              <w:rPr>
                <w:rFonts w:cs="Arial"/>
                <w:b w:val="0"/>
                <w:sz w:val="18"/>
                <w:szCs w:val="18"/>
              </w:rPr>
              <w:br/>
              <w:t>(Present Value)</w:t>
            </w:r>
          </w:p>
        </w:tc>
      </w:tr>
      <w:tr w:rsidR="0041160C" w:rsidRPr="003415CC" w14:paraId="6E4A489B" w14:textId="77777777" w:rsidTr="0041160C">
        <w:trPr>
          <w:trHeight w:hRule="exact" w:val="348"/>
        </w:trPr>
        <w:tc>
          <w:tcPr>
            <w:tcW w:w="1995" w:type="dxa"/>
            <w:tcBorders>
              <w:top w:val="single" w:sz="6" w:space="0" w:color="auto"/>
              <w:bottom w:val="single" w:sz="6" w:space="0" w:color="auto"/>
            </w:tcBorders>
            <w:shd w:val="clear" w:color="auto" w:fill="auto"/>
            <w:vAlign w:val="center"/>
          </w:tcPr>
          <w:p w14:paraId="0E87EC56" w14:textId="77777777" w:rsidR="0041160C" w:rsidRPr="003415CC" w:rsidRDefault="0041160C" w:rsidP="0041160C">
            <w:pPr>
              <w:pStyle w:val="IATableLabel"/>
              <w:rPr>
                <w:rFonts w:cs="Arial"/>
              </w:rPr>
            </w:pPr>
            <w:r w:rsidRPr="003415CC">
              <w:rPr>
                <w:rFonts w:cs="Arial"/>
              </w:rPr>
              <w:t xml:space="preserve">Low </w:t>
            </w:r>
          </w:p>
        </w:tc>
        <w:tc>
          <w:tcPr>
            <w:tcW w:w="1949" w:type="dxa"/>
            <w:tcBorders>
              <w:top w:val="single" w:sz="6" w:space="0" w:color="auto"/>
              <w:bottom w:val="single" w:sz="6" w:space="0" w:color="auto"/>
            </w:tcBorders>
            <w:shd w:val="clear" w:color="auto" w:fill="auto"/>
            <w:vAlign w:val="center"/>
          </w:tcPr>
          <w:p w14:paraId="0F825378" w14:textId="77777777" w:rsidR="0041160C" w:rsidRPr="003415CC" w:rsidRDefault="000963A4" w:rsidP="0041160C">
            <w:pPr>
              <w:pStyle w:val="POTTBenLow"/>
              <w:rPr>
                <w:rFonts w:cs="Arial"/>
                <w:sz w:val="20"/>
              </w:rPr>
            </w:pPr>
            <w:r>
              <w:rPr>
                <w:rFonts w:cs="Arial"/>
                <w:sz w:val="20"/>
              </w:rPr>
              <w:t>0</w:t>
            </w:r>
          </w:p>
        </w:tc>
        <w:tc>
          <w:tcPr>
            <w:tcW w:w="790" w:type="dxa"/>
            <w:vMerge w:val="restart"/>
            <w:tcBorders>
              <w:top w:val="single" w:sz="6" w:space="0" w:color="auto"/>
            </w:tcBorders>
            <w:shd w:val="clear" w:color="auto" w:fill="auto"/>
            <w:vAlign w:val="center"/>
          </w:tcPr>
          <w:p w14:paraId="15C8ED3A" w14:textId="77777777" w:rsidR="0041160C" w:rsidRPr="003415CC" w:rsidRDefault="0041160C" w:rsidP="0041160C">
            <w:pPr>
              <w:pStyle w:val="IATableText"/>
              <w:jc w:val="center"/>
              <w:rPr>
                <w:rFonts w:cs="Arial"/>
                <w:sz w:val="20"/>
              </w:rPr>
            </w:pPr>
          </w:p>
        </w:tc>
        <w:tc>
          <w:tcPr>
            <w:tcW w:w="2865" w:type="dxa"/>
            <w:tcBorders>
              <w:top w:val="single" w:sz="6" w:space="0" w:color="auto"/>
              <w:bottom w:val="single" w:sz="6" w:space="0" w:color="auto"/>
              <w:right w:val="single" w:sz="12" w:space="0" w:color="auto"/>
            </w:tcBorders>
            <w:shd w:val="clear" w:color="auto" w:fill="auto"/>
            <w:vAlign w:val="center"/>
          </w:tcPr>
          <w:p w14:paraId="58417A40" w14:textId="77777777" w:rsidR="0041160C" w:rsidRPr="003415CC" w:rsidRDefault="000963A4" w:rsidP="0041160C">
            <w:pPr>
              <w:pStyle w:val="POAABenLow"/>
              <w:rPr>
                <w:rFonts w:cs="Arial"/>
                <w:sz w:val="20"/>
              </w:rPr>
            </w:pPr>
            <w:r>
              <w:rPr>
                <w:rFonts w:cs="Arial"/>
                <w:sz w:val="20"/>
              </w:rPr>
              <w:t>0</w:t>
            </w:r>
          </w:p>
        </w:tc>
        <w:tc>
          <w:tcPr>
            <w:tcW w:w="2636" w:type="dxa"/>
            <w:gridSpan w:val="2"/>
            <w:tcBorders>
              <w:top w:val="single" w:sz="6" w:space="0" w:color="auto"/>
              <w:left w:val="single" w:sz="12" w:space="0" w:color="auto"/>
              <w:bottom w:val="single" w:sz="6" w:space="0" w:color="auto"/>
            </w:tcBorders>
            <w:shd w:val="clear" w:color="auto" w:fill="auto"/>
            <w:vAlign w:val="center"/>
          </w:tcPr>
          <w:p w14:paraId="62FBBB38" w14:textId="77777777" w:rsidR="0041160C" w:rsidRPr="003415CC" w:rsidRDefault="000963A4" w:rsidP="0041160C">
            <w:pPr>
              <w:pStyle w:val="POTBBenLow"/>
              <w:rPr>
                <w:rFonts w:cs="Arial"/>
                <w:sz w:val="20"/>
              </w:rPr>
            </w:pPr>
            <w:r>
              <w:rPr>
                <w:rFonts w:cs="Arial"/>
                <w:sz w:val="20"/>
              </w:rPr>
              <w:t>0</w:t>
            </w:r>
          </w:p>
        </w:tc>
      </w:tr>
      <w:tr w:rsidR="0041160C" w:rsidRPr="003415CC" w14:paraId="1ADD5A5F" w14:textId="77777777" w:rsidTr="0041160C">
        <w:trPr>
          <w:trHeight w:hRule="exact" w:val="348"/>
        </w:trPr>
        <w:tc>
          <w:tcPr>
            <w:tcW w:w="1995" w:type="dxa"/>
            <w:tcBorders>
              <w:top w:val="single" w:sz="6" w:space="0" w:color="auto"/>
              <w:bottom w:val="single" w:sz="12" w:space="0" w:color="auto"/>
            </w:tcBorders>
            <w:shd w:val="clear" w:color="auto" w:fill="auto"/>
            <w:vAlign w:val="center"/>
          </w:tcPr>
          <w:p w14:paraId="32D0466A" w14:textId="77777777" w:rsidR="0041160C" w:rsidRPr="003415CC" w:rsidRDefault="0041160C" w:rsidP="0041160C">
            <w:pPr>
              <w:pStyle w:val="IATableLabel"/>
              <w:rPr>
                <w:rFonts w:cs="Arial"/>
              </w:rPr>
            </w:pPr>
            <w:r w:rsidRPr="003415CC">
              <w:rPr>
                <w:rFonts w:cs="Arial"/>
              </w:rPr>
              <w:t xml:space="preserve">High </w:t>
            </w:r>
          </w:p>
        </w:tc>
        <w:tc>
          <w:tcPr>
            <w:tcW w:w="1949" w:type="dxa"/>
            <w:tcBorders>
              <w:top w:val="single" w:sz="6" w:space="0" w:color="auto"/>
              <w:bottom w:val="single" w:sz="12" w:space="0" w:color="auto"/>
            </w:tcBorders>
            <w:shd w:val="clear" w:color="auto" w:fill="auto"/>
            <w:vAlign w:val="center"/>
          </w:tcPr>
          <w:p w14:paraId="7B2A1DC1" w14:textId="77777777" w:rsidR="0041160C" w:rsidRPr="003415CC" w:rsidRDefault="000963A4" w:rsidP="0041160C">
            <w:pPr>
              <w:pStyle w:val="POTTBenHigh"/>
              <w:rPr>
                <w:rFonts w:cs="Arial"/>
                <w:sz w:val="20"/>
              </w:rPr>
            </w:pPr>
            <w:r>
              <w:rPr>
                <w:rFonts w:cs="Arial"/>
                <w:sz w:val="20"/>
              </w:rPr>
              <w:t>0</w:t>
            </w:r>
          </w:p>
        </w:tc>
        <w:tc>
          <w:tcPr>
            <w:tcW w:w="790" w:type="dxa"/>
            <w:vMerge/>
            <w:shd w:val="clear" w:color="auto" w:fill="FFFFFF"/>
            <w:vAlign w:val="center"/>
          </w:tcPr>
          <w:p w14:paraId="19C47FBC" w14:textId="77777777" w:rsidR="0041160C" w:rsidRPr="003415CC" w:rsidRDefault="0041160C" w:rsidP="0041160C">
            <w:pPr>
              <w:pStyle w:val="IATableText"/>
              <w:jc w:val="right"/>
              <w:rPr>
                <w:rFonts w:cs="Arial"/>
                <w:sz w:val="20"/>
              </w:rPr>
            </w:pPr>
          </w:p>
        </w:tc>
        <w:tc>
          <w:tcPr>
            <w:tcW w:w="2865" w:type="dxa"/>
            <w:tcBorders>
              <w:top w:val="single" w:sz="6" w:space="0" w:color="auto"/>
              <w:bottom w:val="single" w:sz="12" w:space="0" w:color="auto"/>
              <w:right w:val="single" w:sz="12" w:space="0" w:color="auto"/>
            </w:tcBorders>
            <w:shd w:val="clear" w:color="auto" w:fill="auto"/>
            <w:vAlign w:val="center"/>
          </w:tcPr>
          <w:p w14:paraId="22650420" w14:textId="77777777" w:rsidR="0041160C" w:rsidRPr="003415CC" w:rsidRDefault="000963A4" w:rsidP="0041160C">
            <w:pPr>
              <w:pStyle w:val="POAABenHigh"/>
              <w:rPr>
                <w:rFonts w:cs="Arial"/>
                <w:sz w:val="20"/>
              </w:rPr>
            </w:pPr>
            <w:r>
              <w:rPr>
                <w:rFonts w:cs="Arial"/>
                <w:sz w:val="20"/>
              </w:rPr>
              <w:t>0</w:t>
            </w:r>
          </w:p>
        </w:tc>
        <w:tc>
          <w:tcPr>
            <w:tcW w:w="2636" w:type="dxa"/>
            <w:gridSpan w:val="2"/>
            <w:tcBorders>
              <w:top w:val="single" w:sz="6" w:space="0" w:color="auto"/>
              <w:left w:val="single" w:sz="12" w:space="0" w:color="auto"/>
              <w:bottom w:val="single" w:sz="12" w:space="0" w:color="auto"/>
            </w:tcBorders>
            <w:shd w:val="clear" w:color="auto" w:fill="auto"/>
            <w:vAlign w:val="center"/>
          </w:tcPr>
          <w:p w14:paraId="185BF547" w14:textId="77777777" w:rsidR="0041160C" w:rsidRPr="003415CC" w:rsidRDefault="000963A4" w:rsidP="0041160C">
            <w:pPr>
              <w:pStyle w:val="POTBBenHigh"/>
              <w:rPr>
                <w:rFonts w:cs="Arial"/>
                <w:sz w:val="20"/>
              </w:rPr>
            </w:pPr>
            <w:r>
              <w:rPr>
                <w:rFonts w:cs="Arial"/>
                <w:sz w:val="20"/>
              </w:rPr>
              <w:t>0</w:t>
            </w:r>
          </w:p>
        </w:tc>
      </w:tr>
      <w:tr w:rsidR="0041160C" w:rsidRPr="003415CC" w14:paraId="418C9FEA" w14:textId="77777777" w:rsidTr="0041160C">
        <w:trPr>
          <w:trHeight w:hRule="exact" w:val="348"/>
        </w:trPr>
        <w:tc>
          <w:tcPr>
            <w:tcW w:w="1995" w:type="dxa"/>
            <w:tcBorders>
              <w:top w:val="single" w:sz="12" w:space="0" w:color="auto"/>
              <w:bottom w:val="single" w:sz="12" w:space="0" w:color="auto"/>
              <w:right w:val="single" w:sz="12" w:space="0" w:color="auto"/>
            </w:tcBorders>
            <w:shd w:val="clear" w:color="auto" w:fill="FFFFFF"/>
            <w:vAlign w:val="center"/>
          </w:tcPr>
          <w:p w14:paraId="38E09D1E" w14:textId="77777777" w:rsidR="0041160C" w:rsidRPr="003415CC" w:rsidRDefault="0041160C" w:rsidP="0041160C">
            <w:pPr>
              <w:pStyle w:val="IATableLabel"/>
              <w:rPr>
                <w:rFonts w:cs="Arial"/>
              </w:rPr>
            </w:pPr>
            <w:r w:rsidRPr="003415CC">
              <w:rPr>
                <w:rFonts w:cs="Arial"/>
              </w:rPr>
              <w:t>Best Estimate</w:t>
            </w:r>
          </w:p>
          <w:p w14:paraId="1BF860FE" w14:textId="77777777" w:rsidR="0041160C" w:rsidRPr="003415CC" w:rsidRDefault="0041160C" w:rsidP="0041160C">
            <w:pPr>
              <w:pStyle w:val="IATableNotes"/>
              <w:spacing w:beforeLines="40" w:before="96"/>
              <w:ind w:left="0" w:right="-22"/>
              <w:jc w:val="center"/>
              <w:rPr>
                <w:rFonts w:cs="Arial"/>
                <w:b/>
                <w:sz w:val="20"/>
              </w:rPr>
            </w:pPr>
          </w:p>
        </w:tc>
        <w:tc>
          <w:tcPr>
            <w:tcW w:w="1949" w:type="dxa"/>
            <w:tcBorders>
              <w:top w:val="single" w:sz="12" w:space="0" w:color="auto"/>
              <w:left w:val="single" w:sz="12" w:space="0" w:color="auto"/>
              <w:bottom w:val="single" w:sz="12" w:space="0" w:color="auto"/>
              <w:right w:val="single" w:sz="12" w:space="0" w:color="auto"/>
            </w:tcBorders>
            <w:shd w:val="clear" w:color="auto" w:fill="FFFFFF"/>
            <w:vAlign w:val="center"/>
          </w:tcPr>
          <w:p w14:paraId="22ADA2A1" w14:textId="77777777" w:rsidR="0041160C" w:rsidRPr="009D5978" w:rsidRDefault="009D5978" w:rsidP="009D5978">
            <w:pPr>
              <w:pStyle w:val="POTTBenBest"/>
              <w:rPr>
                <w:rFonts w:cs="Arial"/>
                <w:sz w:val="20"/>
              </w:rPr>
            </w:pPr>
            <w:r>
              <w:rPr>
                <w:rFonts w:cs="Arial"/>
                <w:sz w:val="20"/>
              </w:rPr>
              <w:t>0</w:t>
            </w:r>
          </w:p>
        </w:tc>
        <w:tc>
          <w:tcPr>
            <w:tcW w:w="790" w:type="dxa"/>
            <w:vMerge/>
            <w:tcBorders>
              <w:left w:val="single" w:sz="12" w:space="0" w:color="auto"/>
              <w:right w:val="single" w:sz="12" w:space="0" w:color="auto"/>
            </w:tcBorders>
            <w:shd w:val="clear" w:color="auto" w:fill="FFFFFF"/>
            <w:vAlign w:val="center"/>
          </w:tcPr>
          <w:p w14:paraId="7A44B05C" w14:textId="77777777" w:rsidR="0041160C" w:rsidRPr="003415CC" w:rsidRDefault="0041160C" w:rsidP="0041160C">
            <w:pPr>
              <w:pStyle w:val="IATableText"/>
              <w:jc w:val="right"/>
              <w:rPr>
                <w:rFonts w:cs="Arial"/>
                <w:sz w:val="20"/>
              </w:rPr>
            </w:pPr>
          </w:p>
        </w:tc>
        <w:tc>
          <w:tcPr>
            <w:tcW w:w="2865" w:type="dxa"/>
            <w:tcBorders>
              <w:top w:val="single" w:sz="12" w:space="0" w:color="auto"/>
              <w:left w:val="single" w:sz="12" w:space="0" w:color="auto"/>
              <w:bottom w:val="single" w:sz="12" w:space="0" w:color="auto"/>
              <w:right w:val="single" w:sz="12" w:space="0" w:color="auto"/>
            </w:tcBorders>
            <w:shd w:val="clear" w:color="auto" w:fill="FFFFFF"/>
            <w:vAlign w:val="center"/>
          </w:tcPr>
          <w:p w14:paraId="382EAA44" w14:textId="77777777" w:rsidR="0041160C" w:rsidRPr="009D5978" w:rsidRDefault="009D5978" w:rsidP="009D5978">
            <w:pPr>
              <w:pStyle w:val="POAABenBest"/>
              <w:rPr>
                <w:rFonts w:cs="Arial"/>
                <w:sz w:val="20"/>
              </w:rPr>
            </w:pPr>
            <w:r>
              <w:rPr>
                <w:rFonts w:cs="Arial"/>
                <w:sz w:val="20"/>
              </w:rPr>
              <w:t>0</w:t>
            </w:r>
          </w:p>
        </w:tc>
        <w:tc>
          <w:tcPr>
            <w:tcW w:w="2636" w:type="dxa"/>
            <w:gridSpan w:val="2"/>
            <w:tcBorders>
              <w:top w:val="single" w:sz="12" w:space="0" w:color="auto"/>
              <w:left w:val="single" w:sz="12" w:space="0" w:color="auto"/>
              <w:bottom w:val="single" w:sz="12" w:space="0" w:color="auto"/>
            </w:tcBorders>
            <w:shd w:val="clear" w:color="auto" w:fill="FFFFFF"/>
            <w:vAlign w:val="center"/>
          </w:tcPr>
          <w:p w14:paraId="7146BB4E" w14:textId="77777777" w:rsidR="0041160C" w:rsidRPr="009D5978" w:rsidRDefault="000963A4" w:rsidP="009D5978">
            <w:pPr>
              <w:pStyle w:val="POTBBenBest"/>
              <w:rPr>
                <w:rFonts w:cs="Arial"/>
                <w:sz w:val="20"/>
              </w:rPr>
            </w:pPr>
            <w:r>
              <w:rPr>
                <w:rFonts w:cs="Arial"/>
                <w:sz w:val="20"/>
              </w:rPr>
              <w:t>0</w:t>
            </w:r>
          </w:p>
        </w:tc>
      </w:tr>
      <w:tr w:rsidR="0041160C" w:rsidRPr="003415CC" w14:paraId="01CBBA50" w14:textId="77777777" w:rsidTr="00386188">
        <w:trPr>
          <w:trHeight w:hRule="exact" w:val="809"/>
        </w:trPr>
        <w:tc>
          <w:tcPr>
            <w:tcW w:w="10235" w:type="dxa"/>
            <w:gridSpan w:val="6"/>
            <w:shd w:val="clear" w:color="auto" w:fill="auto"/>
          </w:tcPr>
          <w:p w14:paraId="4ADFA228" w14:textId="77777777" w:rsidR="0041160C" w:rsidRPr="003415CC" w:rsidRDefault="0041160C" w:rsidP="0041160C">
            <w:pPr>
              <w:pStyle w:val="IPPOQ3"/>
              <w:rPr>
                <w:rFonts w:cs="Arial"/>
                <w:szCs w:val="22"/>
              </w:rPr>
            </w:pPr>
            <w:r w:rsidRPr="003415CC">
              <w:rPr>
                <w:rFonts w:cs="Arial"/>
              </w:rPr>
              <w:t xml:space="preserve">Description and scale of key monetised benefits by ‘main affected groups’ </w:t>
            </w:r>
          </w:p>
          <w:p w14:paraId="005CC3AF" w14:textId="77777777" w:rsidR="0041160C" w:rsidRPr="00C433F6" w:rsidRDefault="00C433F6" w:rsidP="0041160C">
            <w:pPr>
              <w:pStyle w:val="IAPOA3"/>
              <w:rPr>
                <w:rFonts w:cs="Arial"/>
              </w:rPr>
            </w:pPr>
            <w:r>
              <w:rPr>
                <w:rFonts w:cs="Arial"/>
              </w:rPr>
              <w:t>There are no estimated monetised benefits.</w:t>
            </w:r>
          </w:p>
        </w:tc>
      </w:tr>
      <w:tr w:rsidR="0041160C" w:rsidRPr="003415CC" w14:paraId="186FF1A7" w14:textId="77777777" w:rsidTr="0041160C">
        <w:trPr>
          <w:trHeight w:hRule="exact" w:val="1701"/>
        </w:trPr>
        <w:tc>
          <w:tcPr>
            <w:tcW w:w="10235" w:type="dxa"/>
            <w:gridSpan w:val="6"/>
            <w:shd w:val="clear" w:color="auto" w:fill="auto"/>
          </w:tcPr>
          <w:p w14:paraId="7FB74934" w14:textId="77777777" w:rsidR="0041160C" w:rsidRPr="003415CC" w:rsidRDefault="0041160C" w:rsidP="0041160C">
            <w:pPr>
              <w:pStyle w:val="IAPOQ4"/>
              <w:rPr>
                <w:rFonts w:cs="Arial"/>
                <w:szCs w:val="22"/>
              </w:rPr>
            </w:pPr>
            <w:r w:rsidRPr="003415CC">
              <w:rPr>
                <w:rFonts w:cs="Arial"/>
              </w:rPr>
              <w:t xml:space="preserve">Other key non-monetised benefits by ‘main affected groups’ </w:t>
            </w:r>
          </w:p>
          <w:p w14:paraId="35805CAC" w14:textId="77777777" w:rsidR="0041160C" w:rsidRPr="00362DAF" w:rsidRDefault="0041160C" w:rsidP="000A7981">
            <w:pPr>
              <w:pStyle w:val="IAPOA4"/>
              <w:jc w:val="both"/>
              <w:rPr>
                <w:rFonts w:cs="Arial"/>
                <w:b/>
              </w:rPr>
            </w:pPr>
            <w:r w:rsidRPr="00362DAF">
              <w:rPr>
                <w:rFonts w:cs="Arial"/>
              </w:rPr>
              <w:fldChar w:fldCharType="begin">
                <w:ffData>
                  <w:name w:val=""/>
                  <w:enabled/>
                  <w:calcOnExit w:val="0"/>
                  <w:textInput>
                    <w:default w:val="Maximum of 5 lines"/>
                    <w:maxLength w:val="500"/>
                  </w:textInput>
                </w:ffData>
              </w:fldChar>
            </w:r>
            <w:r w:rsidRPr="003415CC">
              <w:rPr>
                <w:rFonts w:cs="Arial"/>
              </w:rPr>
              <w:instrText xml:space="preserve"> FORMTEXT </w:instrText>
            </w:r>
            <w:r w:rsidRPr="00362DAF">
              <w:rPr>
                <w:rFonts w:cs="Arial"/>
              </w:rPr>
            </w:r>
            <w:r w:rsidRPr="00362DAF">
              <w:rPr>
                <w:rFonts w:cs="Arial"/>
              </w:rPr>
              <w:fldChar w:fldCharType="separate"/>
            </w:r>
            <w:r w:rsidRPr="00362DAF">
              <w:rPr>
                <w:rFonts w:cs="Arial"/>
              </w:rPr>
              <w:t xml:space="preserve">Better </w:t>
            </w:r>
            <w:r w:rsidR="00672163">
              <w:rPr>
                <w:rFonts w:cs="Arial"/>
              </w:rPr>
              <w:t xml:space="preserve">non-financial </w:t>
            </w:r>
            <w:r w:rsidRPr="00362DAF">
              <w:rPr>
                <w:rFonts w:cs="Arial"/>
              </w:rPr>
              <w:t>information would be made available to stakeholders of quoted</w:t>
            </w:r>
            <w:r w:rsidR="00672163">
              <w:rPr>
                <w:rFonts w:cs="Arial"/>
              </w:rPr>
              <w:t>,</w:t>
            </w:r>
            <w:r w:rsidRPr="00362DAF">
              <w:rPr>
                <w:rFonts w:cs="Arial"/>
              </w:rPr>
              <w:t xml:space="preserve"> as well as unquoted</w:t>
            </w:r>
            <w:r w:rsidR="00672163">
              <w:rPr>
                <w:rFonts w:cs="Arial"/>
              </w:rPr>
              <w:t>,</w:t>
            </w:r>
            <w:r w:rsidRPr="00362DAF">
              <w:rPr>
                <w:rFonts w:cs="Arial"/>
              </w:rPr>
              <w:t xml:space="preserve"> PIEs helping investors to make more informed investment decisions. The increased transparency and accountability would encourage companies to better assess non-financial</w:t>
            </w:r>
            <w:r w:rsidRPr="00FB3819">
              <w:rPr>
                <w:rFonts w:cs="Arial"/>
              </w:rPr>
              <w:t xml:space="preserve"> risks and opportunities and incorporate this into their business strategies and models. Using an EU-wide framework would further enhance the impact and comparability of the information for producers and users of company reports. </w:t>
            </w:r>
            <w:r w:rsidRPr="00362DAF">
              <w:rPr>
                <w:rFonts w:cs="Arial"/>
              </w:rPr>
              <w:fldChar w:fldCharType="end"/>
            </w:r>
          </w:p>
        </w:tc>
      </w:tr>
      <w:tr w:rsidR="0041160C" w:rsidRPr="003415CC" w14:paraId="6CF84418" w14:textId="77777777" w:rsidTr="0041160C">
        <w:trPr>
          <w:trHeight w:hRule="exact" w:val="346"/>
        </w:trPr>
        <w:tc>
          <w:tcPr>
            <w:tcW w:w="9375" w:type="dxa"/>
            <w:gridSpan w:val="5"/>
            <w:tcBorders>
              <w:top w:val="single" w:sz="6" w:space="0" w:color="auto"/>
              <w:bottom w:val="nil"/>
            </w:tcBorders>
            <w:shd w:val="clear" w:color="auto" w:fill="auto"/>
          </w:tcPr>
          <w:p w14:paraId="19964BDE" w14:textId="77777777" w:rsidR="0041160C" w:rsidRPr="003415CC" w:rsidRDefault="0041160C" w:rsidP="0041160C">
            <w:pPr>
              <w:pStyle w:val="IATableLabel"/>
              <w:tabs>
                <w:tab w:val="left" w:pos="7655"/>
              </w:tabs>
              <w:rPr>
                <w:rFonts w:cs="Arial"/>
              </w:rPr>
            </w:pPr>
            <w:r w:rsidRPr="003415CC">
              <w:rPr>
                <w:rStyle w:val="IAPOQ5Char"/>
                <w:rFonts w:cs="Arial"/>
                <w:b/>
              </w:rPr>
              <w:t>Key assumptions/sensitivities/risks</w:t>
            </w:r>
            <w:r w:rsidRPr="003415CC">
              <w:rPr>
                <w:rFonts w:cs="Arial"/>
              </w:rPr>
              <w:tab/>
              <w:t>Discount rate (%)</w:t>
            </w:r>
          </w:p>
          <w:p w14:paraId="35E93FF7" w14:textId="77777777" w:rsidR="0041160C" w:rsidRPr="003415CC" w:rsidRDefault="0041160C" w:rsidP="0041160C">
            <w:pPr>
              <w:pStyle w:val="IATableLabel"/>
              <w:rPr>
                <w:rFonts w:cs="Arial"/>
              </w:rPr>
            </w:pPr>
          </w:p>
        </w:tc>
        <w:tc>
          <w:tcPr>
            <w:tcW w:w="860" w:type="dxa"/>
            <w:tcBorders>
              <w:top w:val="single" w:sz="6" w:space="0" w:color="auto"/>
              <w:bottom w:val="single" w:sz="4" w:space="0" w:color="auto"/>
            </w:tcBorders>
            <w:shd w:val="clear" w:color="auto" w:fill="auto"/>
          </w:tcPr>
          <w:p w14:paraId="5047C909" w14:textId="77777777" w:rsidR="0041160C" w:rsidRPr="003415CC" w:rsidRDefault="0041160C" w:rsidP="0041160C">
            <w:pPr>
              <w:pStyle w:val="IAPODisRate"/>
              <w:rPr>
                <w:rFonts w:cs="Arial"/>
              </w:rPr>
            </w:pPr>
            <w:r w:rsidRPr="003415CC">
              <w:rPr>
                <w:rFonts w:cs="Arial"/>
              </w:rPr>
              <w:fldChar w:fldCharType="begin">
                <w:ffData>
                  <w:name w:val=""/>
                  <w:enabled/>
                  <w:calcOnExit w:val="0"/>
                  <w:textInput>
                    <w:maxLength w:val="5"/>
                  </w:textInput>
                </w:ffData>
              </w:fldChar>
            </w:r>
            <w:r w:rsidRPr="003415CC">
              <w:rPr>
                <w:rFonts w:cs="Arial"/>
              </w:rPr>
              <w:instrText xml:space="preserve"> FORMTEXT </w:instrText>
            </w:r>
            <w:r w:rsidRPr="003415CC">
              <w:rPr>
                <w:rFonts w:cs="Arial"/>
              </w:rPr>
            </w:r>
            <w:r w:rsidRPr="003415CC">
              <w:rPr>
                <w:rFonts w:cs="Arial"/>
              </w:rPr>
              <w:fldChar w:fldCharType="separate"/>
            </w:r>
            <w:r w:rsidRPr="003415CC">
              <w:rPr>
                <w:rFonts w:cs="Arial"/>
                <w:noProof/>
              </w:rPr>
              <w:t>3.5</w:t>
            </w:r>
            <w:r w:rsidRPr="003415CC">
              <w:rPr>
                <w:rFonts w:cs="Arial"/>
              </w:rPr>
              <w:fldChar w:fldCharType="end"/>
            </w:r>
          </w:p>
        </w:tc>
      </w:tr>
      <w:tr w:rsidR="0041160C" w:rsidRPr="003415CC" w14:paraId="7B0B755C" w14:textId="77777777" w:rsidTr="0041160C">
        <w:trPr>
          <w:trHeight w:hRule="exact" w:val="1375"/>
        </w:trPr>
        <w:tc>
          <w:tcPr>
            <w:tcW w:w="10235" w:type="dxa"/>
            <w:gridSpan w:val="6"/>
            <w:tcBorders>
              <w:top w:val="nil"/>
              <w:bottom w:val="single" w:sz="12" w:space="0" w:color="auto"/>
            </w:tcBorders>
            <w:shd w:val="clear" w:color="auto" w:fill="auto"/>
          </w:tcPr>
          <w:p w14:paraId="0B594728" w14:textId="77777777" w:rsidR="0041160C" w:rsidRPr="00362DAF" w:rsidRDefault="00297DD1" w:rsidP="000A7981">
            <w:pPr>
              <w:pStyle w:val="IAPOA5"/>
              <w:numPr>
                <w:ilvl w:val="0"/>
                <w:numId w:val="50"/>
              </w:numPr>
              <w:jc w:val="both"/>
              <w:rPr>
                <w:rFonts w:cs="Arial"/>
              </w:rPr>
            </w:pPr>
            <w:r>
              <w:t>We use information available on the FAME database to estimate the numbers of reporting and subsidiary companies affected and quantified costs using the interim results of a bespoke survey and ASHE data to estimate the resource costs to PIEs and their subsidiaries.</w:t>
            </w:r>
          </w:p>
        </w:tc>
      </w:tr>
    </w:tbl>
    <w:p w14:paraId="01A25498" w14:textId="77777777" w:rsidR="0041160C" w:rsidRPr="00362DAF" w:rsidRDefault="0041160C" w:rsidP="0041160C">
      <w:pPr>
        <w:pStyle w:val="IASpacer"/>
        <w:rPr>
          <w:rFonts w:cs="Arial"/>
        </w:rPr>
      </w:pPr>
    </w:p>
    <w:p w14:paraId="4B93FC99" w14:textId="77777777" w:rsidR="0041160C" w:rsidRPr="00FB3819" w:rsidRDefault="0041160C" w:rsidP="0041160C">
      <w:pPr>
        <w:pStyle w:val="IAHeadLabel"/>
        <w:spacing w:before="50"/>
        <w:rPr>
          <w:rFonts w:cs="Arial"/>
        </w:rPr>
      </w:pPr>
      <w:r w:rsidRPr="00FB3819">
        <w:rPr>
          <w:rFonts w:cs="Arial"/>
        </w:rPr>
        <w:t xml:space="preserve">BUSINESS ASSESSMENT (Option </w:t>
      </w:r>
      <w:r w:rsidR="00F56B5F" w:rsidRPr="00FB3819">
        <w:rPr>
          <w:rFonts w:cs="Arial"/>
        </w:rPr>
        <w:t>2</w:t>
      </w:r>
      <w:r w:rsidRPr="00FB3819">
        <w:rPr>
          <w:rFonts w:cs="Arial"/>
        </w:rPr>
        <w:t>)</w:t>
      </w:r>
    </w:p>
    <w:tbl>
      <w:tblPr>
        <w:tblW w:w="5000" w:type="pct"/>
        <w:tblBorders>
          <w:top w:val="single" w:sz="4" w:space="0" w:color="auto"/>
          <w:left w:val="single" w:sz="4" w:space="0" w:color="auto"/>
          <w:bottom w:val="single" w:sz="4" w:space="0" w:color="auto"/>
          <w:right w:val="single" w:sz="4" w:space="0" w:color="auto"/>
        </w:tblBorders>
        <w:tblLayout w:type="fixed"/>
        <w:tblCellMar>
          <w:left w:w="0" w:type="dxa"/>
          <w:right w:w="0" w:type="dxa"/>
        </w:tblCellMar>
        <w:tblLook w:val="01E0" w:firstRow="1" w:lastRow="1" w:firstColumn="1" w:lastColumn="1" w:noHBand="0" w:noVBand="0"/>
      </w:tblPr>
      <w:tblGrid>
        <w:gridCol w:w="1848"/>
        <w:gridCol w:w="1843"/>
        <w:gridCol w:w="1701"/>
        <w:gridCol w:w="4823"/>
      </w:tblGrid>
      <w:tr w:rsidR="0041160C" w:rsidRPr="003415CC" w14:paraId="59214B9C" w14:textId="77777777" w:rsidTr="0041160C">
        <w:trPr>
          <w:trHeight w:hRule="exact" w:val="384"/>
        </w:trPr>
        <w:tc>
          <w:tcPr>
            <w:tcW w:w="5392" w:type="dxa"/>
            <w:gridSpan w:val="3"/>
            <w:tcBorders>
              <w:top w:val="single" w:sz="4" w:space="0" w:color="auto"/>
              <w:bottom w:val="nil"/>
              <w:right w:val="single" w:sz="4" w:space="0" w:color="auto"/>
            </w:tcBorders>
          </w:tcPr>
          <w:p w14:paraId="074E47F6" w14:textId="77777777" w:rsidR="0041160C" w:rsidRPr="003415CC" w:rsidRDefault="0041160C" w:rsidP="0041160C">
            <w:pPr>
              <w:pStyle w:val="IATableLabel"/>
              <w:rPr>
                <w:rFonts w:cs="Arial"/>
              </w:rPr>
            </w:pPr>
            <w:r w:rsidRPr="00EB7A0C">
              <w:rPr>
                <w:rFonts w:cs="Arial"/>
              </w:rPr>
              <w:t xml:space="preserve">Direct impact on </w:t>
            </w:r>
            <w:r w:rsidRPr="00BA6CA2">
              <w:rPr>
                <w:rFonts w:cs="Arial"/>
              </w:rPr>
              <w:t>business (Equivalent Annual) £m</w:t>
            </w:r>
            <w:r w:rsidRPr="003415CC">
              <w:rPr>
                <w:rFonts w:cs="Arial"/>
              </w:rPr>
              <w:t xml:space="preserve">: </w:t>
            </w:r>
          </w:p>
        </w:tc>
        <w:tc>
          <w:tcPr>
            <w:tcW w:w="4823" w:type="dxa"/>
            <w:vMerge w:val="restart"/>
            <w:tcBorders>
              <w:top w:val="single" w:sz="4" w:space="0" w:color="auto"/>
              <w:left w:val="single" w:sz="4" w:space="0" w:color="auto"/>
              <w:right w:val="single" w:sz="4" w:space="0" w:color="auto"/>
            </w:tcBorders>
          </w:tcPr>
          <w:p w14:paraId="612B6728" w14:textId="77777777" w:rsidR="0041160C" w:rsidRPr="003415CC" w:rsidRDefault="0041160C" w:rsidP="0041160C">
            <w:pPr>
              <w:pStyle w:val="IATableLabel"/>
              <w:rPr>
                <w:rFonts w:cs="Arial"/>
              </w:rPr>
            </w:pPr>
            <w:r w:rsidRPr="003415CC">
              <w:rPr>
                <w:rFonts w:cs="Arial"/>
              </w:rPr>
              <w:t>Score for Business Impact Target (qualifying provisions only) £m:</w:t>
            </w:r>
          </w:p>
        </w:tc>
      </w:tr>
      <w:tr w:rsidR="0041160C" w:rsidRPr="003415CC" w14:paraId="426A418E" w14:textId="77777777" w:rsidTr="0041160C">
        <w:trPr>
          <w:trHeight w:hRule="exact" w:val="340"/>
        </w:trPr>
        <w:tc>
          <w:tcPr>
            <w:tcW w:w="1848" w:type="dxa"/>
            <w:vMerge w:val="restart"/>
            <w:tcBorders>
              <w:top w:val="nil"/>
              <w:right w:val="single" w:sz="4" w:space="0" w:color="auto"/>
            </w:tcBorders>
            <w:shd w:val="clear" w:color="auto" w:fill="FFFFFF"/>
          </w:tcPr>
          <w:p w14:paraId="6D5E96F5" w14:textId="77777777" w:rsidR="0041160C" w:rsidRPr="003415CC" w:rsidRDefault="0041160C" w:rsidP="006368D9">
            <w:pPr>
              <w:pStyle w:val="IATableLabel"/>
              <w:rPr>
                <w:rFonts w:cs="Arial"/>
              </w:rPr>
            </w:pPr>
            <w:r w:rsidRPr="003415CC">
              <w:rPr>
                <w:rFonts w:cs="Arial"/>
              </w:rPr>
              <w:t xml:space="preserve">Costs: </w:t>
            </w:r>
            <w:r w:rsidR="005F1ED0">
              <w:rPr>
                <w:rStyle w:val="IAPODICostChar"/>
                <w:rFonts w:cs="Arial"/>
                <w:sz w:val="20"/>
                <w:szCs w:val="20"/>
              </w:rPr>
              <w:t>11.6</w:t>
            </w:r>
          </w:p>
        </w:tc>
        <w:tc>
          <w:tcPr>
            <w:tcW w:w="1843" w:type="dxa"/>
            <w:vMerge w:val="restart"/>
            <w:tcBorders>
              <w:top w:val="nil"/>
              <w:right w:val="single" w:sz="4" w:space="0" w:color="auto"/>
            </w:tcBorders>
            <w:shd w:val="clear" w:color="auto" w:fill="FFFFFF"/>
          </w:tcPr>
          <w:p w14:paraId="60D2156F" w14:textId="77777777" w:rsidR="0041160C" w:rsidRPr="003415CC" w:rsidRDefault="0041160C" w:rsidP="0041160C">
            <w:pPr>
              <w:pStyle w:val="IATableLabel"/>
              <w:rPr>
                <w:rFonts w:cs="Arial"/>
              </w:rPr>
            </w:pPr>
            <w:r w:rsidRPr="003415CC">
              <w:rPr>
                <w:rFonts w:cs="Arial"/>
              </w:rPr>
              <w:t xml:space="preserve">Benefits: </w:t>
            </w:r>
            <w:r w:rsidRPr="003415CC">
              <w:rPr>
                <w:rStyle w:val="IAPODIBenChar"/>
                <w:rFonts w:cs="Arial"/>
                <w:sz w:val="20"/>
                <w:szCs w:val="20"/>
              </w:rPr>
              <w:fldChar w:fldCharType="begin">
                <w:ffData>
                  <w:name w:val="Text68"/>
                  <w:enabled/>
                  <w:calcOnExit w:val="0"/>
                  <w:textInput>
                    <w:maxLength w:val="9"/>
                  </w:textInput>
                </w:ffData>
              </w:fldChar>
            </w:r>
            <w:r w:rsidRPr="003415CC">
              <w:rPr>
                <w:rStyle w:val="IAPODIBenChar"/>
                <w:rFonts w:cs="Arial"/>
                <w:sz w:val="20"/>
                <w:szCs w:val="20"/>
              </w:rPr>
              <w:instrText xml:space="preserve"> FORMTEXT </w:instrText>
            </w:r>
            <w:r w:rsidRPr="003415CC">
              <w:rPr>
                <w:rStyle w:val="IAPODIBenChar"/>
                <w:rFonts w:cs="Arial"/>
                <w:sz w:val="20"/>
                <w:szCs w:val="20"/>
              </w:rPr>
            </w:r>
            <w:r w:rsidRPr="003415CC">
              <w:rPr>
                <w:rStyle w:val="IAPODIBenChar"/>
                <w:rFonts w:cs="Arial"/>
                <w:sz w:val="20"/>
                <w:szCs w:val="20"/>
              </w:rPr>
              <w:fldChar w:fldCharType="separate"/>
            </w:r>
            <w:r w:rsidRPr="003415CC">
              <w:rPr>
                <w:rStyle w:val="IAPODIBenChar"/>
                <w:rFonts w:cs="Arial"/>
                <w:noProof/>
                <w:sz w:val="20"/>
                <w:szCs w:val="20"/>
              </w:rPr>
              <w:t> </w:t>
            </w:r>
            <w:r w:rsidRPr="003415CC">
              <w:rPr>
                <w:rStyle w:val="IAPODIBenChar"/>
                <w:rFonts w:cs="Arial"/>
                <w:noProof/>
                <w:sz w:val="20"/>
                <w:szCs w:val="20"/>
              </w:rPr>
              <w:t> </w:t>
            </w:r>
            <w:r w:rsidRPr="003415CC">
              <w:rPr>
                <w:rStyle w:val="IAPODIBenChar"/>
                <w:rFonts w:cs="Arial"/>
                <w:noProof/>
                <w:sz w:val="20"/>
                <w:szCs w:val="20"/>
              </w:rPr>
              <w:t> </w:t>
            </w:r>
            <w:r w:rsidRPr="003415CC">
              <w:rPr>
                <w:rStyle w:val="IAPODIBenChar"/>
                <w:rFonts w:cs="Arial"/>
                <w:noProof/>
                <w:sz w:val="20"/>
                <w:szCs w:val="20"/>
              </w:rPr>
              <w:t> </w:t>
            </w:r>
            <w:r w:rsidRPr="003415CC">
              <w:rPr>
                <w:rStyle w:val="IAPODIBenChar"/>
                <w:rFonts w:cs="Arial"/>
                <w:noProof/>
                <w:sz w:val="20"/>
                <w:szCs w:val="20"/>
              </w:rPr>
              <w:t> </w:t>
            </w:r>
            <w:r w:rsidRPr="003415CC">
              <w:rPr>
                <w:rStyle w:val="IAPODIBenChar"/>
                <w:rFonts w:cs="Arial"/>
                <w:sz w:val="20"/>
                <w:szCs w:val="20"/>
              </w:rPr>
              <w:fldChar w:fldCharType="end"/>
            </w:r>
          </w:p>
        </w:tc>
        <w:tc>
          <w:tcPr>
            <w:tcW w:w="1701" w:type="dxa"/>
            <w:vMerge w:val="restart"/>
            <w:tcBorders>
              <w:top w:val="nil"/>
              <w:right w:val="single" w:sz="4" w:space="0" w:color="auto"/>
            </w:tcBorders>
            <w:shd w:val="clear" w:color="auto" w:fill="FFFFFF"/>
          </w:tcPr>
          <w:p w14:paraId="768D3AD5" w14:textId="77777777" w:rsidR="0041160C" w:rsidRPr="003415CC" w:rsidRDefault="0041160C" w:rsidP="006368D9">
            <w:pPr>
              <w:pStyle w:val="IATableLabel"/>
              <w:rPr>
                <w:rFonts w:cs="Arial"/>
              </w:rPr>
            </w:pPr>
            <w:r w:rsidRPr="003415CC">
              <w:rPr>
                <w:rFonts w:cs="Arial"/>
              </w:rPr>
              <w:t xml:space="preserve">Net: </w:t>
            </w:r>
            <w:r w:rsidR="006368D9">
              <w:rPr>
                <w:rStyle w:val="IAPODINetChar"/>
              </w:rPr>
              <w:t>-</w:t>
            </w:r>
            <w:r w:rsidR="005F1ED0">
              <w:rPr>
                <w:rStyle w:val="IAPODINetChar"/>
              </w:rPr>
              <w:t>11.6</w:t>
            </w:r>
          </w:p>
        </w:tc>
        <w:tc>
          <w:tcPr>
            <w:tcW w:w="4823" w:type="dxa"/>
            <w:vMerge/>
            <w:tcBorders>
              <w:left w:val="single" w:sz="4" w:space="0" w:color="auto"/>
              <w:bottom w:val="single" w:sz="4" w:space="0" w:color="auto"/>
              <w:right w:val="single" w:sz="4" w:space="0" w:color="auto"/>
            </w:tcBorders>
            <w:shd w:val="clear" w:color="auto" w:fill="FFFFFF"/>
          </w:tcPr>
          <w:p w14:paraId="2316F2B8" w14:textId="77777777" w:rsidR="0041160C" w:rsidRPr="003415CC" w:rsidRDefault="0041160C" w:rsidP="0041160C">
            <w:pPr>
              <w:pStyle w:val="IAPODIMQ"/>
              <w:rPr>
                <w:rFonts w:cs="Arial"/>
              </w:rPr>
            </w:pPr>
          </w:p>
        </w:tc>
      </w:tr>
      <w:tr w:rsidR="0041160C" w:rsidRPr="003415CC" w14:paraId="0C7C4197" w14:textId="77777777" w:rsidTr="0041160C">
        <w:trPr>
          <w:trHeight w:hRule="exact" w:val="340"/>
        </w:trPr>
        <w:tc>
          <w:tcPr>
            <w:tcW w:w="1848" w:type="dxa"/>
            <w:vMerge/>
            <w:tcBorders>
              <w:bottom w:val="single" w:sz="4" w:space="0" w:color="auto"/>
              <w:right w:val="single" w:sz="4" w:space="0" w:color="auto"/>
            </w:tcBorders>
            <w:shd w:val="clear" w:color="auto" w:fill="FFFFFF"/>
          </w:tcPr>
          <w:p w14:paraId="0161ADB8" w14:textId="77777777" w:rsidR="0041160C" w:rsidRPr="003415CC" w:rsidRDefault="0041160C" w:rsidP="0041160C">
            <w:pPr>
              <w:pStyle w:val="IATableLabel"/>
              <w:rPr>
                <w:rFonts w:cs="Arial"/>
              </w:rPr>
            </w:pPr>
          </w:p>
        </w:tc>
        <w:tc>
          <w:tcPr>
            <w:tcW w:w="1843" w:type="dxa"/>
            <w:vMerge/>
            <w:tcBorders>
              <w:bottom w:val="single" w:sz="4" w:space="0" w:color="auto"/>
              <w:right w:val="single" w:sz="4" w:space="0" w:color="auto"/>
            </w:tcBorders>
            <w:shd w:val="clear" w:color="auto" w:fill="FFFFFF"/>
          </w:tcPr>
          <w:p w14:paraId="1B522A1D" w14:textId="77777777" w:rsidR="0041160C" w:rsidRPr="003415CC" w:rsidRDefault="0041160C" w:rsidP="0041160C">
            <w:pPr>
              <w:pStyle w:val="IATableLabel"/>
              <w:rPr>
                <w:rFonts w:cs="Arial"/>
              </w:rPr>
            </w:pPr>
          </w:p>
        </w:tc>
        <w:tc>
          <w:tcPr>
            <w:tcW w:w="1701" w:type="dxa"/>
            <w:vMerge/>
            <w:tcBorders>
              <w:bottom w:val="single" w:sz="4" w:space="0" w:color="auto"/>
              <w:right w:val="single" w:sz="4" w:space="0" w:color="auto"/>
            </w:tcBorders>
            <w:shd w:val="clear" w:color="auto" w:fill="FFFFFF"/>
          </w:tcPr>
          <w:p w14:paraId="3A264BD7" w14:textId="77777777" w:rsidR="0041160C" w:rsidRPr="003415CC" w:rsidRDefault="0041160C" w:rsidP="0041160C">
            <w:pPr>
              <w:pStyle w:val="IATableLabel"/>
              <w:rPr>
                <w:rFonts w:cs="Arial"/>
              </w:rPr>
            </w:pPr>
          </w:p>
        </w:tc>
        <w:tc>
          <w:tcPr>
            <w:tcW w:w="4823" w:type="dxa"/>
            <w:tcBorders>
              <w:top w:val="nil"/>
              <w:left w:val="single" w:sz="4" w:space="0" w:color="auto"/>
              <w:bottom w:val="single" w:sz="4" w:space="0" w:color="auto"/>
              <w:right w:val="single" w:sz="4" w:space="0" w:color="auto"/>
            </w:tcBorders>
            <w:shd w:val="clear" w:color="auto" w:fill="FFFFFF"/>
          </w:tcPr>
          <w:p w14:paraId="6A384A03" w14:textId="77777777" w:rsidR="0041160C" w:rsidRPr="003415CC" w:rsidRDefault="0041160C" w:rsidP="00F76924">
            <w:pPr>
              <w:pStyle w:val="IAPODIMQ"/>
              <w:jc w:val="center"/>
              <w:rPr>
                <w:rFonts w:cs="Arial"/>
              </w:rPr>
            </w:pPr>
            <w:r w:rsidRPr="003415CC">
              <w:rPr>
                <w:rFonts w:cs="Arial"/>
              </w:rPr>
              <w:fldChar w:fldCharType="begin">
                <w:ffData>
                  <w:name w:val="Text71"/>
                  <w:enabled/>
                  <w:calcOnExit w:val="0"/>
                  <w:textInput/>
                </w:ffData>
              </w:fldChar>
            </w:r>
            <w:bookmarkStart w:id="33" w:name="Text71"/>
            <w:r w:rsidRPr="003415CC">
              <w:rPr>
                <w:rFonts w:cs="Arial"/>
              </w:rPr>
              <w:instrText xml:space="preserve"> FORMTEXT </w:instrText>
            </w:r>
            <w:r w:rsidRPr="003415CC">
              <w:rPr>
                <w:rFonts w:cs="Arial"/>
              </w:rPr>
            </w:r>
            <w:r w:rsidRPr="003415CC">
              <w:rPr>
                <w:rFonts w:cs="Arial"/>
              </w:rPr>
              <w:fldChar w:fldCharType="separate"/>
            </w:r>
            <w:r w:rsidRPr="003415CC">
              <w:rPr>
                <w:rFonts w:cs="Arial"/>
                <w:noProof/>
              </w:rPr>
              <w:t>£0</w:t>
            </w:r>
            <w:r w:rsidRPr="003415CC">
              <w:rPr>
                <w:rFonts w:cs="Arial"/>
              </w:rPr>
              <w:fldChar w:fldCharType="end"/>
            </w:r>
            <w:bookmarkEnd w:id="33"/>
          </w:p>
        </w:tc>
      </w:tr>
    </w:tbl>
    <w:p w14:paraId="15ECF1EF" w14:textId="77777777" w:rsidR="0041160C" w:rsidRPr="003415CC" w:rsidRDefault="0041160C" w:rsidP="0041160C">
      <w:pPr>
        <w:rPr>
          <w:rFonts w:cs="Arial"/>
        </w:rPr>
        <w:sectPr w:rsidR="0041160C" w:rsidRPr="003415CC" w:rsidSect="00F1328C">
          <w:footnotePr>
            <w:numRestart w:val="eachSect"/>
          </w:footnotePr>
          <w:pgSz w:w="11907" w:h="16840" w:code="9"/>
          <w:pgMar w:top="680" w:right="851" w:bottom="680" w:left="851" w:header="284" w:footer="284" w:gutter="0"/>
          <w:cols w:space="708"/>
          <w:docGrid w:linePitch="360"/>
        </w:sectPr>
      </w:pPr>
    </w:p>
    <w:p w14:paraId="3E0A1A84" w14:textId="77777777" w:rsidR="00F70A77" w:rsidRPr="000A7981" w:rsidRDefault="00F70A77">
      <w:pPr>
        <w:pStyle w:val="Heading1"/>
        <w:spacing w:before="0"/>
        <w:rPr>
          <w:rFonts w:ascii="Arial" w:hAnsi="Arial"/>
        </w:rPr>
      </w:pPr>
      <w:r w:rsidRPr="000A7981">
        <w:rPr>
          <w:rFonts w:ascii="Arial" w:hAnsi="Arial"/>
        </w:rPr>
        <w:lastRenderedPageBreak/>
        <w:t xml:space="preserve">Evidence Base </w:t>
      </w:r>
      <w:bookmarkStart w:id="34" w:name="EvidenceBase"/>
      <w:bookmarkEnd w:id="34"/>
      <w:r w:rsidRPr="000A7981">
        <w:rPr>
          <w:rFonts w:ascii="Arial" w:hAnsi="Arial"/>
        </w:rPr>
        <w:t>(for summary sheets)</w:t>
      </w:r>
    </w:p>
    <w:bookmarkEnd w:id="32"/>
    <w:p w14:paraId="24A818BD" w14:textId="77777777" w:rsidR="008B62CB" w:rsidRPr="00D45B85" w:rsidRDefault="008B62CB" w:rsidP="001F2D89">
      <w:pPr>
        <w:jc w:val="both"/>
        <w:rPr>
          <w:rFonts w:cs="Arial"/>
        </w:rPr>
      </w:pPr>
    </w:p>
    <w:p w14:paraId="5FC9DBE1" w14:textId="77777777" w:rsidR="008B62CB" w:rsidRPr="004E09CE" w:rsidRDefault="008B62CB" w:rsidP="001F2D89">
      <w:pPr>
        <w:jc w:val="both"/>
        <w:rPr>
          <w:rFonts w:cs="Arial"/>
          <w:b/>
          <w:sz w:val="32"/>
          <w:szCs w:val="32"/>
        </w:rPr>
      </w:pPr>
      <w:r w:rsidRPr="004E09CE">
        <w:rPr>
          <w:rFonts w:cs="Arial"/>
          <w:b/>
          <w:sz w:val="32"/>
          <w:szCs w:val="32"/>
        </w:rPr>
        <w:t>Background</w:t>
      </w:r>
    </w:p>
    <w:p w14:paraId="5E05430B" w14:textId="77777777" w:rsidR="008B62CB" w:rsidRPr="004E09CE" w:rsidRDefault="008B62CB" w:rsidP="001F2D89">
      <w:pPr>
        <w:jc w:val="both"/>
        <w:rPr>
          <w:rFonts w:cs="Arial"/>
        </w:rPr>
      </w:pPr>
    </w:p>
    <w:p w14:paraId="0AE9E3F3" w14:textId="77777777" w:rsidR="001F2D89" w:rsidRPr="004E09CE" w:rsidRDefault="001F2D89" w:rsidP="000A7981">
      <w:pPr>
        <w:spacing w:line="276" w:lineRule="auto"/>
        <w:jc w:val="both"/>
        <w:rPr>
          <w:rFonts w:cs="Arial"/>
          <w:sz w:val="22"/>
          <w:szCs w:val="22"/>
        </w:rPr>
      </w:pPr>
      <w:r w:rsidRPr="004E09CE">
        <w:rPr>
          <w:rFonts w:cs="Arial"/>
          <w:sz w:val="22"/>
          <w:szCs w:val="22"/>
        </w:rPr>
        <w:t xml:space="preserve">Annual Reports are crucial information sources that shareholders and </w:t>
      </w:r>
      <w:r w:rsidR="0072018D">
        <w:rPr>
          <w:rFonts w:cs="Arial"/>
          <w:sz w:val="22"/>
          <w:szCs w:val="22"/>
        </w:rPr>
        <w:t>creditors</w:t>
      </w:r>
      <w:r w:rsidRPr="004E09CE">
        <w:rPr>
          <w:rFonts w:cs="Arial"/>
          <w:sz w:val="22"/>
          <w:szCs w:val="22"/>
        </w:rPr>
        <w:t xml:space="preserve"> need to understand how the companies in which they invest/may invest, and to whom they lend/may lend, are performing. One of the core strengths of the UK corporate governance system is the transparency that it affords to potential investors</w:t>
      </w:r>
      <w:r w:rsidR="004E60B1">
        <w:rPr>
          <w:rFonts w:cs="Arial"/>
          <w:sz w:val="22"/>
          <w:szCs w:val="22"/>
        </w:rPr>
        <w:t>,</w:t>
      </w:r>
      <w:r w:rsidRPr="004E09CE">
        <w:rPr>
          <w:rFonts w:cs="Arial"/>
          <w:sz w:val="22"/>
          <w:szCs w:val="22"/>
        </w:rPr>
        <w:t xml:space="preserve"> and </w:t>
      </w:r>
      <w:r w:rsidR="004E60B1">
        <w:rPr>
          <w:rFonts w:cs="Arial"/>
          <w:sz w:val="22"/>
          <w:szCs w:val="22"/>
        </w:rPr>
        <w:t xml:space="preserve">creditors and </w:t>
      </w:r>
      <w:r w:rsidRPr="004E09CE">
        <w:rPr>
          <w:rFonts w:cs="Arial"/>
          <w:sz w:val="22"/>
          <w:szCs w:val="22"/>
        </w:rPr>
        <w:t xml:space="preserve">the power that shareholders and </w:t>
      </w:r>
      <w:r w:rsidR="004E60B1">
        <w:rPr>
          <w:rFonts w:cs="Arial"/>
          <w:sz w:val="22"/>
          <w:szCs w:val="22"/>
        </w:rPr>
        <w:t>creditors</w:t>
      </w:r>
      <w:r w:rsidRPr="004E09CE">
        <w:rPr>
          <w:rFonts w:cs="Arial"/>
          <w:sz w:val="22"/>
          <w:szCs w:val="22"/>
        </w:rPr>
        <w:t xml:space="preserve"> have to challenge company directors. However, this challenge will only be effective if companies provide shareholders and </w:t>
      </w:r>
      <w:r w:rsidR="004E60B1">
        <w:rPr>
          <w:rFonts w:cs="Arial"/>
          <w:sz w:val="22"/>
          <w:szCs w:val="22"/>
        </w:rPr>
        <w:t>creditors</w:t>
      </w:r>
      <w:r w:rsidRPr="004E09CE">
        <w:rPr>
          <w:rFonts w:cs="Arial"/>
          <w:sz w:val="22"/>
          <w:szCs w:val="22"/>
        </w:rPr>
        <w:t xml:space="preserve"> with high quality information on which to act. </w:t>
      </w:r>
    </w:p>
    <w:p w14:paraId="49DAAAC8" w14:textId="77777777" w:rsidR="001F2D89" w:rsidRPr="004E09CE" w:rsidRDefault="001F2D89" w:rsidP="000A7981">
      <w:pPr>
        <w:pStyle w:val="ListParagraph"/>
        <w:spacing w:line="276" w:lineRule="auto"/>
        <w:jc w:val="both"/>
        <w:rPr>
          <w:rFonts w:cs="Arial"/>
          <w:sz w:val="22"/>
          <w:szCs w:val="22"/>
        </w:rPr>
      </w:pPr>
    </w:p>
    <w:p w14:paraId="64D69BC3" w14:textId="77777777" w:rsidR="000541B2" w:rsidRPr="004E09CE" w:rsidRDefault="000541B2" w:rsidP="000A7981">
      <w:pPr>
        <w:spacing w:line="276" w:lineRule="auto"/>
        <w:jc w:val="both"/>
        <w:rPr>
          <w:rFonts w:cs="Arial"/>
          <w:sz w:val="22"/>
          <w:szCs w:val="22"/>
        </w:rPr>
      </w:pPr>
      <w:r w:rsidRPr="004E09CE">
        <w:rPr>
          <w:rFonts w:cs="Arial"/>
          <w:sz w:val="22"/>
          <w:szCs w:val="22"/>
        </w:rPr>
        <w:t>T</w:t>
      </w:r>
      <w:r w:rsidR="001F2D89" w:rsidRPr="004E09CE">
        <w:rPr>
          <w:rFonts w:cs="Arial"/>
          <w:sz w:val="22"/>
          <w:szCs w:val="22"/>
        </w:rPr>
        <w:t>he requirements to prepare individual financial statements, including non-financial information, have been in place since 1978. The requirement for consolidated financial statements for group accounts has been in force since 1983. The European Directive that provides a complete se</w:t>
      </w:r>
      <w:r w:rsidR="001F2D89" w:rsidRPr="00266F21">
        <w:rPr>
          <w:rFonts w:cs="Arial"/>
          <w:sz w:val="22"/>
          <w:szCs w:val="22"/>
        </w:rPr>
        <w:t>t of rules for the preparation and content of statutory financial statements and management reports is often referred to as the "Accounting Directive”</w:t>
      </w:r>
      <w:r w:rsidR="001F2D89" w:rsidRPr="00D45B85">
        <w:rPr>
          <w:rStyle w:val="FootnoteReference"/>
          <w:rFonts w:cs="Arial"/>
          <w:szCs w:val="22"/>
        </w:rPr>
        <w:footnoteReference w:id="1"/>
      </w:r>
      <w:r w:rsidR="001F2D89" w:rsidRPr="00D45B85">
        <w:rPr>
          <w:rFonts w:cs="Arial"/>
          <w:sz w:val="22"/>
          <w:szCs w:val="22"/>
        </w:rPr>
        <w:t xml:space="preserve">. </w:t>
      </w:r>
      <w:proofErr w:type="gramStart"/>
      <w:r w:rsidR="001F2D89" w:rsidRPr="00D45B85">
        <w:rPr>
          <w:rFonts w:cs="Arial"/>
          <w:sz w:val="22"/>
          <w:szCs w:val="22"/>
        </w:rPr>
        <w:t>Directive 2014/95/EU</w:t>
      </w:r>
      <w:r w:rsidR="009B17B7" w:rsidRPr="00D45B85">
        <w:rPr>
          <w:rStyle w:val="FootnoteReference"/>
          <w:rFonts w:cs="Arial"/>
          <w:szCs w:val="22"/>
        </w:rPr>
        <w:footnoteReference w:id="2"/>
      </w:r>
      <w:r w:rsidR="001236C8">
        <w:rPr>
          <w:rFonts w:cs="Arial"/>
          <w:sz w:val="22"/>
          <w:szCs w:val="22"/>
        </w:rPr>
        <w:t>.</w:t>
      </w:r>
      <w:proofErr w:type="gramEnd"/>
      <w:r w:rsidR="001236C8">
        <w:rPr>
          <w:rFonts w:cs="Arial"/>
          <w:sz w:val="22"/>
          <w:szCs w:val="22"/>
        </w:rPr>
        <w:t xml:space="preserve"> </w:t>
      </w:r>
      <w:r w:rsidR="001F2D89" w:rsidRPr="00D45B85">
        <w:rPr>
          <w:rFonts w:cs="Arial"/>
          <w:sz w:val="22"/>
          <w:szCs w:val="22"/>
        </w:rPr>
        <w:t>“</w:t>
      </w:r>
      <w:r w:rsidR="001236C8">
        <w:rPr>
          <w:rFonts w:cs="Arial"/>
          <w:sz w:val="22"/>
          <w:szCs w:val="22"/>
        </w:rPr>
        <w:t>t</w:t>
      </w:r>
      <w:r w:rsidR="001F2D89" w:rsidRPr="00D45B85">
        <w:rPr>
          <w:rFonts w:cs="Arial"/>
          <w:sz w:val="22"/>
          <w:szCs w:val="22"/>
        </w:rPr>
        <w:t>he Non-Financial Reporting Directive”</w:t>
      </w:r>
      <w:r w:rsidR="001236C8">
        <w:rPr>
          <w:rFonts w:cs="Arial"/>
          <w:sz w:val="22"/>
          <w:szCs w:val="22"/>
        </w:rPr>
        <w:t xml:space="preserve"> (or NFRD)</w:t>
      </w:r>
      <w:r w:rsidR="001F2D89" w:rsidRPr="00D45B85">
        <w:rPr>
          <w:rFonts w:cs="Arial"/>
          <w:sz w:val="22"/>
          <w:szCs w:val="22"/>
        </w:rPr>
        <w:t xml:space="preserve"> builds on the provisions in the </w:t>
      </w:r>
      <w:r w:rsidR="001236C8">
        <w:rPr>
          <w:rFonts w:cs="Arial"/>
          <w:sz w:val="22"/>
          <w:szCs w:val="22"/>
        </w:rPr>
        <w:t xml:space="preserve">EU </w:t>
      </w:r>
      <w:r w:rsidR="001F2D89" w:rsidRPr="00D45B85">
        <w:rPr>
          <w:rFonts w:cs="Arial"/>
          <w:sz w:val="22"/>
          <w:szCs w:val="22"/>
        </w:rPr>
        <w:t>Accountin</w:t>
      </w:r>
      <w:r w:rsidR="001F2D89" w:rsidRPr="004E09CE">
        <w:rPr>
          <w:rFonts w:cs="Arial"/>
          <w:sz w:val="22"/>
          <w:szCs w:val="22"/>
        </w:rPr>
        <w:t xml:space="preserve">g Directive for companies to disclose information, where necessary for an understanding of the business, on environmental, social and community matters, in a non-financial statement as part of their strategic report. These are expected to be translated into UK law through amendment to the Companies Act 2006 </w:t>
      </w:r>
      <w:r w:rsidR="00A605AA">
        <w:rPr>
          <w:rFonts w:cs="Arial"/>
          <w:sz w:val="22"/>
          <w:szCs w:val="22"/>
        </w:rPr>
        <w:t>which establishes</w:t>
      </w:r>
      <w:r w:rsidR="001F2D89" w:rsidRPr="004E09CE">
        <w:rPr>
          <w:rFonts w:cs="Arial"/>
          <w:sz w:val="22"/>
          <w:szCs w:val="22"/>
        </w:rPr>
        <w:t xml:space="preserve"> requirements for companies to prepare a business review as part of their Annual Report</w:t>
      </w:r>
      <w:r w:rsidR="001F2D89" w:rsidRPr="00D45B85">
        <w:rPr>
          <w:rStyle w:val="FootnoteReference"/>
          <w:rFonts w:cs="Arial"/>
          <w:szCs w:val="22"/>
        </w:rPr>
        <w:footnoteReference w:id="3"/>
      </w:r>
      <w:r w:rsidR="001F2D89" w:rsidRPr="00D45B85">
        <w:rPr>
          <w:rFonts w:cs="Arial"/>
          <w:sz w:val="22"/>
          <w:szCs w:val="22"/>
        </w:rPr>
        <w:t>. The requirements will apply to financial years beginning on or after 1 January 2017.</w:t>
      </w:r>
    </w:p>
    <w:p w14:paraId="18227144" w14:textId="77777777" w:rsidR="000541B2" w:rsidRPr="004E09CE" w:rsidRDefault="000541B2" w:rsidP="000A7981">
      <w:pPr>
        <w:spacing w:line="276" w:lineRule="auto"/>
        <w:jc w:val="both"/>
        <w:rPr>
          <w:rFonts w:cs="Arial"/>
          <w:sz w:val="22"/>
          <w:szCs w:val="22"/>
        </w:rPr>
      </w:pPr>
    </w:p>
    <w:p w14:paraId="7C6006FB" w14:textId="77777777" w:rsidR="001F2D89" w:rsidRPr="004E09CE" w:rsidRDefault="001F2D89" w:rsidP="000A7981">
      <w:pPr>
        <w:spacing w:line="276" w:lineRule="auto"/>
        <w:jc w:val="both"/>
        <w:rPr>
          <w:rFonts w:cs="Arial"/>
          <w:sz w:val="22"/>
          <w:szCs w:val="22"/>
        </w:rPr>
      </w:pPr>
      <w:r w:rsidRPr="004E09CE">
        <w:rPr>
          <w:rFonts w:cs="Arial"/>
          <w:sz w:val="22"/>
          <w:szCs w:val="22"/>
        </w:rPr>
        <w:t xml:space="preserve">The term “non-financial” information refers to narrative information that adds, in part, depth and context to the financial information contained in the </w:t>
      </w:r>
      <w:r w:rsidR="004E1D27">
        <w:rPr>
          <w:rFonts w:cs="Arial"/>
          <w:sz w:val="22"/>
          <w:szCs w:val="22"/>
        </w:rPr>
        <w:t xml:space="preserve">company </w:t>
      </w:r>
      <w:r w:rsidRPr="004E09CE">
        <w:rPr>
          <w:rFonts w:cs="Arial"/>
          <w:sz w:val="22"/>
          <w:szCs w:val="22"/>
        </w:rPr>
        <w:t>accounts</w:t>
      </w:r>
      <w:r w:rsidR="004E1D27">
        <w:rPr>
          <w:rFonts w:cs="Arial"/>
          <w:sz w:val="22"/>
          <w:szCs w:val="22"/>
        </w:rPr>
        <w:t>, published in the Annual Report</w:t>
      </w:r>
      <w:r w:rsidRPr="004E09CE">
        <w:rPr>
          <w:rFonts w:cs="Arial"/>
          <w:sz w:val="22"/>
          <w:szCs w:val="22"/>
        </w:rPr>
        <w:t xml:space="preserve">.  In addition it describes how the directors of the company have considered the non-financial factors that affect the performance of the company. While the information provided to shareholders to demonstrate this consideration is unique to the company, it can be divided into broad categories. Using the classifications in the </w:t>
      </w:r>
      <w:r w:rsidR="003A27F7">
        <w:rPr>
          <w:rFonts w:cs="Arial"/>
          <w:sz w:val="22"/>
          <w:szCs w:val="22"/>
        </w:rPr>
        <w:t>NFRD</w:t>
      </w:r>
      <w:r w:rsidRPr="004E09CE">
        <w:rPr>
          <w:rFonts w:cs="Arial"/>
          <w:sz w:val="22"/>
          <w:szCs w:val="22"/>
        </w:rPr>
        <w:t xml:space="preserve"> (</w:t>
      </w:r>
      <w:r w:rsidRPr="00D45B85">
        <w:rPr>
          <w:rFonts w:cs="Arial"/>
          <w:sz w:val="22"/>
          <w:szCs w:val="22"/>
        </w:rPr>
        <w:t xml:space="preserve">, </w:t>
      </w:r>
      <w:r w:rsidR="000541B2" w:rsidRPr="004E09CE">
        <w:rPr>
          <w:rFonts w:cs="Arial"/>
          <w:sz w:val="22"/>
          <w:szCs w:val="22"/>
        </w:rPr>
        <w:t>T</w:t>
      </w:r>
      <w:r w:rsidRPr="004E09CE">
        <w:rPr>
          <w:rFonts w:cs="Arial"/>
          <w:sz w:val="22"/>
          <w:szCs w:val="22"/>
        </w:rPr>
        <w:t>able</w:t>
      </w:r>
      <w:r w:rsidR="000541B2" w:rsidRPr="004E09CE">
        <w:rPr>
          <w:rFonts w:cs="Arial"/>
          <w:sz w:val="22"/>
          <w:szCs w:val="22"/>
        </w:rPr>
        <w:t xml:space="preserve"> 1</w:t>
      </w:r>
      <w:r w:rsidRPr="004E09CE">
        <w:rPr>
          <w:rFonts w:cs="Arial"/>
          <w:sz w:val="22"/>
          <w:szCs w:val="22"/>
        </w:rPr>
        <w:t xml:space="preserve"> below provides an overview of the type of information that may be provided. </w:t>
      </w:r>
    </w:p>
    <w:p w14:paraId="0AF8BDC1" w14:textId="77777777" w:rsidR="000541B2" w:rsidRPr="004E09CE" w:rsidRDefault="000541B2" w:rsidP="000A7981">
      <w:pPr>
        <w:spacing w:line="276" w:lineRule="auto"/>
        <w:jc w:val="both"/>
        <w:rPr>
          <w:rFonts w:cs="Arial"/>
          <w:sz w:val="22"/>
          <w:szCs w:val="22"/>
        </w:rPr>
      </w:pPr>
    </w:p>
    <w:p w14:paraId="03943E41" w14:textId="77777777" w:rsidR="00406AAE" w:rsidRPr="001973BE" w:rsidRDefault="00406AAE" w:rsidP="000A7981">
      <w:pPr>
        <w:spacing w:line="276" w:lineRule="auto"/>
        <w:jc w:val="center"/>
        <w:rPr>
          <w:rFonts w:cs="Arial"/>
          <w:b/>
          <w:sz w:val="22"/>
          <w:szCs w:val="22"/>
        </w:rPr>
      </w:pPr>
      <w:r w:rsidRPr="001973BE">
        <w:rPr>
          <w:rFonts w:cs="Arial"/>
          <w:b/>
          <w:sz w:val="22"/>
          <w:szCs w:val="22"/>
        </w:rPr>
        <w:t>Table 1: overview of non-financial matters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35"/>
        <w:gridCol w:w="8186"/>
      </w:tblGrid>
      <w:tr w:rsidR="001F2D89" w:rsidRPr="001973BE" w14:paraId="621A6291" w14:textId="77777777" w:rsidTr="001973BE">
        <w:tc>
          <w:tcPr>
            <w:tcW w:w="2235" w:type="dxa"/>
            <w:shd w:val="clear" w:color="auto" w:fill="BFBFBF"/>
          </w:tcPr>
          <w:p w14:paraId="6924EC5F" w14:textId="77777777" w:rsidR="001F2D89" w:rsidRPr="001973BE" w:rsidRDefault="001F2D89" w:rsidP="000A7981">
            <w:pPr>
              <w:spacing w:line="276" w:lineRule="auto"/>
              <w:jc w:val="both"/>
              <w:rPr>
                <w:rFonts w:cs="Arial"/>
                <w:sz w:val="20"/>
                <w:szCs w:val="20"/>
              </w:rPr>
            </w:pPr>
            <w:r w:rsidRPr="001973BE">
              <w:rPr>
                <w:rFonts w:cs="Arial"/>
                <w:sz w:val="20"/>
                <w:szCs w:val="20"/>
              </w:rPr>
              <w:t>Category</w:t>
            </w:r>
          </w:p>
        </w:tc>
        <w:tc>
          <w:tcPr>
            <w:tcW w:w="8186" w:type="dxa"/>
            <w:shd w:val="clear" w:color="auto" w:fill="BFBFBF"/>
          </w:tcPr>
          <w:p w14:paraId="488CF185" w14:textId="77777777" w:rsidR="001F2D89" w:rsidRPr="001973BE" w:rsidRDefault="001F2D89" w:rsidP="000A7981">
            <w:pPr>
              <w:spacing w:line="276" w:lineRule="auto"/>
              <w:jc w:val="both"/>
              <w:rPr>
                <w:rFonts w:cs="Arial"/>
                <w:sz w:val="20"/>
                <w:szCs w:val="20"/>
              </w:rPr>
            </w:pPr>
            <w:r w:rsidRPr="001973BE">
              <w:rPr>
                <w:rFonts w:cs="Arial"/>
                <w:sz w:val="20"/>
                <w:szCs w:val="20"/>
              </w:rPr>
              <w:t>Overview</w:t>
            </w:r>
          </w:p>
        </w:tc>
      </w:tr>
      <w:tr w:rsidR="001F2D89" w:rsidRPr="001973BE" w14:paraId="318C39AE" w14:textId="77777777" w:rsidTr="001973BE">
        <w:tc>
          <w:tcPr>
            <w:tcW w:w="2235" w:type="dxa"/>
          </w:tcPr>
          <w:p w14:paraId="29443A0E" w14:textId="77777777" w:rsidR="001F2D89" w:rsidRPr="001973BE" w:rsidRDefault="001F2D89" w:rsidP="001973BE">
            <w:pPr>
              <w:spacing w:line="276" w:lineRule="auto"/>
              <w:rPr>
                <w:rFonts w:cs="Arial"/>
                <w:sz w:val="20"/>
                <w:szCs w:val="20"/>
              </w:rPr>
            </w:pPr>
            <w:r w:rsidRPr="001973BE">
              <w:rPr>
                <w:rFonts w:cs="Arial"/>
                <w:sz w:val="20"/>
                <w:szCs w:val="20"/>
              </w:rPr>
              <w:t xml:space="preserve">Environmental </w:t>
            </w:r>
          </w:p>
        </w:tc>
        <w:tc>
          <w:tcPr>
            <w:tcW w:w="8186" w:type="dxa"/>
          </w:tcPr>
          <w:p w14:paraId="3973FBB6" w14:textId="77777777" w:rsidR="001F2D89" w:rsidRPr="001973BE" w:rsidRDefault="001F2D89" w:rsidP="000A7981">
            <w:pPr>
              <w:spacing w:line="276" w:lineRule="auto"/>
              <w:jc w:val="both"/>
              <w:rPr>
                <w:rFonts w:cs="Arial"/>
                <w:sz w:val="20"/>
                <w:szCs w:val="20"/>
              </w:rPr>
            </w:pPr>
            <w:r w:rsidRPr="001973BE">
              <w:rPr>
                <w:rFonts w:cs="Arial"/>
                <w:sz w:val="20"/>
                <w:szCs w:val="20"/>
              </w:rPr>
              <w:t xml:space="preserve">This will be a description of the company’s environmental policy and an assessment of the risks to this policy from the company’s operations. This may also include some examples of how the company has implemented this policy. </w:t>
            </w:r>
          </w:p>
        </w:tc>
      </w:tr>
      <w:tr w:rsidR="001F2D89" w:rsidRPr="001973BE" w14:paraId="52E034E0" w14:textId="77777777" w:rsidTr="001973BE">
        <w:tc>
          <w:tcPr>
            <w:tcW w:w="2235" w:type="dxa"/>
          </w:tcPr>
          <w:p w14:paraId="6B8D8367" w14:textId="77777777" w:rsidR="001F2D89" w:rsidRPr="001973BE" w:rsidRDefault="001F2D89" w:rsidP="001973BE">
            <w:pPr>
              <w:spacing w:line="276" w:lineRule="auto"/>
              <w:rPr>
                <w:rFonts w:cs="Arial"/>
                <w:sz w:val="20"/>
                <w:szCs w:val="20"/>
              </w:rPr>
            </w:pPr>
            <w:r w:rsidRPr="001973BE">
              <w:rPr>
                <w:rFonts w:cs="Arial"/>
                <w:sz w:val="20"/>
                <w:szCs w:val="20"/>
              </w:rPr>
              <w:t xml:space="preserve">Social &amp; employees </w:t>
            </w:r>
          </w:p>
        </w:tc>
        <w:tc>
          <w:tcPr>
            <w:tcW w:w="8186" w:type="dxa"/>
          </w:tcPr>
          <w:p w14:paraId="2EF6F34A" w14:textId="77777777" w:rsidR="001F2D89" w:rsidRPr="001973BE" w:rsidRDefault="001F2D89" w:rsidP="000A7981">
            <w:pPr>
              <w:spacing w:line="276" w:lineRule="auto"/>
              <w:jc w:val="both"/>
              <w:rPr>
                <w:rFonts w:cs="Arial"/>
                <w:sz w:val="20"/>
                <w:szCs w:val="20"/>
              </w:rPr>
            </w:pPr>
            <w:r w:rsidRPr="001973BE">
              <w:rPr>
                <w:rFonts w:cs="Arial"/>
                <w:sz w:val="20"/>
                <w:szCs w:val="20"/>
              </w:rPr>
              <w:t xml:space="preserve">A description of the company’s policy concerning the people that may be affected by the company’s operations. This information will also include the company’s policy concerning its employees, possibly including retention, training and promotion. In addition it may contain information required by the diversity requirement </w:t>
            </w:r>
          </w:p>
        </w:tc>
      </w:tr>
      <w:tr w:rsidR="001F2D89" w:rsidRPr="001973BE" w14:paraId="3C3DF295" w14:textId="77777777" w:rsidTr="001973BE">
        <w:tc>
          <w:tcPr>
            <w:tcW w:w="2235" w:type="dxa"/>
          </w:tcPr>
          <w:p w14:paraId="7E594ACA" w14:textId="77777777" w:rsidR="001F2D89" w:rsidRPr="001973BE" w:rsidRDefault="001F2D89" w:rsidP="001973BE">
            <w:pPr>
              <w:spacing w:line="276" w:lineRule="auto"/>
              <w:rPr>
                <w:rFonts w:cs="Arial"/>
                <w:sz w:val="20"/>
                <w:szCs w:val="20"/>
              </w:rPr>
            </w:pPr>
            <w:r w:rsidRPr="001973BE">
              <w:rPr>
                <w:rFonts w:cs="Arial"/>
                <w:sz w:val="20"/>
                <w:szCs w:val="20"/>
              </w:rPr>
              <w:t xml:space="preserve">Respect for human rights </w:t>
            </w:r>
          </w:p>
        </w:tc>
        <w:tc>
          <w:tcPr>
            <w:tcW w:w="8186" w:type="dxa"/>
          </w:tcPr>
          <w:p w14:paraId="42972A48" w14:textId="77777777" w:rsidR="001F2D89" w:rsidRPr="001973BE" w:rsidRDefault="001F2D89" w:rsidP="000A7981">
            <w:pPr>
              <w:spacing w:line="276" w:lineRule="auto"/>
              <w:jc w:val="both"/>
              <w:rPr>
                <w:rFonts w:cs="Arial"/>
                <w:sz w:val="20"/>
                <w:szCs w:val="20"/>
              </w:rPr>
            </w:pPr>
            <w:r w:rsidRPr="001973BE">
              <w:rPr>
                <w:rFonts w:cs="Arial"/>
                <w:sz w:val="20"/>
                <w:szCs w:val="20"/>
              </w:rPr>
              <w:t xml:space="preserve">This information will provide shareholders with an insight into how the company tackles human rights issues both internal and external to the company. This may include an assessment of the company’s supply chain and the risks that this presents. </w:t>
            </w:r>
          </w:p>
        </w:tc>
      </w:tr>
      <w:tr w:rsidR="001F2D89" w:rsidRPr="001973BE" w14:paraId="0E5393A6" w14:textId="77777777" w:rsidTr="001973BE">
        <w:tc>
          <w:tcPr>
            <w:tcW w:w="2235" w:type="dxa"/>
          </w:tcPr>
          <w:p w14:paraId="2F902395" w14:textId="77777777" w:rsidR="001F2D89" w:rsidRPr="001973BE" w:rsidRDefault="001F2D89" w:rsidP="001973BE">
            <w:pPr>
              <w:spacing w:line="276" w:lineRule="auto"/>
              <w:rPr>
                <w:rFonts w:cs="Arial"/>
                <w:sz w:val="20"/>
                <w:szCs w:val="20"/>
              </w:rPr>
            </w:pPr>
            <w:r w:rsidRPr="001973BE">
              <w:rPr>
                <w:rFonts w:cs="Arial"/>
                <w:sz w:val="20"/>
                <w:szCs w:val="20"/>
              </w:rPr>
              <w:t xml:space="preserve">Anti-bribery and corruption matters </w:t>
            </w:r>
          </w:p>
        </w:tc>
        <w:tc>
          <w:tcPr>
            <w:tcW w:w="8186" w:type="dxa"/>
          </w:tcPr>
          <w:p w14:paraId="47B1E2B8" w14:textId="77777777" w:rsidR="001F2D89" w:rsidRPr="001973BE" w:rsidRDefault="001F2D89" w:rsidP="000A7981">
            <w:pPr>
              <w:spacing w:line="276" w:lineRule="auto"/>
              <w:jc w:val="both"/>
              <w:rPr>
                <w:rFonts w:cs="Arial"/>
                <w:sz w:val="20"/>
                <w:szCs w:val="20"/>
              </w:rPr>
            </w:pPr>
            <w:r w:rsidRPr="001973BE">
              <w:rPr>
                <w:rFonts w:cs="Arial"/>
                <w:sz w:val="20"/>
                <w:szCs w:val="20"/>
              </w:rPr>
              <w:t>This information will include a description as to how the company protects itself from bribery and corruption.</w:t>
            </w:r>
          </w:p>
        </w:tc>
      </w:tr>
      <w:tr w:rsidR="001F2D89" w:rsidRPr="001973BE" w14:paraId="4FD6C819" w14:textId="77777777" w:rsidTr="001973BE">
        <w:tc>
          <w:tcPr>
            <w:tcW w:w="2235" w:type="dxa"/>
          </w:tcPr>
          <w:p w14:paraId="375402E0" w14:textId="77777777" w:rsidR="001F2D89" w:rsidRPr="001973BE" w:rsidRDefault="001F2D89" w:rsidP="001973BE">
            <w:pPr>
              <w:spacing w:line="276" w:lineRule="auto"/>
              <w:rPr>
                <w:rFonts w:cs="Arial"/>
                <w:sz w:val="20"/>
                <w:szCs w:val="20"/>
              </w:rPr>
            </w:pPr>
            <w:r w:rsidRPr="001973BE">
              <w:rPr>
                <w:rFonts w:cs="Arial"/>
                <w:sz w:val="20"/>
                <w:szCs w:val="20"/>
              </w:rPr>
              <w:t>Diversity</w:t>
            </w:r>
          </w:p>
        </w:tc>
        <w:tc>
          <w:tcPr>
            <w:tcW w:w="8186" w:type="dxa"/>
          </w:tcPr>
          <w:p w14:paraId="2CFF0E5D" w14:textId="77777777" w:rsidR="001F2D89" w:rsidRPr="001973BE" w:rsidRDefault="001F2D89" w:rsidP="000A7981">
            <w:pPr>
              <w:spacing w:line="276" w:lineRule="auto"/>
              <w:jc w:val="both"/>
              <w:rPr>
                <w:rFonts w:cs="Arial"/>
                <w:sz w:val="20"/>
                <w:szCs w:val="20"/>
              </w:rPr>
            </w:pPr>
            <w:r w:rsidRPr="001973BE">
              <w:rPr>
                <w:rFonts w:cs="Arial"/>
                <w:sz w:val="20"/>
                <w:szCs w:val="20"/>
              </w:rPr>
              <w:t xml:space="preserve">The company will be required to report its diversity policy for the management, supervisory and administrative bodies. Included in this will be the objectives of the policy, for example to ensure a wide range of experience in the company. The company will need to report the implementation and the results. </w:t>
            </w:r>
          </w:p>
        </w:tc>
      </w:tr>
    </w:tbl>
    <w:p w14:paraId="7DC73767" w14:textId="77777777" w:rsidR="001F2D89" w:rsidRPr="003415CC" w:rsidRDefault="001F2D89" w:rsidP="000A7981">
      <w:pPr>
        <w:pStyle w:val="ListParagraph"/>
        <w:spacing w:line="276" w:lineRule="auto"/>
        <w:jc w:val="both"/>
        <w:rPr>
          <w:rFonts w:cs="Arial"/>
          <w:sz w:val="22"/>
          <w:szCs w:val="22"/>
        </w:rPr>
      </w:pPr>
    </w:p>
    <w:p w14:paraId="5EA55FD4" w14:textId="77777777" w:rsidR="001F2D89" w:rsidRPr="003415CC" w:rsidRDefault="001F2D89" w:rsidP="000A7981">
      <w:pPr>
        <w:spacing w:line="276" w:lineRule="auto"/>
        <w:jc w:val="both"/>
        <w:rPr>
          <w:rFonts w:cs="Arial"/>
        </w:rPr>
      </w:pPr>
    </w:p>
    <w:p w14:paraId="095A3A23" w14:textId="77777777" w:rsidR="008B62CB" w:rsidRPr="003415CC" w:rsidRDefault="008B62CB" w:rsidP="000A7981">
      <w:pPr>
        <w:pStyle w:val="EBBullet"/>
        <w:keepNext/>
        <w:numPr>
          <w:ilvl w:val="0"/>
          <w:numId w:val="0"/>
        </w:numPr>
        <w:spacing w:line="276" w:lineRule="auto"/>
        <w:ind w:left="284" w:hanging="284"/>
        <w:rPr>
          <w:b/>
          <w:sz w:val="32"/>
          <w:szCs w:val="32"/>
        </w:rPr>
      </w:pPr>
      <w:r w:rsidRPr="003415CC">
        <w:rPr>
          <w:b/>
          <w:sz w:val="32"/>
          <w:szCs w:val="32"/>
        </w:rPr>
        <w:t>Problem under consideration</w:t>
      </w:r>
    </w:p>
    <w:p w14:paraId="6574F654" w14:textId="77777777" w:rsidR="001F2D89" w:rsidRPr="00D45B85" w:rsidRDefault="001F2D89" w:rsidP="000A7981">
      <w:pPr>
        <w:spacing w:line="276" w:lineRule="auto"/>
        <w:jc w:val="both"/>
        <w:rPr>
          <w:rFonts w:cs="Arial"/>
          <w:sz w:val="22"/>
          <w:szCs w:val="22"/>
        </w:rPr>
      </w:pPr>
      <w:r w:rsidRPr="003415CC">
        <w:rPr>
          <w:rFonts w:cs="Arial"/>
          <w:sz w:val="22"/>
          <w:szCs w:val="22"/>
        </w:rPr>
        <w:t xml:space="preserve">The UK recognises the importance of clear, concise narrative reporting. Three separate consultations were undertaken between 2010 and 2012 that sought views on the problems and possible solutions with the current </w:t>
      </w:r>
      <w:r w:rsidR="009D463F" w:rsidRPr="003415CC">
        <w:rPr>
          <w:rFonts w:cs="Arial"/>
          <w:sz w:val="22"/>
          <w:szCs w:val="22"/>
        </w:rPr>
        <w:t xml:space="preserve">narrative reporting </w:t>
      </w:r>
      <w:r w:rsidRPr="003415CC">
        <w:rPr>
          <w:rFonts w:cs="Arial"/>
          <w:sz w:val="22"/>
          <w:szCs w:val="22"/>
        </w:rPr>
        <w:t>framework in the UK.  Subsequently, in 2013</w:t>
      </w:r>
      <w:r w:rsidRPr="009D463F">
        <w:rPr>
          <w:rFonts w:cs="Arial"/>
          <w:sz w:val="22"/>
          <w:szCs w:val="22"/>
        </w:rPr>
        <w:t xml:space="preserve"> regulations</w:t>
      </w:r>
      <w:r w:rsidRPr="00D45B85">
        <w:rPr>
          <w:rStyle w:val="FootnoteReference"/>
          <w:rFonts w:cs="Arial"/>
          <w:szCs w:val="22"/>
        </w:rPr>
        <w:footnoteReference w:id="4"/>
      </w:r>
      <w:r w:rsidRPr="00D45B85">
        <w:rPr>
          <w:rFonts w:cs="Arial"/>
          <w:sz w:val="22"/>
          <w:szCs w:val="22"/>
        </w:rPr>
        <w:t xml:space="preserve"> </w:t>
      </w:r>
      <w:r w:rsidR="009D463F">
        <w:rPr>
          <w:rFonts w:cs="Arial"/>
          <w:sz w:val="22"/>
          <w:szCs w:val="22"/>
        </w:rPr>
        <w:t xml:space="preserve">were introduced </w:t>
      </w:r>
      <w:r w:rsidRPr="00D45B85">
        <w:rPr>
          <w:rFonts w:cs="Arial"/>
          <w:sz w:val="22"/>
          <w:szCs w:val="22"/>
        </w:rPr>
        <w:t xml:space="preserve">to restructure and simplify the reporting framework by amending the Companies Act 2006. </w:t>
      </w:r>
    </w:p>
    <w:p w14:paraId="531AD566" w14:textId="77777777" w:rsidR="00406AAE" w:rsidRPr="004E09CE" w:rsidRDefault="00406AAE" w:rsidP="000A7981">
      <w:pPr>
        <w:spacing w:line="276" w:lineRule="auto"/>
        <w:jc w:val="both"/>
        <w:rPr>
          <w:rFonts w:cs="Arial"/>
          <w:sz w:val="22"/>
          <w:szCs w:val="22"/>
        </w:rPr>
      </w:pPr>
    </w:p>
    <w:p w14:paraId="47797E93" w14:textId="77777777" w:rsidR="00406AAE" w:rsidRPr="00D45B85" w:rsidRDefault="00406AAE" w:rsidP="000A7981">
      <w:pPr>
        <w:spacing w:line="276" w:lineRule="auto"/>
        <w:jc w:val="both"/>
        <w:rPr>
          <w:rFonts w:cs="Arial"/>
          <w:sz w:val="22"/>
          <w:szCs w:val="22"/>
        </w:rPr>
      </w:pPr>
      <w:r w:rsidRPr="004E09CE">
        <w:rPr>
          <w:rFonts w:cs="Arial"/>
          <w:sz w:val="22"/>
          <w:szCs w:val="22"/>
        </w:rPr>
        <w:t>At European level there have been growing conce</w:t>
      </w:r>
      <w:r w:rsidR="002307D9" w:rsidRPr="004E09CE">
        <w:rPr>
          <w:rFonts w:cs="Arial"/>
          <w:sz w:val="22"/>
          <w:szCs w:val="22"/>
        </w:rPr>
        <w:t>rns expressed about the quality and comparability</w:t>
      </w:r>
      <w:r w:rsidRPr="004E09CE">
        <w:rPr>
          <w:rFonts w:cs="Arial"/>
          <w:sz w:val="22"/>
          <w:szCs w:val="22"/>
        </w:rPr>
        <w:t xml:space="preserve"> of narrative information and its utility. These were clearly expressed by stakeholders in their response to an EU consultation in 2011</w:t>
      </w:r>
      <w:r w:rsidRPr="00D45B85">
        <w:rPr>
          <w:rStyle w:val="FootnoteReference"/>
          <w:rFonts w:cs="Arial"/>
          <w:szCs w:val="22"/>
        </w:rPr>
        <w:footnoteReference w:id="5"/>
      </w:r>
      <w:r w:rsidRPr="00D45B85">
        <w:rPr>
          <w:rFonts w:cs="Arial"/>
          <w:sz w:val="22"/>
          <w:szCs w:val="22"/>
        </w:rPr>
        <w:t xml:space="preserve"> and are the driving force for the </w:t>
      </w:r>
      <w:r w:rsidR="003A27F7">
        <w:rPr>
          <w:rFonts w:cs="Arial"/>
          <w:sz w:val="22"/>
          <w:szCs w:val="22"/>
        </w:rPr>
        <w:t>NFRD</w:t>
      </w:r>
      <w:r w:rsidRPr="00D45B85">
        <w:rPr>
          <w:rFonts w:cs="Arial"/>
          <w:sz w:val="22"/>
          <w:szCs w:val="22"/>
        </w:rPr>
        <w:t xml:space="preserve">’s proposed changes. </w:t>
      </w:r>
    </w:p>
    <w:p w14:paraId="1AF9A30C" w14:textId="77777777" w:rsidR="00214F5E" w:rsidRPr="004E09CE" w:rsidRDefault="00214F5E" w:rsidP="000A7981">
      <w:pPr>
        <w:keepNext/>
        <w:keepLines/>
        <w:spacing w:before="360" w:after="240" w:line="276" w:lineRule="auto"/>
        <w:jc w:val="both"/>
        <w:outlineLvl w:val="2"/>
        <w:rPr>
          <w:rFonts w:cs="Arial"/>
          <w:b/>
          <w:bCs/>
          <w:i/>
          <w:sz w:val="22"/>
          <w:szCs w:val="22"/>
          <w:lang w:eastAsia="en-GB"/>
        </w:rPr>
      </w:pPr>
      <w:r w:rsidRPr="004E09CE">
        <w:rPr>
          <w:rFonts w:cs="Arial"/>
          <w:b/>
          <w:bCs/>
          <w:i/>
          <w:sz w:val="22"/>
          <w:szCs w:val="22"/>
          <w:lang w:eastAsia="en-GB"/>
        </w:rPr>
        <w:t>Quality of non</w:t>
      </w:r>
      <w:r w:rsidR="002307D9" w:rsidRPr="004E09CE">
        <w:rPr>
          <w:rFonts w:cs="Arial"/>
          <w:b/>
          <w:bCs/>
          <w:i/>
          <w:sz w:val="22"/>
          <w:szCs w:val="22"/>
          <w:lang w:eastAsia="en-GB"/>
        </w:rPr>
        <w:t>-</w:t>
      </w:r>
      <w:r w:rsidRPr="004E09CE">
        <w:rPr>
          <w:rFonts w:cs="Arial"/>
          <w:b/>
          <w:bCs/>
          <w:i/>
          <w:sz w:val="22"/>
          <w:szCs w:val="22"/>
          <w:lang w:eastAsia="en-GB"/>
        </w:rPr>
        <w:t xml:space="preserve">financial disclosure </w:t>
      </w:r>
    </w:p>
    <w:p w14:paraId="75F0CE6F" w14:textId="77777777" w:rsidR="00214F5E" w:rsidRPr="00D45B85" w:rsidRDefault="00214F5E" w:rsidP="000A7981">
      <w:pPr>
        <w:spacing w:line="276" w:lineRule="auto"/>
        <w:jc w:val="both"/>
        <w:rPr>
          <w:rFonts w:cs="Arial"/>
          <w:sz w:val="22"/>
          <w:szCs w:val="22"/>
        </w:rPr>
      </w:pPr>
      <w:r w:rsidRPr="004E09CE">
        <w:rPr>
          <w:rFonts w:cs="Arial"/>
          <w:sz w:val="22"/>
          <w:szCs w:val="22"/>
        </w:rPr>
        <w:t>The environmental and social impacts of businesses have been subject to public debates for at least three decades. There have been some serious incidents, allegedly caused by the relevant businesses’ failure to manage properly the environmental and social risks, which have received significant public attention and media coverage</w:t>
      </w:r>
      <w:r w:rsidRPr="00D45B85">
        <w:rPr>
          <w:rStyle w:val="FootnoteReference"/>
          <w:rFonts w:cs="Arial"/>
          <w:szCs w:val="22"/>
        </w:rPr>
        <w:footnoteReference w:id="6"/>
      </w:r>
      <w:r w:rsidRPr="00D45B85">
        <w:rPr>
          <w:rFonts w:cs="Arial"/>
          <w:sz w:val="22"/>
          <w:szCs w:val="22"/>
        </w:rPr>
        <w:t>.  Market and social pressure on businesses, for better non-financial reporting in the UK, have been growing over recent years and sustainability is moving up the corporate agenda</w:t>
      </w:r>
      <w:r w:rsidRPr="004E09CE">
        <w:rPr>
          <w:rFonts w:cs="Arial"/>
          <w:sz w:val="22"/>
          <w:szCs w:val="22"/>
        </w:rPr>
        <w:t>. In parallel, the EU found that non-financial performance appears to be considered increasingly important to investment strategies, particularly the long-term ones, as demand for non-financial information by both socially responsible and mainstream investors’ increases</w:t>
      </w:r>
      <w:r w:rsidRPr="00D45B85">
        <w:rPr>
          <w:rStyle w:val="FootnoteReference"/>
          <w:rFonts w:cs="Arial"/>
          <w:szCs w:val="22"/>
        </w:rPr>
        <w:footnoteReference w:id="7"/>
      </w:r>
      <w:r w:rsidRPr="00D45B85">
        <w:rPr>
          <w:rFonts w:cs="Arial"/>
          <w:sz w:val="22"/>
          <w:szCs w:val="22"/>
        </w:rPr>
        <w:t>. The proliferation of sustainability ratings and indexes could also be seen as additional evidence in this respect.</w:t>
      </w:r>
      <w:r w:rsidRPr="00D45B85">
        <w:rPr>
          <w:rFonts w:cs="Arial"/>
          <w:sz w:val="22"/>
          <w:szCs w:val="22"/>
          <w:vertAlign w:val="superscript"/>
        </w:rPr>
        <w:footnoteReference w:id="8"/>
      </w:r>
    </w:p>
    <w:p w14:paraId="322C78AD" w14:textId="77777777" w:rsidR="00214F5E" w:rsidRPr="004E09CE" w:rsidRDefault="00214F5E" w:rsidP="000A7981">
      <w:pPr>
        <w:spacing w:line="276" w:lineRule="auto"/>
        <w:jc w:val="both"/>
        <w:rPr>
          <w:rFonts w:cs="Arial"/>
          <w:sz w:val="22"/>
          <w:szCs w:val="22"/>
        </w:rPr>
      </w:pPr>
    </w:p>
    <w:p w14:paraId="6F1E6487" w14:textId="77777777" w:rsidR="00214F5E" w:rsidRPr="00D45B85" w:rsidRDefault="009D463F" w:rsidP="000A7981">
      <w:pPr>
        <w:spacing w:line="276" w:lineRule="auto"/>
        <w:jc w:val="both"/>
        <w:rPr>
          <w:rFonts w:cs="Arial"/>
          <w:sz w:val="22"/>
          <w:szCs w:val="22"/>
        </w:rPr>
      </w:pPr>
      <w:r>
        <w:rPr>
          <w:rFonts w:cs="Arial"/>
          <w:sz w:val="22"/>
          <w:szCs w:val="22"/>
        </w:rPr>
        <w:t>S</w:t>
      </w:r>
      <w:r w:rsidR="00214F5E" w:rsidRPr="004E09CE">
        <w:rPr>
          <w:rFonts w:cs="Arial"/>
          <w:sz w:val="22"/>
          <w:szCs w:val="22"/>
        </w:rPr>
        <w:t>tatistics have shown almost 80% of the world’s 250 largest companies report on their sustainability; and the number of EU companies publishing sustainability reports using, for example the Global Reporting Initiative guidelines, has increased from 270 in 2006 to over 815 in 2011</w:t>
      </w:r>
      <w:r w:rsidR="00214F5E" w:rsidRPr="00D45B85">
        <w:rPr>
          <w:rFonts w:cs="Arial"/>
          <w:sz w:val="22"/>
          <w:szCs w:val="22"/>
          <w:vertAlign w:val="superscript"/>
        </w:rPr>
        <w:footnoteReference w:id="9"/>
      </w:r>
      <w:r w:rsidR="00214F5E" w:rsidRPr="00D45B85">
        <w:rPr>
          <w:rFonts w:cs="Arial"/>
          <w:sz w:val="22"/>
          <w:szCs w:val="22"/>
        </w:rPr>
        <w:t xml:space="preserve">. </w:t>
      </w:r>
    </w:p>
    <w:p w14:paraId="7C038D85" w14:textId="77777777" w:rsidR="00214F5E" w:rsidRPr="004E09CE" w:rsidRDefault="00214F5E" w:rsidP="000A7981">
      <w:pPr>
        <w:spacing w:line="276" w:lineRule="auto"/>
        <w:jc w:val="both"/>
        <w:rPr>
          <w:rFonts w:cs="Arial"/>
          <w:sz w:val="22"/>
          <w:szCs w:val="22"/>
        </w:rPr>
      </w:pPr>
    </w:p>
    <w:p w14:paraId="2F591889" w14:textId="77777777" w:rsidR="00214F5E" w:rsidRPr="00D45B85" w:rsidRDefault="00214F5E" w:rsidP="000A7981">
      <w:pPr>
        <w:spacing w:line="276" w:lineRule="auto"/>
        <w:jc w:val="both"/>
        <w:rPr>
          <w:rFonts w:cs="Arial"/>
          <w:sz w:val="22"/>
          <w:szCs w:val="22"/>
        </w:rPr>
      </w:pPr>
      <w:r w:rsidRPr="004E09CE">
        <w:rPr>
          <w:rFonts w:cs="Arial"/>
          <w:sz w:val="22"/>
          <w:szCs w:val="22"/>
        </w:rPr>
        <w:t xml:space="preserve">The analysis and the public consultations conducted by EU Commission noted that, despite such uptake of companies using reporting frameworks to prepare non-financial statements, the pace of progress towards more transparent disclosure practices remains slow. The majority of users (including particular investors and civil society organisations) consider </w:t>
      </w:r>
      <w:r w:rsidR="005F3D89">
        <w:rPr>
          <w:rFonts w:cs="Arial"/>
          <w:sz w:val="22"/>
          <w:szCs w:val="22"/>
        </w:rPr>
        <w:t xml:space="preserve">that </w:t>
      </w:r>
      <w:r w:rsidRPr="004E09CE">
        <w:rPr>
          <w:rFonts w:cs="Arial"/>
          <w:sz w:val="22"/>
          <w:szCs w:val="22"/>
        </w:rPr>
        <w:t>the current level of transparency in this field is unable to meet their information needs</w:t>
      </w:r>
      <w:r w:rsidRPr="00D45B85">
        <w:rPr>
          <w:rStyle w:val="FootnoteReference"/>
          <w:rFonts w:cs="Arial"/>
          <w:szCs w:val="22"/>
        </w:rPr>
        <w:footnoteReference w:id="10"/>
      </w:r>
      <w:r w:rsidRPr="00D45B85">
        <w:rPr>
          <w:rFonts w:cs="Arial"/>
          <w:sz w:val="22"/>
          <w:szCs w:val="22"/>
        </w:rPr>
        <w:t>.</w:t>
      </w:r>
    </w:p>
    <w:p w14:paraId="080F04EF" w14:textId="77777777" w:rsidR="00214F5E" w:rsidRPr="004E09CE" w:rsidRDefault="00214F5E" w:rsidP="000A7981">
      <w:pPr>
        <w:spacing w:line="276" w:lineRule="auto"/>
        <w:jc w:val="both"/>
        <w:rPr>
          <w:rFonts w:cs="Arial"/>
          <w:sz w:val="22"/>
          <w:szCs w:val="22"/>
        </w:rPr>
      </w:pPr>
    </w:p>
    <w:p w14:paraId="433CEB0A" w14:textId="77777777" w:rsidR="00214F5E" w:rsidRPr="004E09CE" w:rsidRDefault="00214F5E" w:rsidP="000A7981">
      <w:pPr>
        <w:spacing w:line="276" w:lineRule="auto"/>
        <w:jc w:val="both"/>
        <w:rPr>
          <w:rFonts w:cs="Arial"/>
          <w:sz w:val="22"/>
          <w:szCs w:val="22"/>
        </w:rPr>
      </w:pPr>
      <w:r w:rsidRPr="004E09CE">
        <w:rPr>
          <w:rFonts w:cs="Arial"/>
          <w:sz w:val="22"/>
          <w:szCs w:val="22"/>
        </w:rPr>
        <w:t xml:space="preserve">The lack of transparent non-financial information affects specific stakeholder groups: preparers (companies) and users (investors, </w:t>
      </w:r>
      <w:r w:rsidR="004B5F0F" w:rsidRPr="004E09CE">
        <w:rPr>
          <w:rFonts w:cs="Arial"/>
          <w:sz w:val="22"/>
          <w:szCs w:val="22"/>
        </w:rPr>
        <w:t xml:space="preserve">non-governmental organisations </w:t>
      </w:r>
      <w:r w:rsidRPr="004E09CE">
        <w:rPr>
          <w:rFonts w:cs="Arial"/>
          <w:sz w:val="22"/>
          <w:szCs w:val="22"/>
        </w:rPr>
        <w:t xml:space="preserve">(NGOs) and public authorities). These effects are as follows:  </w:t>
      </w:r>
    </w:p>
    <w:p w14:paraId="1311AA8A" w14:textId="77777777" w:rsidR="00214F5E" w:rsidRPr="004E09CE" w:rsidRDefault="00214F5E" w:rsidP="000A7981">
      <w:pPr>
        <w:spacing w:line="276" w:lineRule="auto"/>
        <w:jc w:val="both"/>
        <w:rPr>
          <w:rFonts w:cs="Arial"/>
          <w:sz w:val="22"/>
          <w:szCs w:val="22"/>
        </w:rPr>
      </w:pPr>
    </w:p>
    <w:p w14:paraId="27C823AF" w14:textId="77777777" w:rsidR="00214F5E" w:rsidRPr="004E09CE" w:rsidRDefault="00214F5E" w:rsidP="000A7981">
      <w:pPr>
        <w:numPr>
          <w:ilvl w:val="0"/>
          <w:numId w:val="48"/>
        </w:numPr>
        <w:spacing w:line="276" w:lineRule="auto"/>
        <w:contextualSpacing/>
        <w:jc w:val="both"/>
        <w:rPr>
          <w:rFonts w:cs="Arial"/>
          <w:sz w:val="22"/>
          <w:szCs w:val="22"/>
        </w:rPr>
      </w:pPr>
      <w:r w:rsidRPr="004E09CE">
        <w:rPr>
          <w:rFonts w:cs="Arial"/>
          <w:sz w:val="22"/>
          <w:szCs w:val="22"/>
        </w:rPr>
        <w:t>Company performance can be suboptimal if companies do not fully integrate non-financial risks and opportunities into their business strategies;</w:t>
      </w:r>
    </w:p>
    <w:p w14:paraId="440DC937" w14:textId="77777777" w:rsidR="00214F5E" w:rsidRPr="004E09CE" w:rsidRDefault="0082307E" w:rsidP="000A7981">
      <w:pPr>
        <w:numPr>
          <w:ilvl w:val="0"/>
          <w:numId w:val="48"/>
        </w:numPr>
        <w:spacing w:line="276" w:lineRule="auto"/>
        <w:contextualSpacing/>
        <w:jc w:val="both"/>
        <w:rPr>
          <w:rFonts w:cs="Arial"/>
          <w:sz w:val="22"/>
          <w:szCs w:val="22"/>
        </w:rPr>
      </w:pPr>
      <w:r>
        <w:rPr>
          <w:rFonts w:cs="Arial"/>
          <w:sz w:val="22"/>
          <w:szCs w:val="22"/>
        </w:rPr>
        <w:t>Investors</w:t>
      </w:r>
      <w:r w:rsidR="00214F5E" w:rsidRPr="004E09CE">
        <w:rPr>
          <w:rFonts w:cs="Arial"/>
          <w:sz w:val="22"/>
          <w:szCs w:val="22"/>
        </w:rPr>
        <w:t xml:space="preserve"> and other users see companies as less accountable as they feel their information needs are not being addressed; and</w:t>
      </w:r>
    </w:p>
    <w:p w14:paraId="5FED183F" w14:textId="77777777" w:rsidR="00214F5E" w:rsidRPr="004E09CE" w:rsidRDefault="00214F5E" w:rsidP="000A7981">
      <w:pPr>
        <w:numPr>
          <w:ilvl w:val="0"/>
          <w:numId w:val="48"/>
        </w:numPr>
        <w:spacing w:line="276" w:lineRule="auto"/>
        <w:contextualSpacing/>
        <w:jc w:val="both"/>
        <w:rPr>
          <w:rFonts w:cs="Arial"/>
          <w:sz w:val="22"/>
          <w:szCs w:val="22"/>
        </w:rPr>
      </w:pPr>
      <w:r w:rsidRPr="004E09CE">
        <w:rPr>
          <w:rFonts w:cs="Arial"/>
          <w:sz w:val="22"/>
          <w:szCs w:val="22"/>
        </w:rPr>
        <w:lastRenderedPageBreak/>
        <w:t xml:space="preserve">Investors and </w:t>
      </w:r>
      <w:r w:rsidR="00E54C87">
        <w:rPr>
          <w:rFonts w:cs="Arial"/>
          <w:sz w:val="22"/>
          <w:szCs w:val="22"/>
        </w:rPr>
        <w:t>creditors</w:t>
      </w:r>
      <w:r w:rsidRPr="004E09CE">
        <w:rPr>
          <w:rFonts w:cs="Arial"/>
          <w:sz w:val="22"/>
          <w:szCs w:val="22"/>
        </w:rPr>
        <w:t xml:space="preserve">, due to the lack of high quality non-financial information, may fail to build this information into their decision-making processes and make sub-optimal decisions as a result. </w:t>
      </w:r>
    </w:p>
    <w:p w14:paraId="25C81DDA" w14:textId="77777777" w:rsidR="00214F5E" w:rsidRPr="00266F21" w:rsidRDefault="00214F5E" w:rsidP="000A7981">
      <w:pPr>
        <w:spacing w:line="276" w:lineRule="auto"/>
        <w:jc w:val="both"/>
        <w:rPr>
          <w:rFonts w:cs="Arial"/>
          <w:sz w:val="22"/>
          <w:szCs w:val="22"/>
        </w:rPr>
      </w:pPr>
    </w:p>
    <w:p w14:paraId="092DFC6E" w14:textId="77777777" w:rsidR="00214F5E" w:rsidRPr="00D45B85" w:rsidRDefault="00214F5E" w:rsidP="000A7981">
      <w:pPr>
        <w:spacing w:line="276" w:lineRule="auto"/>
        <w:jc w:val="both"/>
        <w:rPr>
          <w:rFonts w:cs="Arial"/>
          <w:sz w:val="22"/>
          <w:szCs w:val="22"/>
        </w:rPr>
      </w:pPr>
      <w:r w:rsidRPr="00FC03D5">
        <w:rPr>
          <w:rFonts w:cs="Arial"/>
          <w:sz w:val="22"/>
          <w:szCs w:val="22"/>
        </w:rPr>
        <w:t xml:space="preserve">Overall, according to the </w:t>
      </w:r>
      <w:r w:rsidR="004B5F0F">
        <w:rPr>
          <w:rFonts w:cs="Arial"/>
          <w:sz w:val="22"/>
          <w:szCs w:val="22"/>
        </w:rPr>
        <w:t xml:space="preserve">European </w:t>
      </w:r>
      <w:r w:rsidRPr="00FC03D5">
        <w:rPr>
          <w:rFonts w:cs="Arial"/>
          <w:sz w:val="22"/>
          <w:szCs w:val="22"/>
        </w:rPr>
        <w:t>Commission, the majority of users consider that information currently provided by companies is often not sufficiently material, balanced, accurate, timely and comparable. The following specific points in response to the EU Commission</w:t>
      </w:r>
      <w:r w:rsidR="004B5F0F">
        <w:rPr>
          <w:rFonts w:cs="Arial"/>
          <w:sz w:val="22"/>
          <w:szCs w:val="22"/>
        </w:rPr>
        <w:t>’</w:t>
      </w:r>
      <w:r w:rsidRPr="00FC03D5">
        <w:rPr>
          <w:rFonts w:cs="Arial"/>
          <w:sz w:val="22"/>
          <w:szCs w:val="22"/>
        </w:rPr>
        <w:t>s consultation on Non-Financial Disclosure</w:t>
      </w:r>
      <w:r w:rsidRPr="00D45B85">
        <w:rPr>
          <w:rStyle w:val="FootnoteReference"/>
          <w:rFonts w:cs="Arial"/>
          <w:szCs w:val="22"/>
        </w:rPr>
        <w:footnoteReference w:id="11"/>
      </w:r>
      <w:r w:rsidRPr="00D45B85">
        <w:rPr>
          <w:rFonts w:cs="Arial"/>
          <w:sz w:val="22"/>
          <w:szCs w:val="22"/>
        </w:rPr>
        <w:t xml:space="preserve"> were highlighted:</w:t>
      </w:r>
    </w:p>
    <w:p w14:paraId="4439BF55" w14:textId="77777777" w:rsidR="00214F5E" w:rsidRPr="004E09CE" w:rsidRDefault="00214F5E" w:rsidP="000A7981">
      <w:pPr>
        <w:spacing w:line="276" w:lineRule="auto"/>
        <w:jc w:val="both"/>
        <w:rPr>
          <w:rFonts w:cs="Arial"/>
          <w:sz w:val="22"/>
          <w:szCs w:val="22"/>
        </w:rPr>
      </w:pPr>
    </w:p>
    <w:p w14:paraId="766E02A2" w14:textId="77777777" w:rsidR="00214F5E" w:rsidRPr="004E09CE" w:rsidRDefault="00214F5E" w:rsidP="000A7981">
      <w:pPr>
        <w:numPr>
          <w:ilvl w:val="0"/>
          <w:numId w:val="47"/>
        </w:numPr>
        <w:spacing w:line="276" w:lineRule="auto"/>
        <w:contextualSpacing/>
        <w:jc w:val="both"/>
        <w:rPr>
          <w:rFonts w:cs="Arial"/>
          <w:sz w:val="22"/>
          <w:szCs w:val="22"/>
        </w:rPr>
      </w:pPr>
      <w:r w:rsidRPr="004E09CE">
        <w:rPr>
          <w:rFonts w:cs="Arial"/>
          <w:sz w:val="22"/>
          <w:szCs w:val="22"/>
        </w:rPr>
        <w:t>Companies focus on positive aspects of their performance only;</w:t>
      </w:r>
    </w:p>
    <w:p w14:paraId="7567EA1F" w14:textId="77777777" w:rsidR="00214F5E" w:rsidRPr="004E09CE" w:rsidRDefault="00214F5E" w:rsidP="000A7981">
      <w:pPr>
        <w:numPr>
          <w:ilvl w:val="0"/>
          <w:numId w:val="47"/>
        </w:numPr>
        <w:spacing w:line="276" w:lineRule="auto"/>
        <w:contextualSpacing/>
        <w:jc w:val="both"/>
        <w:rPr>
          <w:rFonts w:cs="Arial"/>
          <w:sz w:val="22"/>
          <w:szCs w:val="22"/>
        </w:rPr>
      </w:pPr>
      <w:r w:rsidRPr="004E09CE">
        <w:rPr>
          <w:rFonts w:cs="Arial"/>
          <w:sz w:val="22"/>
          <w:szCs w:val="22"/>
        </w:rPr>
        <w:t xml:space="preserve">Reports are often considered inconsistent over time or information is not disclosed on a yearly basis; </w:t>
      </w:r>
    </w:p>
    <w:p w14:paraId="2E8DAF68" w14:textId="77777777" w:rsidR="00214F5E" w:rsidRPr="004E09CE" w:rsidRDefault="00214F5E" w:rsidP="000A7981">
      <w:pPr>
        <w:numPr>
          <w:ilvl w:val="0"/>
          <w:numId w:val="47"/>
        </w:numPr>
        <w:spacing w:line="276" w:lineRule="auto"/>
        <w:contextualSpacing/>
        <w:jc w:val="both"/>
        <w:rPr>
          <w:rFonts w:cs="Arial"/>
          <w:sz w:val="22"/>
          <w:szCs w:val="22"/>
        </w:rPr>
      </w:pPr>
      <w:r w:rsidRPr="004E09CE">
        <w:rPr>
          <w:rFonts w:cs="Arial"/>
          <w:sz w:val="22"/>
          <w:szCs w:val="22"/>
        </w:rPr>
        <w:t xml:space="preserve">Performance-related information is not reported and material negative </w:t>
      </w:r>
      <w:r w:rsidR="00122FA3">
        <w:rPr>
          <w:rFonts w:cs="Arial"/>
          <w:sz w:val="22"/>
          <w:szCs w:val="22"/>
        </w:rPr>
        <w:t>impacts</w:t>
      </w:r>
      <w:r w:rsidRPr="004E09CE">
        <w:rPr>
          <w:rFonts w:cs="Arial"/>
          <w:sz w:val="22"/>
          <w:szCs w:val="22"/>
        </w:rPr>
        <w:t xml:space="preserve"> are often not disclosed;</w:t>
      </w:r>
    </w:p>
    <w:p w14:paraId="0C8F0446" w14:textId="77777777" w:rsidR="00214F5E" w:rsidRPr="004E09CE" w:rsidRDefault="00214F5E" w:rsidP="000A7981">
      <w:pPr>
        <w:numPr>
          <w:ilvl w:val="0"/>
          <w:numId w:val="47"/>
        </w:numPr>
        <w:spacing w:line="276" w:lineRule="auto"/>
        <w:contextualSpacing/>
        <w:jc w:val="both"/>
        <w:rPr>
          <w:rFonts w:cs="Arial"/>
          <w:sz w:val="22"/>
          <w:szCs w:val="22"/>
        </w:rPr>
      </w:pPr>
      <w:r w:rsidRPr="004E09CE">
        <w:rPr>
          <w:rFonts w:cs="Arial"/>
          <w:sz w:val="22"/>
          <w:szCs w:val="22"/>
        </w:rPr>
        <w:t>Disclosures do not cover aspects of significant relevance to both internal and external stakeholders, particularly on risk management aspects, human rights and corruption matters; and</w:t>
      </w:r>
    </w:p>
    <w:p w14:paraId="65A39C96" w14:textId="77777777" w:rsidR="00214F5E" w:rsidRPr="00D45B85" w:rsidRDefault="00214F5E" w:rsidP="000A7981">
      <w:pPr>
        <w:numPr>
          <w:ilvl w:val="0"/>
          <w:numId w:val="47"/>
        </w:numPr>
        <w:spacing w:line="276" w:lineRule="auto"/>
        <w:contextualSpacing/>
        <w:jc w:val="both"/>
        <w:rPr>
          <w:rFonts w:cs="Arial"/>
          <w:sz w:val="22"/>
          <w:szCs w:val="22"/>
        </w:rPr>
      </w:pPr>
      <w:r w:rsidRPr="004E09CE">
        <w:rPr>
          <w:rFonts w:cs="Arial"/>
          <w:sz w:val="22"/>
          <w:szCs w:val="22"/>
        </w:rPr>
        <w:t xml:space="preserve">The </w:t>
      </w:r>
      <w:r w:rsidR="00122FA3">
        <w:rPr>
          <w:rFonts w:cs="Arial"/>
          <w:sz w:val="22"/>
          <w:szCs w:val="22"/>
        </w:rPr>
        <w:t>u</w:t>
      </w:r>
      <w:r w:rsidRPr="004E09CE">
        <w:rPr>
          <w:rFonts w:cs="Arial"/>
          <w:sz w:val="22"/>
          <w:szCs w:val="22"/>
        </w:rPr>
        <w:t>se of Key Performance indicators (KPI</w:t>
      </w:r>
      <w:r w:rsidR="00122FA3">
        <w:rPr>
          <w:rFonts w:cs="Arial"/>
          <w:sz w:val="22"/>
          <w:szCs w:val="22"/>
        </w:rPr>
        <w:t>s</w:t>
      </w:r>
      <w:r w:rsidRPr="004E09CE">
        <w:rPr>
          <w:rFonts w:cs="Arial"/>
          <w:sz w:val="22"/>
          <w:szCs w:val="22"/>
        </w:rPr>
        <w:t>) is considered poor by most users</w:t>
      </w:r>
      <w:r w:rsidR="00122FA3">
        <w:rPr>
          <w:rFonts w:cs="Arial"/>
          <w:sz w:val="22"/>
          <w:szCs w:val="22"/>
        </w:rPr>
        <w:t>.</w:t>
      </w:r>
      <w:r w:rsidRPr="00D45B85">
        <w:rPr>
          <w:rFonts w:cs="Arial"/>
          <w:sz w:val="22"/>
          <w:szCs w:val="22"/>
          <w:vertAlign w:val="superscript"/>
        </w:rPr>
        <w:footnoteReference w:id="12"/>
      </w:r>
    </w:p>
    <w:p w14:paraId="50BB184F" w14:textId="77777777" w:rsidR="00214F5E" w:rsidRPr="004E09CE" w:rsidRDefault="00214F5E" w:rsidP="000A7981">
      <w:pPr>
        <w:spacing w:line="276" w:lineRule="auto"/>
        <w:jc w:val="both"/>
        <w:rPr>
          <w:rFonts w:cs="Arial"/>
          <w:sz w:val="22"/>
          <w:szCs w:val="22"/>
        </w:rPr>
      </w:pPr>
    </w:p>
    <w:p w14:paraId="34A0652B" w14:textId="77777777" w:rsidR="00214F5E" w:rsidRPr="00D45B85" w:rsidRDefault="00214F5E" w:rsidP="000A7981">
      <w:pPr>
        <w:spacing w:line="276" w:lineRule="auto"/>
        <w:jc w:val="both"/>
        <w:rPr>
          <w:rFonts w:cs="Arial"/>
          <w:sz w:val="22"/>
          <w:szCs w:val="22"/>
        </w:rPr>
      </w:pPr>
      <w:r w:rsidRPr="004E09CE">
        <w:rPr>
          <w:rFonts w:cs="Arial"/>
          <w:sz w:val="22"/>
          <w:szCs w:val="22"/>
        </w:rPr>
        <w:t>Supporting these findings is a report published by the United Nations Conference on Trade and Development (UNCTAD) in 2010</w:t>
      </w:r>
      <w:r w:rsidRPr="00D45B85">
        <w:rPr>
          <w:rStyle w:val="FootnoteReference"/>
          <w:rFonts w:cs="Arial"/>
          <w:szCs w:val="22"/>
        </w:rPr>
        <w:footnoteReference w:id="13"/>
      </w:r>
      <w:r w:rsidR="004B5F0F">
        <w:rPr>
          <w:rFonts w:cs="Arial"/>
          <w:sz w:val="22"/>
          <w:szCs w:val="22"/>
        </w:rPr>
        <w:t xml:space="preserve"> </w:t>
      </w:r>
      <w:r w:rsidRPr="00D45B85">
        <w:rPr>
          <w:rFonts w:cs="Arial"/>
          <w:sz w:val="22"/>
          <w:szCs w:val="22"/>
        </w:rPr>
        <w:t>that underlines significant inconsistency in reports. According to other research, of the 20,000 public listed companies recently interviewed by Bloomberg, only 25% publicly reported on a single piece of quantitative data concerning e</w:t>
      </w:r>
      <w:r w:rsidRPr="004E09CE">
        <w:rPr>
          <w:rFonts w:cs="Arial"/>
          <w:sz w:val="22"/>
          <w:szCs w:val="22"/>
        </w:rPr>
        <w:t>nvironmental, social or governance issues</w:t>
      </w:r>
      <w:r w:rsidRPr="00D45B85">
        <w:rPr>
          <w:rStyle w:val="FootnoteReference"/>
          <w:rFonts w:cs="Arial"/>
          <w:szCs w:val="22"/>
        </w:rPr>
        <w:footnoteReference w:id="14"/>
      </w:r>
      <w:r w:rsidRPr="00D45B85">
        <w:rPr>
          <w:rFonts w:cs="Arial"/>
          <w:sz w:val="22"/>
          <w:szCs w:val="22"/>
        </w:rPr>
        <w:t>. As regards human rights in particular, a study conducted by the University of Edinburgh showed information</w:t>
      </w:r>
      <w:r w:rsidR="0063153B">
        <w:rPr>
          <w:rFonts w:cs="Arial"/>
          <w:sz w:val="22"/>
          <w:szCs w:val="22"/>
        </w:rPr>
        <w:t xml:space="preserve"> reported by companies</w:t>
      </w:r>
      <w:r w:rsidRPr="00D45B85">
        <w:rPr>
          <w:rFonts w:cs="Arial"/>
          <w:sz w:val="22"/>
          <w:szCs w:val="22"/>
        </w:rPr>
        <w:t>, in most cases, is isolated and anecdotal</w:t>
      </w:r>
      <w:r w:rsidRPr="00D45B85">
        <w:rPr>
          <w:rStyle w:val="FootnoteReference"/>
          <w:rFonts w:cs="Arial"/>
          <w:szCs w:val="22"/>
        </w:rPr>
        <w:footnoteReference w:id="15"/>
      </w:r>
      <w:r w:rsidRPr="00D45B85">
        <w:rPr>
          <w:rFonts w:cs="Arial"/>
          <w:sz w:val="22"/>
          <w:szCs w:val="22"/>
        </w:rPr>
        <w:t>.</w:t>
      </w:r>
    </w:p>
    <w:p w14:paraId="0855EDA1" w14:textId="77777777" w:rsidR="003D0FC4" w:rsidRPr="004E09CE" w:rsidRDefault="00E726ED" w:rsidP="000A7981">
      <w:pPr>
        <w:keepNext/>
        <w:keepLines/>
        <w:spacing w:before="360" w:after="240" w:line="276" w:lineRule="auto"/>
        <w:jc w:val="both"/>
        <w:outlineLvl w:val="2"/>
        <w:rPr>
          <w:rFonts w:cs="Arial"/>
          <w:b/>
          <w:bCs/>
          <w:i/>
          <w:sz w:val="22"/>
          <w:szCs w:val="22"/>
          <w:lang w:eastAsia="en-GB"/>
        </w:rPr>
      </w:pPr>
      <w:r>
        <w:rPr>
          <w:rFonts w:cs="Arial"/>
          <w:b/>
          <w:bCs/>
          <w:i/>
          <w:sz w:val="22"/>
          <w:szCs w:val="22"/>
          <w:lang w:eastAsia="en-GB"/>
        </w:rPr>
        <w:t xml:space="preserve">Disclosure and </w:t>
      </w:r>
      <w:r w:rsidR="00A97E0B">
        <w:rPr>
          <w:rFonts w:cs="Arial"/>
          <w:b/>
          <w:bCs/>
          <w:i/>
          <w:sz w:val="22"/>
          <w:szCs w:val="22"/>
          <w:lang w:eastAsia="en-GB"/>
        </w:rPr>
        <w:t>c</w:t>
      </w:r>
      <w:r w:rsidR="003D0FC4" w:rsidRPr="004E09CE">
        <w:rPr>
          <w:rFonts w:cs="Arial"/>
          <w:b/>
          <w:bCs/>
          <w:i/>
          <w:sz w:val="22"/>
          <w:szCs w:val="22"/>
          <w:lang w:eastAsia="en-GB"/>
        </w:rPr>
        <w:t xml:space="preserve">omparability of information </w:t>
      </w:r>
    </w:p>
    <w:p w14:paraId="6389E625" w14:textId="77777777" w:rsidR="003D0FC4" w:rsidRDefault="003D0FC4" w:rsidP="000A7981">
      <w:pPr>
        <w:spacing w:line="276" w:lineRule="auto"/>
        <w:jc w:val="both"/>
        <w:rPr>
          <w:rFonts w:cs="Arial"/>
          <w:sz w:val="22"/>
          <w:szCs w:val="22"/>
        </w:rPr>
      </w:pPr>
      <w:r w:rsidRPr="004E09CE">
        <w:rPr>
          <w:rFonts w:cs="Arial"/>
          <w:sz w:val="22"/>
          <w:szCs w:val="22"/>
        </w:rPr>
        <w:t>More than 50% of the reports are published by companies established in only four large Member States (United Kingdom, Germany, Spain and France)</w:t>
      </w:r>
      <w:r w:rsidRPr="00D45B85">
        <w:rPr>
          <w:rStyle w:val="FootnoteReference"/>
          <w:rFonts w:cs="Arial"/>
          <w:szCs w:val="22"/>
        </w:rPr>
        <w:footnoteReference w:id="16"/>
      </w:r>
      <w:r w:rsidRPr="00D45B85">
        <w:rPr>
          <w:rFonts w:cs="Arial"/>
          <w:sz w:val="22"/>
          <w:szCs w:val="22"/>
        </w:rPr>
        <w:t xml:space="preserve">. </w:t>
      </w:r>
    </w:p>
    <w:p w14:paraId="3C4EFD2C" w14:textId="77777777" w:rsidR="004B5F0F" w:rsidRPr="004E09CE" w:rsidRDefault="004B5F0F" w:rsidP="000A7981">
      <w:pPr>
        <w:spacing w:line="276" w:lineRule="auto"/>
        <w:jc w:val="both"/>
        <w:rPr>
          <w:rFonts w:cs="Arial"/>
          <w:sz w:val="22"/>
          <w:szCs w:val="22"/>
        </w:rPr>
      </w:pPr>
    </w:p>
    <w:p w14:paraId="3D5351C2" w14:textId="77777777" w:rsidR="003D0FC4" w:rsidRPr="004E09CE" w:rsidRDefault="003D0FC4" w:rsidP="000A7981">
      <w:pPr>
        <w:spacing w:line="276" w:lineRule="auto"/>
        <w:jc w:val="both"/>
        <w:rPr>
          <w:rFonts w:cs="Arial"/>
          <w:sz w:val="22"/>
          <w:szCs w:val="22"/>
        </w:rPr>
      </w:pPr>
      <w:r w:rsidRPr="004E09CE">
        <w:rPr>
          <w:rFonts w:cs="Arial"/>
          <w:sz w:val="22"/>
          <w:szCs w:val="22"/>
        </w:rPr>
        <w:t xml:space="preserve">Alongside the importance of reporting per se, the second issue addressed here is the comparability of information that companies disclose. While there is much debate on companies being able to demonstrate their individuality via their reporting there can be a need for investors </w:t>
      </w:r>
      <w:r w:rsidR="00E726ED">
        <w:rPr>
          <w:rFonts w:cs="Arial"/>
          <w:sz w:val="22"/>
          <w:szCs w:val="22"/>
        </w:rPr>
        <w:t xml:space="preserve">and creditors </w:t>
      </w:r>
      <w:r w:rsidRPr="004E09CE">
        <w:rPr>
          <w:rFonts w:cs="Arial"/>
          <w:sz w:val="22"/>
          <w:szCs w:val="22"/>
        </w:rPr>
        <w:t xml:space="preserve">to be able to compare company performance in various areas. For example an investor interested in the long term sustainability of a company may be interested in comparing the environmental performance of various companies in a similar field. </w:t>
      </w:r>
      <w:r w:rsidR="00E726ED">
        <w:rPr>
          <w:rFonts w:cs="Arial"/>
          <w:sz w:val="22"/>
          <w:szCs w:val="22"/>
        </w:rPr>
        <w:t xml:space="preserve">Similarly an investor investing in </w:t>
      </w:r>
      <w:r w:rsidR="00582144">
        <w:rPr>
          <w:rFonts w:cs="Arial"/>
          <w:sz w:val="22"/>
          <w:szCs w:val="22"/>
        </w:rPr>
        <w:t>high energy intensive industries may be interested in what non-financial actions it has put in place to mitigate environmental and reputational risk.</w:t>
      </w:r>
    </w:p>
    <w:p w14:paraId="407451F9" w14:textId="77777777" w:rsidR="003D0FC4" w:rsidRPr="004E09CE" w:rsidRDefault="003D0FC4" w:rsidP="000A7981">
      <w:pPr>
        <w:spacing w:line="276" w:lineRule="auto"/>
        <w:jc w:val="both"/>
        <w:rPr>
          <w:rFonts w:cs="Arial"/>
          <w:sz w:val="22"/>
          <w:szCs w:val="22"/>
        </w:rPr>
      </w:pPr>
    </w:p>
    <w:p w14:paraId="497996C5" w14:textId="77777777" w:rsidR="003D0FC4" w:rsidRPr="00266F21" w:rsidRDefault="003D0FC4" w:rsidP="000A7981">
      <w:pPr>
        <w:spacing w:line="276" w:lineRule="auto"/>
        <w:jc w:val="both"/>
        <w:rPr>
          <w:rFonts w:cs="Arial"/>
          <w:sz w:val="22"/>
          <w:szCs w:val="22"/>
        </w:rPr>
      </w:pPr>
      <w:r w:rsidRPr="004E09CE">
        <w:rPr>
          <w:rFonts w:cs="Arial"/>
          <w:sz w:val="22"/>
          <w:szCs w:val="22"/>
        </w:rPr>
        <w:t>Over the years, national reporting frameworks have developed to address national needs. Some member states have implemented legislation which goes beyond the requirements of th</w:t>
      </w:r>
      <w:r w:rsidR="003A27F7">
        <w:rPr>
          <w:rFonts w:cs="Arial"/>
          <w:sz w:val="22"/>
          <w:szCs w:val="22"/>
        </w:rPr>
        <w:t>e NFRD</w:t>
      </w:r>
      <w:r w:rsidRPr="004E09CE">
        <w:rPr>
          <w:rFonts w:cs="Arial"/>
          <w:sz w:val="22"/>
          <w:szCs w:val="22"/>
        </w:rPr>
        <w:t xml:space="preserve">. However, such requirements vary largely in terms of content or the </w:t>
      </w:r>
      <w:r w:rsidR="0082307E">
        <w:rPr>
          <w:rFonts w:cs="Arial"/>
          <w:sz w:val="22"/>
          <w:szCs w:val="22"/>
        </w:rPr>
        <w:t>type</w:t>
      </w:r>
      <w:r w:rsidRPr="004E09CE">
        <w:rPr>
          <w:rFonts w:cs="Arial"/>
          <w:sz w:val="22"/>
          <w:szCs w:val="22"/>
        </w:rPr>
        <w:t xml:space="preserve"> of companies producing a non-financial report. For example, in Denmark, companies are required to state whether they have a Corporate Social Responsibility (CSR) policy and, if they do, to describe its implementations and results, </w:t>
      </w:r>
      <w:r w:rsidRPr="004E09CE">
        <w:rPr>
          <w:rFonts w:cs="Arial"/>
          <w:sz w:val="22"/>
          <w:szCs w:val="22"/>
        </w:rPr>
        <w:lastRenderedPageBreak/>
        <w:t>while in the UK</w:t>
      </w:r>
      <w:r w:rsidR="0082307E">
        <w:rPr>
          <w:rFonts w:cs="Arial"/>
          <w:sz w:val="22"/>
          <w:szCs w:val="22"/>
        </w:rPr>
        <w:t xml:space="preserve"> quoted</w:t>
      </w:r>
      <w:r w:rsidRPr="004E09CE">
        <w:rPr>
          <w:rFonts w:cs="Arial"/>
          <w:sz w:val="22"/>
          <w:szCs w:val="22"/>
        </w:rPr>
        <w:t xml:space="preserve"> companies are required to disclose social and community matters where necessary for an understanding of the business including the </w:t>
      </w:r>
      <w:r w:rsidR="00582144">
        <w:rPr>
          <w:rFonts w:cs="Arial"/>
          <w:sz w:val="22"/>
          <w:szCs w:val="22"/>
        </w:rPr>
        <w:t xml:space="preserve">gender of staff in </w:t>
      </w:r>
      <w:r w:rsidRPr="00266F21">
        <w:rPr>
          <w:rFonts w:cs="Arial"/>
          <w:sz w:val="22"/>
          <w:szCs w:val="22"/>
        </w:rPr>
        <w:t xml:space="preserve">senior positions in a quoted company. These divergences in legislative frameworks have led to difficulties for investors and analysts who are less able to benchmark or assess company performance across the EU. </w:t>
      </w:r>
    </w:p>
    <w:p w14:paraId="5899F12F" w14:textId="77777777" w:rsidR="005B5699" w:rsidRPr="00FC03D5" w:rsidRDefault="005B5699" w:rsidP="000A7981">
      <w:pPr>
        <w:spacing w:line="276" w:lineRule="auto"/>
        <w:jc w:val="both"/>
        <w:rPr>
          <w:rFonts w:cs="Arial"/>
          <w:sz w:val="22"/>
          <w:szCs w:val="22"/>
        </w:rPr>
      </w:pPr>
    </w:p>
    <w:p w14:paraId="24C68E50" w14:textId="77777777" w:rsidR="008441E1" w:rsidRPr="00EE0E76" w:rsidRDefault="008441E1" w:rsidP="000A7981">
      <w:pPr>
        <w:spacing w:line="276" w:lineRule="auto"/>
        <w:jc w:val="both"/>
        <w:rPr>
          <w:rFonts w:cs="Arial"/>
          <w:sz w:val="22"/>
          <w:szCs w:val="22"/>
        </w:rPr>
      </w:pPr>
      <w:r w:rsidRPr="00FC03D5">
        <w:rPr>
          <w:rFonts w:cs="Arial"/>
          <w:sz w:val="22"/>
          <w:szCs w:val="22"/>
        </w:rPr>
        <w:t>In response to these problems t</w:t>
      </w:r>
      <w:r w:rsidRPr="00EE0E76">
        <w:rPr>
          <w:rFonts w:cs="Arial"/>
          <w:sz w:val="22"/>
          <w:szCs w:val="22"/>
        </w:rPr>
        <w:t xml:space="preserve">he commission has agreed a set of standardised requirements </w:t>
      </w:r>
      <w:r w:rsidRPr="00EE0E76">
        <w:rPr>
          <w:rFonts w:cs="Arial"/>
          <w:bCs/>
          <w:sz w:val="22"/>
          <w:szCs w:val="22"/>
          <w:lang w:eastAsia="en-GB"/>
        </w:rPr>
        <w:t xml:space="preserve">within the non-financial statement as stipulated by the </w:t>
      </w:r>
      <w:r w:rsidR="003A27F7">
        <w:rPr>
          <w:rFonts w:cs="Arial"/>
          <w:bCs/>
          <w:sz w:val="22"/>
          <w:szCs w:val="22"/>
          <w:lang w:eastAsia="en-GB"/>
        </w:rPr>
        <w:t>NFRD</w:t>
      </w:r>
      <w:r w:rsidRPr="00EE0E76">
        <w:rPr>
          <w:rFonts w:cs="Arial"/>
          <w:sz w:val="22"/>
          <w:szCs w:val="22"/>
        </w:rPr>
        <w:t xml:space="preserve"> applicable in all member states across the European Union. Specifically they will require the companies in scope (discussed below) to: </w:t>
      </w:r>
    </w:p>
    <w:p w14:paraId="704E5EAA" w14:textId="77777777" w:rsidR="008441E1" w:rsidRPr="00EE0E76" w:rsidRDefault="008441E1" w:rsidP="000A7981">
      <w:pPr>
        <w:spacing w:line="276" w:lineRule="auto"/>
        <w:jc w:val="both"/>
        <w:rPr>
          <w:rFonts w:cs="Arial"/>
          <w:sz w:val="22"/>
          <w:szCs w:val="22"/>
        </w:rPr>
      </w:pPr>
    </w:p>
    <w:p w14:paraId="0992842A" w14:textId="77777777" w:rsidR="008441E1" w:rsidRPr="00EE0E76" w:rsidRDefault="008441E1" w:rsidP="007F2E9C">
      <w:pPr>
        <w:pStyle w:val="ListParagraph"/>
        <w:numPr>
          <w:ilvl w:val="0"/>
          <w:numId w:val="29"/>
        </w:numPr>
        <w:spacing w:line="276" w:lineRule="auto"/>
        <w:jc w:val="both"/>
        <w:rPr>
          <w:rFonts w:cs="Arial"/>
          <w:sz w:val="22"/>
          <w:szCs w:val="22"/>
        </w:rPr>
      </w:pPr>
      <w:r w:rsidRPr="00EE0E76">
        <w:rPr>
          <w:rFonts w:cs="Arial"/>
          <w:sz w:val="22"/>
          <w:szCs w:val="22"/>
        </w:rPr>
        <w:t xml:space="preserve">To disclose, where necessary for an understanding of the business, information on environmental, social and employee matters, respect for human rights and anti-corruption and bribery matters. </w:t>
      </w:r>
    </w:p>
    <w:p w14:paraId="54E50205" w14:textId="77777777" w:rsidR="008441E1" w:rsidRPr="00EE0E76" w:rsidRDefault="008441E1" w:rsidP="007F2E9C">
      <w:pPr>
        <w:pStyle w:val="ListParagraph"/>
        <w:numPr>
          <w:ilvl w:val="0"/>
          <w:numId w:val="29"/>
        </w:numPr>
        <w:spacing w:line="276" w:lineRule="auto"/>
        <w:jc w:val="both"/>
        <w:rPr>
          <w:rFonts w:cs="Arial"/>
          <w:sz w:val="22"/>
          <w:szCs w:val="22"/>
        </w:rPr>
      </w:pPr>
      <w:r w:rsidRPr="00EE0E76">
        <w:rPr>
          <w:rFonts w:cs="Arial"/>
          <w:sz w:val="22"/>
          <w:szCs w:val="22"/>
        </w:rPr>
        <w:t xml:space="preserve">This disclosure should include policies related to the matters in point 1 including any due diligence measures implemented and the outcomes of these policies. </w:t>
      </w:r>
    </w:p>
    <w:p w14:paraId="708B4D95" w14:textId="77777777" w:rsidR="008441E1" w:rsidRPr="00FB3819" w:rsidRDefault="008441E1" w:rsidP="007F2E9C">
      <w:pPr>
        <w:pStyle w:val="ListParagraph"/>
        <w:numPr>
          <w:ilvl w:val="0"/>
          <w:numId w:val="29"/>
        </w:numPr>
        <w:spacing w:line="276" w:lineRule="auto"/>
        <w:jc w:val="both"/>
        <w:rPr>
          <w:rFonts w:cs="Arial"/>
          <w:sz w:val="22"/>
          <w:szCs w:val="22"/>
        </w:rPr>
      </w:pPr>
      <w:r w:rsidRPr="009D5978">
        <w:rPr>
          <w:rFonts w:cs="Arial"/>
          <w:sz w:val="22"/>
          <w:szCs w:val="22"/>
        </w:rPr>
        <w:t>Report on the risks faced by the company in relation to those matters, including where relevant and proportionate, its business relationships, produc</w:t>
      </w:r>
      <w:r w:rsidRPr="00FB3819">
        <w:rPr>
          <w:rFonts w:cs="Arial"/>
          <w:sz w:val="22"/>
          <w:szCs w:val="22"/>
        </w:rPr>
        <w:t>ts and services which are likely to cause adverse impacts in those areas and how the company manages those risks.</w:t>
      </w:r>
    </w:p>
    <w:p w14:paraId="2B2C502E" w14:textId="77777777" w:rsidR="008441E1" w:rsidRPr="00672163" w:rsidRDefault="008441E1" w:rsidP="007F2E9C">
      <w:pPr>
        <w:pStyle w:val="ListParagraph"/>
        <w:numPr>
          <w:ilvl w:val="0"/>
          <w:numId w:val="29"/>
        </w:numPr>
        <w:spacing w:line="276" w:lineRule="auto"/>
        <w:jc w:val="both"/>
        <w:rPr>
          <w:rFonts w:cs="Arial"/>
          <w:sz w:val="22"/>
          <w:szCs w:val="22"/>
        </w:rPr>
      </w:pPr>
      <w:r w:rsidRPr="00FB3819">
        <w:rPr>
          <w:rFonts w:cs="Arial"/>
          <w:sz w:val="22"/>
          <w:szCs w:val="22"/>
        </w:rPr>
        <w:t>The company will also be required to disclose its diversity policy including such aspects as, for instance, age, gender, educational and profe</w:t>
      </w:r>
      <w:r w:rsidRPr="00672163">
        <w:rPr>
          <w:rFonts w:cs="Arial"/>
          <w:sz w:val="22"/>
          <w:szCs w:val="22"/>
        </w:rPr>
        <w:t>ssional background. In addition, the company will be required to give a description of how this policy has been implemented and the results of this policy.</w:t>
      </w:r>
    </w:p>
    <w:p w14:paraId="5E0CC2B6" w14:textId="77777777" w:rsidR="008441E1" w:rsidRPr="001236C8" w:rsidRDefault="008441E1" w:rsidP="007F2E9C">
      <w:pPr>
        <w:pStyle w:val="ListParagraph"/>
        <w:numPr>
          <w:ilvl w:val="0"/>
          <w:numId w:val="29"/>
        </w:numPr>
        <w:spacing w:line="276" w:lineRule="auto"/>
        <w:jc w:val="both"/>
        <w:rPr>
          <w:rFonts w:cs="Arial"/>
          <w:sz w:val="22"/>
          <w:szCs w:val="22"/>
        </w:rPr>
      </w:pPr>
      <w:r w:rsidRPr="00672163">
        <w:rPr>
          <w:rFonts w:cs="Arial"/>
          <w:sz w:val="22"/>
          <w:szCs w:val="22"/>
        </w:rPr>
        <w:t xml:space="preserve">Finally businesses are encouraged to use non-financial key performance indicators which will give a numerical measure of progress against certain targets. Those companies wishing to do so may choose from internationally recognised frameworks to assist them in compiling their report. Whilst this is not a mandatory option, companies who have chosen to use </w:t>
      </w:r>
      <w:r w:rsidRPr="001236C8">
        <w:rPr>
          <w:rFonts w:cs="Arial"/>
          <w:sz w:val="22"/>
          <w:szCs w:val="22"/>
        </w:rPr>
        <w:t>one of the international frameworks will be required to disclose which frameworks they have used to their shareholders.</w:t>
      </w:r>
    </w:p>
    <w:p w14:paraId="2A969D54" w14:textId="77777777" w:rsidR="008441E1" w:rsidRPr="009B17B7" w:rsidRDefault="008441E1" w:rsidP="007F2E9C">
      <w:pPr>
        <w:pStyle w:val="ListParagraph"/>
        <w:numPr>
          <w:ilvl w:val="0"/>
          <w:numId w:val="29"/>
        </w:numPr>
        <w:spacing w:line="276" w:lineRule="auto"/>
        <w:jc w:val="both"/>
        <w:rPr>
          <w:rFonts w:cs="Arial"/>
          <w:sz w:val="22"/>
          <w:szCs w:val="22"/>
        </w:rPr>
      </w:pPr>
      <w:r w:rsidRPr="00CF0B89">
        <w:rPr>
          <w:rFonts w:cs="Arial"/>
          <w:sz w:val="22"/>
          <w:szCs w:val="22"/>
        </w:rPr>
        <w:t>If the company does not have a specific policy, an environmental policy for example, it will still be required to make a disclosure cont</w:t>
      </w:r>
      <w:r w:rsidRPr="009B17B7">
        <w:rPr>
          <w:rFonts w:cs="Arial"/>
          <w:sz w:val="22"/>
          <w:szCs w:val="22"/>
        </w:rPr>
        <w:t xml:space="preserve">aining a clear and reasoned explanation as to why no policy is pursued. </w:t>
      </w:r>
    </w:p>
    <w:p w14:paraId="6F1E77DB" w14:textId="77777777" w:rsidR="008441E1" w:rsidRPr="009D463F" w:rsidRDefault="008441E1" w:rsidP="007F2E9C">
      <w:pPr>
        <w:spacing w:line="276" w:lineRule="auto"/>
        <w:jc w:val="both"/>
        <w:rPr>
          <w:rFonts w:cs="Arial"/>
          <w:sz w:val="22"/>
          <w:szCs w:val="22"/>
        </w:rPr>
      </w:pPr>
    </w:p>
    <w:p w14:paraId="7EE8EC50" w14:textId="77777777" w:rsidR="00670360" w:rsidRDefault="008441E1" w:rsidP="007F2E9C">
      <w:pPr>
        <w:spacing w:line="276" w:lineRule="auto"/>
        <w:jc w:val="both"/>
        <w:rPr>
          <w:rFonts w:cs="Arial"/>
          <w:sz w:val="22"/>
          <w:szCs w:val="22"/>
        </w:rPr>
      </w:pPr>
      <w:r w:rsidRPr="009D463F">
        <w:rPr>
          <w:rFonts w:cs="Arial"/>
          <w:sz w:val="22"/>
          <w:szCs w:val="22"/>
        </w:rPr>
        <w:t xml:space="preserve">The requirements </w:t>
      </w:r>
      <w:r w:rsidR="00550EB3">
        <w:rPr>
          <w:rFonts w:cs="Arial"/>
          <w:sz w:val="22"/>
          <w:szCs w:val="22"/>
        </w:rPr>
        <w:t xml:space="preserve">largely </w:t>
      </w:r>
      <w:r w:rsidRPr="009D463F">
        <w:rPr>
          <w:rFonts w:cs="Arial"/>
          <w:sz w:val="22"/>
          <w:szCs w:val="22"/>
        </w:rPr>
        <w:t xml:space="preserve">mirror the UK’s existing requirements </w:t>
      </w:r>
      <w:r w:rsidR="00582144">
        <w:rPr>
          <w:rFonts w:cs="Arial"/>
          <w:sz w:val="22"/>
          <w:szCs w:val="22"/>
        </w:rPr>
        <w:t>for</w:t>
      </w:r>
      <w:r w:rsidR="00582144" w:rsidRPr="009D463F">
        <w:rPr>
          <w:rFonts w:cs="Arial"/>
          <w:sz w:val="22"/>
          <w:szCs w:val="22"/>
        </w:rPr>
        <w:t xml:space="preserve"> </w:t>
      </w:r>
      <w:r w:rsidRPr="009D463F">
        <w:rPr>
          <w:rFonts w:cs="Arial"/>
          <w:sz w:val="22"/>
          <w:szCs w:val="22"/>
        </w:rPr>
        <w:t xml:space="preserve">quoted companies. </w:t>
      </w:r>
      <w:r w:rsidR="001973BE">
        <w:rPr>
          <w:rFonts w:cs="Arial"/>
          <w:sz w:val="22"/>
          <w:szCs w:val="22"/>
        </w:rPr>
        <w:t>There are 3 main differences which are to be addressed by the implementation.</w:t>
      </w:r>
    </w:p>
    <w:p w14:paraId="48BEBE82" w14:textId="77777777" w:rsidR="00670360" w:rsidRDefault="001973BE" w:rsidP="00670360">
      <w:pPr>
        <w:pStyle w:val="ListParagraph"/>
        <w:numPr>
          <w:ilvl w:val="0"/>
          <w:numId w:val="56"/>
        </w:numPr>
        <w:spacing w:line="276" w:lineRule="auto"/>
        <w:jc w:val="both"/>
        <w:rPr>
          <w:rFonts w:cs="Arial"/>
          <w:sz w:val="22"/>
          <w:szCs w:val="22"/>
        </w:rPr>
      </w:pPr>
      <w:r>
        <w:rPr>
          <w:rFonts w:cs="Arial"/>
          <w:sz w:val="22"/>
          <w:szCs w:val="22"/>
        </w:rPr>
        <w:t>C</w:t>
      </w:r>
      <w:r w:rsidR="00670360" w:rsidRPr="00670360">
        <w:rPr>
          <w:rFonts w:cs="Arial"/>
          <w:sz w:val="22"/>
          <w:szCs w:val="22"/>
        </w:rPr>
        <w:t>ompanies</w:t>
      </w:r>
      <w:r>
        <w:rPr>
          <w:rFonts w:cs="Arial"/>
          <w:sz w:val="22"/>
          <w:szCs w:val="22"/>
        </w:rPr>
        <w:t xml:space="preserve"> in the UK are not currently required</w:t>
      </w:r>
      <w:r w:rsidR="00670360" w:rsidRPr="00670360">
        <w:rPr>
          <w:rFonts w:cs="Arial"/>
          <w:sz w:val="22"/>
          <w:szCs w:val="22"/>
        </w:rPr>
        <w:t xml:space="preserve"> to disclose information</w:t>
      </w:r>
      <w:r w:rsidR="008441E1" w:rsidRPr="00670360">
        <w:rPr>
          <w:rFonts w:cs="Arial"/>
          <w:sz w:val="22"/>
          <w:szCs w:val="22"/>
        </w:rPr>
        <w:t xml:space="preserve"> on</w:t>
      </w:r>
      <w:r w:rsidR="00537E40" w:rsidRPr="00670360">
        <w:rPr>
          <w:rFonts w:cs="Arial"/>
          <w:sz w:val="22"/>
          <w:szCs w:val="22"/>
        </w:rPr>
        <w:t xml:space="preserve"> </w:t>
      </w:r>
      <w:r w:rsidR="008441E1" w:rsidRPr="00670360">
        <w:rPr>
          <w:rFonts w:cs="Arial"/>
          <w:sz w:val="22"/>
          <w:szCs w:val="22"/>
        </w:rPr>
        <w:t>ant</w:t>
      </w:r>
      <w:r w:rsidR="00670360">
        <w:rPr>
          <w:rFonts w:cs="Arial"/>
          <w:sz w:val="22"/>
          <w:szCs w:val="22"/>
        </w:rPr>
        <w:t>i-bribery and corruption policies and diversity policies;</w:t>
      </w:r>
      <w:r w:rsidR="000F4D94" w:rsidRPr="00670360">
        <w:rPr>
          <w:rFonts w:cs="Arial"/>
          <w:sz w:val="22"/>
          <w:szCs w:val="22"/>
        </w:rPr>
        <w:t xml:space="preserve"> </w:t>
      </w:r>
    </w:p>
    <w:p w14:paraId="589F6E65" w14:textId="77777777" w:rsidR="00597559" w:rsidRDefault="00CE1B7F" w:rsidP="00597559">
      <w:pPr>
        <w:pStyle w:val="ListParagraph"/>
        <w:numPr>
          <w:ilvl w:val="0"/>
          <w:numId w:val="56"/>
        </w:numPr>
        <w:spacing w:line="276" w:lineRule="auto"/>
        <w:jc w:val="both"/>
        <w:rPr>
          <w:rFonts w:cs="Arial"/>
          <w:sz w:val="22"/>
          <w:szCs w:val="22"/>
        </w:rPr>
      </w:pPr>
      <w:r>
        <w:rPr>
          <w:rFonts w:cs="Arial"/>
          <w:sz w:val="22"/>
          <w:szCs w:val="22"/>
        </w:rPr>
        <w:t xml:space="preserve">Where information is not provided on a specified non-financial matter, the current requirement in the UK is </w:t>
      </w:r>
      <w:r w:rsidR="00670360">
        <w:rPr>
          <w:rFonts w:cs="Arial"/>
          <w:sz w:val="22"/>
          <w:szCs w:val="22"/>
        </w:rPr>
        <w:t>t</w:t>
      </w:r>
      <w:r w:rsidR="00062821" w:rsidRPr="00670360">
        <w:rPr>
          <w:rFonts w:cs="Arial"/>
          <w:sz w:val="22"/>
          <w:szCs w:val="22"/>
        </w:rPr>
        <w:t>o</w:t>
      </w:r>
      <w:r>
        <w:rPr>
          <w:rFonts w:cs="Arial"/>
          <w:sz w:val="22"/>
          <w:szCs w:val="22"/>
        </w:rPr>
        <w:t xml:space="preserve"> state that it has not been provided.</w:t>
      </w:r>
      <w:r w:rsidR="00062821" w:rsidRPr="00670360">
        <w:rPr>
          <w:rFonts w:cs="Arial"/>
          <w:sz w:val="22"/>
          <w:szCs w:val="22"/>
        </w:rPr>
        <w:t xml:space="preserve"> </w:t>
      </w:r>
      <w:r>
        <w:rPr>
          <w:rFonts w:cs="Arial"/>
          <w:sz w:val="22"/>
          <w:szCs w:val="22"/>
        </w:rPr>
        <w:t>Under the NFRD, a</w:t>
      </w:r>
      <w:r w:rsidR="00062821" w:rsidRPr="00670360">
        <w:rPr>
          <w:rFonts w:cs="Arial"/>
          <w:sz w:val="22"/>
          <w:szCs w:val="22"/>
        </w:rPr>
        <w:t xml:space="preserve"> reasoned explanation of why certain information is not provided </w:t>
      </w:r>
      <w:r>
        <w:rPr>
          <w:rFonts w:cs="Arial"/>
          <w:sz w:val="22"/>
          <w:szCs w:val="22"/>
        </w:rPr>
        <w:t xml:space="preserve">would be required. This </w:t>
      </w:r>
      <w:r w:rsidR="00062821" w:rsidRPr="00670360">
        <w:rPr>
          <w:rFonts w:cs="Arial"/>
          <w:sz w:val="22"/>
          <w:szCs w:val="22"/>
        </w:rPr>
        <w:t xml:space="preserve">would allow investors to form a judgment on </w:t>
      </w:r>
      <w:r w:rsidR="000B75B1" w:rsidRPr="00670360">
        <w:rPr>
          <w:rFonts w:cs="Arial"/>
          <w:sz w:val="22"/>
          <w:szCs w:val="22"/>
        </w:rPr>
        <w:t>whether companies are adequately managing their risk across the full range of non-financial issues that may affect the compan</w:t>
      </w:r>
      <w:r w:rsidR="00A97E0B" w:rsidRPr="00670360">
        <w:rPr>
          <w:rFonts w:cs="Arial"/>
          <w:sz w:val="22"/>
          <w:szCs w:val="22"/>
        </w:rPr>
        <w:t>y</w:t>
      </w:r>
      <w:r>
        <w:rPr>
          <w:rFonts w:cs="Arial"/>
          <w:sz w:val="22"/>
          <w:szCs w:val="22"/>
        </w:rPr>
        <w:t>.</w:t>
      </w:r>
    </w:p>
    <w:p w14:paraId="775B0B7A" w14:textId="77777777" w:rsidR="00EE0965" w:rsidRPr="00247CF1" w:rsidRDefault="00597559" w:rsidP="00597559">
      <w:pPr>
        <w:pStyle w:val="ListParagraph"/>
        <w:numPr>
          <w:ilvl w:val="0"/>
          <w:numId w:val="56"/>
        </w:numPr>
        <w:spacing w:line="276" w:lineRule="auto"/>
        <w:jc w:val="both"/>
        <w:rPr>
          <w:rFonts w:cs="Arial"/>
          <w:sz w:val="22"/>
          <w:szCs w:val="22"/>
        </w:rPr>
      </w:pPr>
      <w:r w:rsidRPr="00247CF1">
        <w:rPr>
          <w:rFonts w:cs="Arial"/>
          <w:sz w:val="22"/>
          <w:szCs w:val="22"/>
        </w:rPr>
        <w:t>Current</w:t>
      </w:r>
      <w:r w:rsidR="000B69BA" w:rsidRPr="00247CF1">
        <w:rPr>
          <w:rFonts w:cs="Arial"/>
          <w:sz w:val="22"/>
          <w:szCs w:val="22"/>
        </w:rPr>
        <w:t xml:space="preserve">ly, in the UK, only quoted companies (those that have </w:t>
      </w:r>
      <w:r w:rsidR="009175A4" w:rsidRPr="00247CF1">
        <w:rPr>
          <w:rFonts w:cs="Arial"/>
          <w:sz w:val="22"/>
          <w:szCs w:val="22"/>
        </w:rPr>
        <w:t xml:space="preserve">listed </w:t>
      </w:r>
      <w:r w:rsidR="000B69BA" w:rsidRPr="00247CF1">
        <w:rPr>
          <w:rFonts w:cs="Arial"/>
          <w:sz w:val="22"/>
          <w:szCs w:val="22"/>
        </w:rPr>
        <w:t>equity traded on an EU regulated exchange</w:t>
      </w:r>
      <w:r w:rsidR="00EF4FB7" w:rsidRPr="00247CF1">
        <w:rPr>
          <w:rFonts w:cs="Arial"/>
          <w:sz w:val="22"/>
          <w:szCs w:val="22"/>
        </w:rPr>
        <w:t>)</w:t>
      </w:r>
      <w:r w:rsidR="000B69BA" w:rsidRPr="00247CF1">
        <w:rPr>
          <w:rFonts w:cs="Arial"/>
          <w:sz w:val="22"/>
          <w:szCs w:val="22"/>
        </w:rPr>
        <w:t xml:space="preserve"> are subject to greater non-financial reporting requirements. </w:t>
      </w:r>
      <w:r w:rsidRPr="00247CF1">
        <w:rPr>
          <w:rFonts w:cs="Arial"/>
          <w:sz w:val="22"/>
          <w:szCs w:val="22"/>
        </w:rPr>
        <w:t xml:space="preserve"> </w:t>
      </w:r>
      <w:r w:rsidR="008441E1" w:rsidRPr="00247CF1">
        <w:rPr>
          <w:rFonts w:cs="Arial"/>
          <w:bCs/>
          <w:sz w:val="22"/>
          <w:szCs w:val="22"/>
          <w:lang w:eastAsia="en-GB"/>
        </w:rPr>
        <w:t xml:space="preserve">The </w:t>
      </w:r>
      <w:r w:rsidR="003A27F7" w:rsidRPr="00247CF1">
        <w:rPr>
          <w:rFonts w:cs="Arial"/>
          <w:bCs/>
          <w:sz w:val="22"/>
          <w:szCs w:val="22"/>
          <w:lang w:eastAsia="en-GB"/>
        </w:rPr>
        <w:t>NFRD</w:t>
      </w:r>
      <w:r w:rsidR="008441E1" w:rsidRPr="00247CF1">
        <w:rPr>
          <w:rFonts w:cs="Arial"/>
          <w:bCs/>
          <w:sz w:val="22"/>
          <w:szCs w:val="22"/>
          <w:lang w:eastAsia="en-GB"/>
        </w:rPr>
        <w:t xml:space="preserve"> requirements </w:t>
      </w:r>
      <w:r w:rsidR="009175A4" w:rsidRPr="00247CF1">
        <w:rPr>
          <w:rFonts w:cs="Arial"/>
          <w:bCs/>
          <w:sz w:val="22"/>
          <w:szCs w:val="22"/>
          <w:lang w:eastAsia="en-GB"/>
        </w:rPr>
        <w:t xml:space="preserve">would also </w:t>
      </w:r>
      <w:r w:rsidR="008441E1" w:rsidRPr="00247CF1">
        <w:rPr>
          <w:rFonts w:cs="Arial"/>
          <w:bCs/>
          <w:sz w:val="22"/>
          <w:szCs w:val="22"/>
          <w:lang w:eastAsia="en-GB"/>
        </w:rPr>
        <w:t xml:space="preserve">apply to </w:t>
      </w:r>
      <w:r w:rsidR="009175A4" w:rsidRPr="00247CF1">
        <w:rPr>
          <w:rFonts w:cs="Arial"/>
          <w:bCs/>
          <w:sz w:val="22"/>
          <w:szCs w:val="22"/>
          <w:lang w:eastAsia="en-GB"/>
        </w:rPr>
        <w:t xml:space="preserve">other </w:t>
      </w:r>
      <w:r w:rsidR="00EF4FB7" w:rsidRPr="00247CF1">
        <w:rPr>
          <w:rFonts w:cs="Arial"/>
          <w:bCs/>
          <w:sz w:val="22"/>
          <w:szCs w:val="22"/>
          <w:lang w:eastAsia="en-GB"/>
        </w:rPr>
        <w:t>large companies</w:t>
      </w:r>
      <w:r w:rsidR="008441E1" w:rsidRPr="00247CF1">
        <w:rPr>
          <w:rFonts w:cs="Arial"/>
          <w:bCs/>
          <w:sz w:val="22"/>
          <w:szCs w:val="22"/>
          <w:lang w:eastAsia="en-GB"/>
        </w:rPr>
        <w:t xml:space="preserve"> </w:t>
      </w:r>
      <w:r w:rsidR="009175A4" w:rsidRPr="00247CF1">
        <w:rPr>
          <w:rFonts w:cs="Arial"/>
          <w:bCs/>
          <w:sz w:val="22"/>
          <w:szCs w:val="22"/>
          <w:lang w:eastAsia="en-GB"/>
        </w:rPr>
        <w:t>(with</w:t>
      </w:r>
      <w:r w:rsidR="008441E1" w:rsidRPr="00247CF1">
        <w:rPr>
          <w:rFonts w:cs="Arial"/>
          <w:bCs/>
          <w:sz w:val="22"/>
          <w:szCs w:val="22"/>
          <w:lang w:eastAsia="en-GB"/>
        </w:rPr>
        <w:t xml:space="preserve"> more than 500 employees</w:t>
      </w:r>
      <w:r w:rsidR="009175A4" w:rsidRPr="00247CF1">
        <w:rPr>
          <w:rFonts w:cs="Arial"/>
          <w:bCs/>
          <w:sz w:val="22"/>
          <w:szCs w:val="22"/>
          <w:lang w:eastAsia="en-GB"/>
        </w:rPr>
        <w:t>)</w:t>
      </w:r>
      <w:r w:rsidR="00247CF1" w:rsidRPr="00247CF1">
        <w:rPr>
          <w:rFonts w:cs="Arial"/>
          <w:bCs/>
          <w:sz w:val="22"/>
          <w:szCs w:val="22"/>
          <w:lang w:eastAsia="en-GB"/>
        </w:rPr>
        <w:t xml:space="preserve"> that</w:t>
      </w:r>
      <w:r w:rsidR="00EF4FB7" w:rsidRPr="00247CF1">
        <w:rPr>
          <w:rFonts w:cs="Arial"/>
          <w:bCs/>
          <w:sz w:val="22"/>
          <w:szCs w:val="22"/>
          <w:lang w:eastAsia="en-GB"/>
        </w:rPr>
        <w:t xml:space="preserve"> are deemed to be</w:t>
      </w:r>
      <w:r w:rsidR="007D7C80" w:rsidRPr="00247CF1">
        <w:rPr>
          <w:rFonts w:cs="Arial"/>
          <w:bCs/>
          <w:sz w:val="22"/>
          <w:szCs w:val="22"/>
          <w:lang w:eastAsia="en-GB"/>
        </w:rPr>
        <w:t xml:space="preserve"> </w:t>
      </w:r>
      <w:r w:rsidR="007D7C80" w:rsidRPr="00247CF1">
        <w:rPr>
          <w:rFonts w:cs="Arial"/>
          <w:sz w:val="22"/>
          <w:szCs w:val="22"/>
        </w:rPr>
        <w:t xml:space="preserve">of public interest, as their activities could have significant impact on the economy and society. </w:t>
      </w:r>
      <w:r w:rsidR="00247CF1" w:rsidRPr="00247CF1">
        <w:rPr>
          <w:rFonts w:cs="Arial"/>
          <w:sz w:val="22"/>
          <w:szCs w:val="22"/>
        </w:rPr>
        <w:t>These</w:t>
      </w:r>
      <w:r w:rsidR="00EF4FB7" w:rsidRPr="00247CF1">
        <w:rPr>
          <w:rFonts w:cs="Arial"/>
          <w:sz w:val="22"/>
          <w:szCs w:val="22"/>
        </w:rPr>
        <w:t xml:space="preserve"> include </w:t>
      </w:r>
      <w:r w:rsidR="00247CF1">
        <w:rPr>
          <w:rFonts w:cs="Arial"/>
          <w:sz w:val="22"/>
          <w:szCs w:val="22"/>
        </w:rPr>
        <w:t>companies that have</w:t>
      </w:r>
      <w:r w:rsidR="009175A4" w:rsidRPr="00247CF1">
        <w:rPr>
          <w:rFonts w:cs="Arial"/>
          <w:sz w:val="22"/>
          <w:szCs w:val="22"/>
        </w:rPr>
        <w:t xml:space="preserve"> securities</w:t>
      </w:r>
      <w:r w:rsidR="00247CF1">
        <w:rPr>
          <w:rFonts w:cs="Arial"/>
          <w:sz w:val="22"/>
          <w:szCs w:val="22"/>
        </w:rPr>
        <w:t xml:space="preserve"> other than equity</w:t>
      </w:r>
      <w:r w:rsidR="009175A4" w:rsidRPr="00247CF1">
        <w:rPr>
          <w:rFonts w:cs="Arial"/>
          <w:sz w:val="22"/>
          <w:szCs w:val="22"/>
        </w:rPr>
        <w:t xml:space="preserve"> (such as debt) traded on an EU regulated exchange as well as</w:t>
      </w:r>
      <w:r w:rsidR="00247CF1" w:rsidRPr="00247CF1">
        <w:rPr>
          <w:rFonts w:cs="Arial"/>
          <w:sz w:val="22"/>
          <w:szCs w:val="22"/>
        </w:rPr>
        <w:t xml:space="preserve"> </w:t>
      </w:r>
      <w:r w:rsidR="00EF4FB7" w:rsidRPr="00247CF1">
        <w:rPr>
          <w:rFonts w:cs="Arial"/>
          <w:sz w:val="22"/>
          <w:szCs w:val="22"/>
        </w:rPr>
        <w:t>unquoted credit institutions</w:t>
      </w:r>
      <w:r w:rsidR="009175A4" w:rsidRPr="00247CF1">
        <w:rPr>
          <w:rFonts w:cs="Arial"/>
          <w:sz w:val="22"/>
          <w:szCs w:val="22"/>
        </w:rPr>
        <w:t xml:space="preserve"> and insurers.</w:t>
      </w:r>
    </w:p>
    <w:p w14:paraId="7AD45202" w14:textId="77777777" w:rsidR="009175A4" w:rsidRPr="009175A4" w:rsidRDefault="009175A4" w:rsidP="009175A4">
      <w:pPr>
        <w:spacing w:line="276" w:lineRule="auto"/>
        <w:jc w:val="both"/>
        <w:rPr>
          <w:rFonts w:cs="Arial"/>
          <w:sz w:val="22"/>
          <w:szCs w:val="22"/>
        </w:rPr>
      </w:pPr>
    </w:p>
    <w:p w14:paraId="3E5B1F52" w14:textId="77777777" w:rsidR="00131F7E" w:rsidRDefault="00131F7E">
      <w:pPr>
        <w:rPr>
          <w:rFonts w:cs="Arial"/>
          <w:b/>
          <w:sz w:val="32"/>
          <w:szCs w:val="32"/>
        </w:rPr>
      </w:pPr>
      <w:r>
        <w:rPr>
          <w:rFonts w:cs="Arial"/>
          <w:b/>
          <w:sz w:val="32"/>
          <w:szCs w:val="32"/>
        </w:rPr>
        <w:br w:type="page"/>
      </w:r>
    </w:p>
    <w:p w14:paraId="48CD6BB9" w14:textId="77777777" w:rsidR="00131F7E" w:rsidRPr="00131F7E" w:rsidRDefault="00131F7E" w:rsidP="007F2E9C">
      <w:pPr>
        <w:tabs>
          <w:tab w:val="center" w:pos="4961"/>
        </w:tabs>
        <w:spacing w:after="240" w:line="276" w:lineRule="auto"/>
        <w:mirrorIndents/>
        <w:jc w:val="both"/>
        <w:rPr>
          <w:rFonts w:cs="Arial"/>
          <w:b/>
          <w:sz w:val="2"/>
          <w:szCs w:val="2"/>
        </w:rPr>
      </w:pPr>
    </w:p>
    <w:p w14:paraId="0BAA775F" w14:textId="77777777" w:rsidR="007827EB" w:rsidRPr="00EB7A0C" w:rsidRDefault="007827EB" w:rsidP="007F2E9C">
      <w:pPr>
        <w:tabs>
          <w:tab w:val="center" w:pos="4961"/>
        </w:tabs>
        <w:spacing w:after="240" w:line="276" w:lineRule="auto"/>
        <w:mirrorIndents/>
        <w:jc w:val="both"/>
        <w:rPr>
          <w:rFonts w:cs="Arial"/>
          <w:b/>
          <w:sz w:val="32"/>
          <w:szCs w:val="32"/>
        </w:rPr>
      </w:pPr>
      <w:r w:rsidRPr="00EB7A0C">
        <w:rPr>
          <w:rFonts w:cs="Arial"/>
          <w:b/>
          <w:sz w:val="32"/>
          <w:szCs w:val="32"/>
        </w:rPr>
        <w:t>Rationale for intervention</w:t>
      </w:r>
    </w:p>
    <w:p w14:paraId="25B21EDA" w14:textId="77777777" w:rsidR="00B96C31" w:rsidRPr="001F5E94" w:rsidRDefault="007827EB" w:rsidP="007F2E9C">
      <w:pPr>
        <w:spacing w:line="276" w:lineRule="auto"/>
        <w:jc w:val="both"/>
        <w:rPr>
          <w:rFonts w:cs="Arial"/>
          <w:sz w:val="22"/>
          <w:szCs w:val="22"/>
        </w:rPr>
      </w:pPr>
      <w:r w:rsidRPr="00BA6CA2">
        <w:rPr>
          <w:rFonts w:cs="Arial"/>
          <w:sz w:val="22"/>
          <w:szCs w:val="22"/>
        </w:rPr>
        <w:t>The underlying problem is that of information asymmetry between users of non-financial information and the directors of the company – with directors having access</w:t>
      </w:r>
      <w:r w:rsidRPr="003415CC">
        <w:rPr>
          <w:rFonts w:cs="Arial"/>
          <w:sz w:val="22"/>
          <w:szCs w:val="22"/>
        </w:rPr>
        <w:t xml:space="preserve"> to a much greater amount, and quality, of non-financial information than shareholders,</w:t>
      </w:r>
      <w:r w:rsidR="00B978BD">
        <w:rPr>
          <w:rFonts w:cs="Arial"/>
          <w:sz w:val="22"/>
          <w:szCs w:val="22"/>
        </w:rPr>
        <w:t xml:space="preserve"> creditors</w:t>
      </w:r>
      <w:r w:rsidRPr="003415CC">
        <w:rPr>
          <w:rFonts w:cs="Arial"/>
          <w:sz w:val="22"/>
          <w:szCs w:val="22"/>
        </w:rPr>
        <w:t xml:space="preserve"> and other external stakeholders</w:t>
      </w:r>
      <w:r w:rsidR="006A682F">
        <w:rPr>
          <w:rFonts w:cs="Arial"/>
          <w:sz w:val="22"/>
          <w:szCs w:val="22"/>
        </w:rPr>
        <w:t xml:space="preserve"> (e.g. NGOs)</w:t>
      </w:r>
      <w:r w:rsidR="001F5E94">
        <w:rPr>
          <w:rFonts w:cs="Arial"/>
          <w:sz w:val="22"/>
          <w:szCs w:val="22"/>
        </w:rPr>
        <w:t xml:space="preserve"> in the company</w:t>
      </w:r>
      <w:r w:rsidRPr="001F5E94">
        <w:rPr>
          <w:rFonts w:cs="Arial"/>
          <w:sz w:val="22"/>
          <w:szCs w:val="22"/>
        </w:rPr>
        <w:t xml:space="preserve">. Good-quality reporting allows </w:t>
      </w:r>
      <w:r w:rsidR="006A682F">
        <w:rPr>
          <w:rFonts w:cs="Arial"/>
          <w:sz w:val="22"/>
          <w:szCs w:val="22"/>
        </w:rPr>
        <w:t>these stakeholders</w:t>
      </w:r>
      <w:r w:rsidRPr="001F5E94">
        <w:rPr>
          <w:rFonts w:cs="Arial"/>
          <w:sz w:val="22"/>
          <w:szCs w:val="22"/>
        </w:rPr>
        <w:t xml:space="preserve"> to hold companies to account for their behaviour both in the UK and overseas. </w:t>
      </w:r>
    </w:p>
    <w:p w14:paraId="3D565289" w14:textId="77777777" w:rsidR="007827EB" w:rsidRPr="00EB7A0C" w:rsidRDefault="007827EB" w:rsidP="007F2E9C">
      <w:pPr>
        <w:spacing w:line="276" w:lineRule="auto"/>
        <w:jc w:val="both"/>
        <w:rPr>
          <w:rFonts w:cs="Arial"/>
          <w:sz w:val="22"/>
          <w:szCs w:val="22"/>
        </w:rPr>
      </w:pPr>
    </w:p>
    <w:p w14:paraId="33A9143B" w14:textId="77777777" w:rsidR="00C15256" w:rsidRPr="003415CC" w:rsidRDefault="00C15256" w:rsidP="007F2E9C">
      <w:pPr>
        <w:spacing w:line="276" w:lineRule="auto"/>
        <w:jc w:val="both"/>
        <w:rPr>
          <w:rFonts w:cs="Arial"/>
          <w:sz w:val="22"/>
          <w:szCs w:val="22"/>
        </w:rPr>
      </w:pPr>
      <w:r w:rsidRPr="00BA6CA2">
        <w:rPr>
          <w:rFonts w:cs="Arial"/>
          <w:sz w:val="22"/>
          <w:szCs w:val="22"/>
        </w:rPr>
        <w:t>The NFRD, which largely mirrors the UK’s existing requirements on quoted companies, includes additional disclosures on anti-bribery and corruption matters and diversity policies. It also extends the scope of the greater non-financial dis</w:t>
      </w:r>
      <w:r w:rsidRPr="003415CC">
        <w:rPr>
          <w:rFonts w:cs="Arial"/>
          <w:sz w:val="22"/>
          <w:szCs w:val="22"/>
        </w:rPr>
        <w:t>closure</w:t>
      </w:r>
      <w:r w:rsidR="00B77755" w:rsidRPr="003415CC">
        <w:rPr>
          <w:rFonts w:cs="Arial"/>
          <w:sz w:val="22"/>
          <w:szCs w:val="22"/>
        </w:rPr>
        <w:t xml:space="preserve"> requirements</w:t>
      </w:r>
      <w:r w:rsidRPr="003415CC">
        <w:rPr>
          <w:rFonts w:cs="Arial"/>
          <w:sz w:val="22"/>
          <w:szCs w:val="22"/>
        </w:rPr>
        <w:t xml:space="preserve"> on quoted companies in the UK to include large unquoted companies that are otherwise also deemed to be PIEs. </w:t>
      </w:r>
    </w:p>
    <w:p w14:paraId="7879F9B1" w14:textId="77777777" w:rsidR="00C15256" w:rsidRPr="003415CC" w:rsidRDefault="00C15256" w:rsidP="007F2E9C">
      <w:pPr>
        <w:spacing w:line="276" w:lineRule="auto"/>
        <w:jc w:val="both"/>
        <w:rPr>
          <w:rFonts w:cs="Arial"/>
          <w:sz w:val="22"/>
          <w:szCs w:val="22"/>
        </w:rPr>
      </w:pPr>
    </w:p>
    <w:p w14:paraId="7A6CE878" w14:textId="77777777" w:rsidR="007827EB" w:rsidRPr="007169CF" w:rsidRDefault="00C15256" w:rsidP="007F2E9C">
      <w:pPr>
        <w:spacing w:line="276" w:lineRule="auto"/>
        <w:jc w:val="both"/>
        <w:rPr>
          <w:rFonts w:cs="Arial"/>
          <w:sz w:val="22"/>
          <w:szCs w:val="22"/>
        </w:rPr>
      </w:pPr>
      <w:r w:rsidRPr="003415CC">
        <w:rPr>
          <w:rFonts w:cs="Arial"/>
          <w:sz w:val="22"/>
          <w:szCs w:val="22"/>
        </w:rPr>
        <w:t xml:space="preserve">The </w:t>
      </w:r>
      <w:r w:rsidR="00B77755" w:rsidRPr="003415CC">
        <w:rPr>
          <w:rFonts w:cs="Arial"/>
          <w:sz w:val="22"/>
          <w:szCs w:val="22"/>
        </w:rPr>
        <w:t xml:space="preserve">benefits of </w:t>
      </w:r>
      <w:r w:rsidRPr="003415CC">
        <w:rPr>
          <w:rFonts w:cs="Arial"/>
          <w:sz w:val="22"/>
          <w:szCs w:val="22"/>
        </w:rPr>
        <w:t xml:space="preserve">these additional disclosures in the UK and the standardisation of requirements across the EU can best be </w:t>
      </w:r>
      <w:r w:rsidR="00B77755" w:rsidRPr="003415CC">
        <w:rPr>
          <w:rFonts w:cs="Arial"/>
          <w:sz w:val="22"/>
          <w:szCs w:val="22"/>
        </w:rPr>
        <w:t>realised</w:t>
      </w:r>
      <w:r w:rsidRPr="003415CC">
        <w:rPr>
          <w:rFonts w:cs="Arial"/>
          <w:sz w:val="22"/>
          <w:szCs w:val="22"/>
        </w:rPr>
        <w:t xml:space="preserve"> by implementing a regulatory solution.</w:t>
      </w:r>
      <w:r w:rsidR="00B77755" w:rsidRPr="003415CC">
        <w:rPr>
          <w:rFonts w:cs="Arial"/>
          <w:sz w:val="22"/>
          <w:szCs w:val="22"/>
        </w:rPr>
        <w:t xml:space="preserve"> This is due to the existence of both</w:t>
      </w:r>
      <w:r w:rsidR="007827EB" w:rsidRPr="003415CC">
        <w:rPr>
          <w:rFonts w:cs="Arial"/>
          <w:sz w:val="22"/>
          <w:szCs w:val="22"/>
        </w:rPr>
        <w:t xml:space="preserve"> market and regulatory failure</w:t>
      </w:r>
      <w:r w:rsidR="007169CF">
        <w:rPr>
          <w:rFonts w:cs="Arial"/>
          <w:sz w:val="22"/>
          <w:szCs w:val="22"/>
        </w:rPr>
        <w:t>s.</w:t>
      </w:r>
    </w:p>
    <w:p w14:paraId="3F1F3676" w14:textId="77777777" w:rsidR="007827EB" w:rsidRPr="00EB7A0C" w:rsidRDefault="007827EB" w:rsidP="007F2E9C">
      <w:pPr>
        <w:spacing w:line="276" w:lineRule="auto"/>
        <w:jc w:val="both"/>
        <w:rPr>
          <w:rFonts w:cs="Arial"/>
          <w:sz w:val="22"/>
          <w:szCs w:val="22"/>
        </w:rPr>
      </w:pPr>
    </w:p>
    <w:p w14:paraId="2B7911E1" w14:textId="77777777" w:rsidR="007827EB" w:rsidRPr="007169CF" w:rsidRDefault="007827EB" w:rsidP="007F2E9C">
      <w:pPr>
        <w:spacing w:line="276" w:lineRule="auto"/>
        <w:contextualSpacing/>
        <w:jc w:val="both"/>
        <w:rPr>
          <w:rFonts w:cs="Arial"/>
          <w:sz w:val="22"/>
          <w:szCs w:val="22"/>
        </w:rPr>
      </w:pPr>
      <w:r w:rsidRPr="00BA6CA2">
        <w:rPr>
          <w:rFonts w:cs="Arial"/>
          <w:b/>
          <w:i/>
          <w:sz w:val="22"/>
          <w:szCs w:val="22"/>
        </w:rPr>
        <w:t>Market Failure</w:t>
      </w:r>
      <w:r w:rsidR="007169CF">
        <w:rPr>
          <w:rFonts w:cs="Arial"/>
          <w:b/>
          <w:i/>
          <w:sz w:val="22"/>
          <w:szCs w:val="22"/>
        </w:rPr>
        <w:t>s</w:t>
      </w:r>
    </w:p>
    <w:p w14:paraId="5EAFA360" w14:textId="77777777" w:rsidR="007827EB" w:rsidRPr="00EB7A0C" w:rsidRDefault="007827EB" w:rsidP="007F2E9C">
      <w:pPr>
        <w:spacing w:line="276" w:lineRule="auto"/>
        <w:ind w:left="720"/>
        <w:contextualSpacing/>
        <w:jc w:val="both"/>
        <w:rPr>
          <w:rFonts w:cs="Arial"/>
          <w:sz w:val="22"/>
          <w:szCs w:val="22"/>
        </w:rPr>
      </w:pPr>
    </w:p>
    <w:p w14:paraId="131B9463" w14:textId="77777777" w:rsidR="007827EB" w:rsidRPr="00C84428" w:rsidRDefault="007827EB" w:rsidP="007F2E9C">
      <w:pPr>
        <w:spacing w:line="276" w:lineRule="auto"/>
        <w:contextualSpacing/>
        <w:jc w:val="both"/>
        <w:rPr>
          <w:rFonts w:cs="Arial"/>
          <w:sz w:val="22"/>
          <w:szCs w:val="22"/>
        </w:rPr>
      </w:pPr>
      <w:r w:rsidRPr="00C84428">
        <w:rPr>
          <w:rFonts w:cs="Arial"/>
          <w:sz w:val="22"/>
          <w:szCs w:val="22"/>
        </w:rPr>
        <w:t xml:space="preserve">There is evidence </w:t>
      </w:r>
      <w:r w:rsidR="007169CF" w:rsidRPr="00C84428">
        <w:rPr>
          <w:rFonts w:cs="Arial"/>
          <w:sz w:val="22"/>
          <w:szCs w:val="22"/>
        </w:rPr>
        <w:t xml:space="preserve">(detailed earlier in the IA) </w:t>
      </w:r>
      <w:r w:rsidRPr="00C84428">
        <w:rPr>
          <w:rFonts w:cs="Arial"/>
          <w:sz w:val="22"/>
          <w:szCs w:val="22"/>
        </w:rPr>
        <w:t xml:space="preserve">that companies have not been able to provide an appropriate response to users' need for non-financial transparency. The reason for such failure is to be found in the insufficient and uneven incentives provided by the market: on the one hand, the cost of transparency is certain, measurable and short term. Conversely, the benefits of enhanced transparency are often perceived as uncertain, long-term, or external to the company. </w:t>
      </w:r>
    </w:p>
    <w:p w14:paraId="24184CC5" w14:textId="77777777" w:rsidR="001D2D37" w:rsidRPr="00C84428" w:rsidRDefault="001D2D37" w:rsidP="001D2D37">
      <w:pPr>
        <w:spacing w:line="276" w:lineRule="auto"/>
        <w:contextualSpacing/>
        <w:jc w:val="both"/>
        <w:rPr>
          <w:sz w:val="22"/>
          <w:szCs w:val="22"/>
        </w:rPr>
      </w:pPr>
    </w:p>
    <w:p w14:paraId="5345DAE3" w14:textId="77777777" w:rsidR="007827EB" w:rsidRPr="00C84428" w:rsidRDefault="001D2D37" w:rsidP="001D2D37">
      <w:pPr>
        <w:spacing w:line="276" w:lineRule="auto"/>
        <w:contextualSpacing/>
        <w:jc w:val="both"/>
        <w:rPr>
          <w:rFonts w:cs="Arial"/>
          <w:sz w:val="22"/>
          <w:szCs w:val="22"/>
        </w:rPr>
      </w:pPr>
      <w:r w:rsidRPr="00C84428">
        <w:rPr>
          <w:sz w:val="22"/>
          <w:szCs w:val="22"/>
        </w:rPr>
        <w:t xml:space="preserve">For example companies may wish to reduce cost by not investing in processes that monitor and mitigate anti-bribery and unethical behaviour by their suppliers and customers. They might perceive the risks to be small or they may place greater weight on the short term gains from a lower cost supplier, even if the risks of their involvement in bribery and corruption are higher. Where </w:t>
      </w:r>
      <w:r w:rsidR="00C84428" w:rsidRPr="00C84428">
        <w:rPr>
          <w:sz w:val="22"/>
          <w:szCs w:val="22"/>
        </w:rPr>
        <w:t>a company does have information on a high risk</w:t>
      </w:r>
      <w:r w:rsidRPr="00C84428">
        <w:rPr>
          <w:sz w:val="22"/>
          <w:szCs w:val="22"/>
        </w:rPr>
        <w:t xml:space="preserve"> of bribery and corruption among suppliers or customers, </w:t>
      </w:r>
      <w:r w:rsidR="00C84428" w:rsidRPr="00C84428">
        <w:rPr>
          <w:sz w:val="22"/>
          <w:szCs w:val="22"/>
        </w:rPr>
        <w:t>it</w:t>
      </w:r>
      <w:r w:rsidRPr="00C84428">
        <w:rPr>
          <w:sz w:val="22"/>
          <w:szCs w:val="22"/>
        </w:rPr>
        <w:t xml:space="preserve"> would have the disincentive to disclose </w:t>
      </w:r>
      <w:r w:rsidR="00C84428" w:rsidRPr="00C84428">
        <w:rPr>
          <w:sz w:val="22"/>
          <w:szCs w:val="22"/>
        </w:rPr>
        <w:t>it</w:t>
      </w:r>
      <w:r w:rsidRPr="00C84428">
        <w:rPr>
          <w:sz w:val="22"/>
          <w:szCs w:val="22"/>
        </w:rPr>
        <w:t xml:space="preserve"> for fear of </w:t>
      </w:r>
      <w:r w:rsidR="00C84428" w:rsidRPr="00C84428">
        <w:rPr>
          <w:sz w:val="22"/>
          <w:szCs w:val="22"/>
        </w:rPr>
        <w:t>investor reaction to this information and the possible impact on their cost of capital.</w:t>
      </w:r>
      <w:r w:rsidRPr="00C84428">
        <w:rPr>
          <w:sz w:val="22"/>
          <w:szCs w:val="22"/>
        </w:rPr>
        <w:t xml:space="preserve"> </w:t>
      </w:r>
    </w:p>
    <w:p w14:paraId="39EB0E95" w14:textId="77777777" w:rsidR="001D2D37" w:rsidRPr="00C84428" w:rsidRDefault="001D2D37" w:rsidP="007F2E9C">
      <w:pPr>
        <w:spacing w:line="276" w:lineRule="auto"/>
        <w:contextualSpacing/>
        <w:jc w:val="both"/>
        <w:rPr>
          <w:rFonts w:cs="Arial"/>
          <w:sz w:val="22"/>
          <w:szCs w:val="22"/>
        </w:rPr>
      </w:pPr>
    </w:p>
    <w:p w14:paraId="099B34FC" w14:textId="77777777" w:rsidR="007827EB" w:rsidRPr="00C84428" w:rsidRDefault="007827EB" w:rsidP="007F2E9C">
      <w:pPr>
        <w:spacing w:line="276" w:lineRule="auto"/>
        <w:contextualSpacing/>
        <w:jc w:val="both"/>
        <w:rPr>
          <w:rFonts w:cs="Arial"/>
          <w:sz w:val="22"/>
          <w:szCs w:val="22"/>
        </w:rPr>
      </w:pPr>
      <w:r w:rsidRPr="00C84428">
        <w:rPr>
          <w:rFonts w:cs="Arial"/>
          <w:sz w:val="22"/>
          <w:szCs w:val="22"/>
        </w:rPr>
        <w:t>Such asymmetry determines that companies do not always have sufficient incentives to disclose non-financial information – and that the overall level of non-financial disclosure is socially sub-optimal. One could assume that if companies’ non-financial impacts are not known to stakeholders, companies will have little incentive to adjust their behaviour and to take due account of non-financial externalities into their decision-making.</w:t>
      </w:r>
    </w:p>
    <w:p w14:paraId="224C6CA2" w14:textId="77777777" w:rsidR="00706E3F" w:rsidRPr="00C84428" w:rsidRDefault="00706E3F" w:rsidP="007F2E9C">
      <w:pPr>
        <w:spacing w:line="276" w:lineRule="auto"/>
        <w:contextualSpacing/>
        <w:jc w:val="both"/>
        <w:rPr>
          <w:rFonts w:cs="Arial"/>
          <w:sz w:val="22"/>
          <w:szCs w:val="22"/>
        </w:rPr>
      </w:pPr>
    </w:p>
    <w:p w14:paraId="68F04875" w14:textId="77777777" w:rsidR="00C751A5" w:rsidRPr="00C84428" w:rsidRDefault="007827EB" w:rsidP="007F2E9C">
      <w:pPr>
        <w:spacing w:line="276" w:lineRule="auto"/>
        <w:contextualSpacing/>
        <w:jc w:val="both"/>
        <w:rPr>
          <w:rFonts w:cs="Arial"/>
          <w:sz w:val="22"/>
          <w:szCs w:val="22"/>
        </w:rPr>
      </w:pPr>
      <w:r w:rsidRPr="00C84428">
        <w:rPr>
          <w:rFonts w:cs="Arial"/>
          <w:sz w:val="22"/>
          <w:szCs w:val="22"/>
        </w:rPr>
        <w:t>The asymmetric information between those that manage the company and those that own it or trade with it can lead to sub-optimal investment and trading decisions as well as a misalignment of managers’ incentives away from delivering best performance for the company.</w:t>
      </w:r>
    </w:p>
    <w:p w14:paraId="6518A6E3" w14:textId="77777777" w:rsidR="007827EB" w:rsidRPr="003415CC" w:rsidRDefault="007827EB" w:rsidP="007F2E9C">
      <w:pPr>
        <w:spacing w:line="276" w:lineRule="auto"/>
        <w:ind w:left="720"/>
        <w:contextualSpacing/>
        <w:jc w:val="both"/>
        <w:rPr>
          <w:rFonts w:cs="Arial"/>
          <w:sz w:val="22"/>
          <w:szCs w:val="22"/>
        </w:rPr>
      </w:pPr>
    </w:p>
    <w:p w14:paraId="7DC7525D" w14:textId="77777777" w:rsidR="007827EB" w:rsidRPr="003415CC" w:rsidRDefault="007827EB" w:rsidP="007F2E9C">
      <w:pPr>
        <w:spacing w:line="276" w:lineRule="auto"/>
        <w:jc w:val="both"/>
        <w:rPr>
          <w:rFonts w:cs="Arial"/>
          <w:b/>
          <w:i/>
          <w:sz w:val="22"/>
          <w:szCs w:val="22"/>
        </w:rPr>
      </w:pPr>
      <w:r w:rsidRPr="003415CC">
        <w:rPr>
          <w:rFonts w:cs="Arial"/>
          <w:b/>
          <w:i/>
          <w:sz w:val="22"/>
          <w:szCs w:val="22"/>
        </w:rPr>
        <w:t>Regulatory Failure</w:t>
      </w:r>
    </w:p>
    <w:p w14:paraId="62AFBC4F" w14:textId="77777777" w:rsidR="007827EB" w:rsidRPr="003415CC" w:rsidRDefault="007827EB" w:rsidP="007F2E9C">
      <w:pPr>
        <w:spacing w:line="276" w:lineRule="auto"/>
        <w:ind w:left="720"/>
        <w:contextualSpacing/>
        <w:jc w:val="both"/>
        <w:rPr>
          <w:rFonts w:cs="Arial"/>
          <w:sz w:val="22"/>
          <w:szCs w:val="22"/>
        </w:rPr>
      </w:pPr>
    </w:p>
    <w:p w14:paraId="0AD80C94" w14:textId="77777777" w:rsidR="007827EB" w:rsidRPr="003415CC" w:rsidRDefault="007827EB" w:rsidP="007F2E9C">
      <w:pPr>
        <w:spacing w:line="276" w:lineRule="auto"/>
        <w:contextualSpacing/>
        <w:jc w:val="both"/>
        <w:rPr>
          <w:rFonts w:cs="Arial"/>
          <w:sz w:val="22"/>
          <w:szCs w:val="22"/>
        </w:rPr>
      </w:pPr>
      <w:r w:rsidRPr="003415CC">
        <w:rPr>
          <w:rFonts w:cs="Arial"/>
          <w:sz w:val="22"/>
          <w:szCs w:val="22"/>
        </w:rPr>
        <w:t xml:space="preserve">The development of national reporting frameworks, to meet national needs, has led to the development of a fragmented framework at EU level. Some </w:t>
      </w:r>
      <w:r w:rsidR="00BF773B" w:rsidRPr="003415CC">
        <w:rPr>
          <w:rFonts w:cs="Arial"/>
          <w:sz w:val="22"/>
          <w:szCs w:val="22"/>
        </w:rPr>
        <w:t xml:space="preserve">Member States </w:t>
      </w:r>
      <w:r w:rsidRPr="003415CC">
        <w:rPr>
          <w:rFonts w:cs="Arial"/>
          <w:sz w:val="22"/>
          <w:szCs w:val="22"/>
        </w:rPr>
        <w:t xml:space="preserve">have implemented legislation going far beyond the requirements of the current Accounting Directive in regards to non-financial reporting.  Others have already implemented reporting frameworks at national level; these frameworks have been developed to address national needs. </w:t>
      </w:r>
    </w:p>
    <w:p w14:paraId="1D673022" w14:textId="77777777" w:rsidR="007827EB" w:rsidRPr="003415CC" w:rsidRDefault="007827EB" w:rsidP="007F2E9C">
      <w:pPr>
        <w:spacing w:line="276" w:lineRule="auto"/>
        <w:ind w:left="720"/>
        <w:contextualSpacing/>
        <w:jc w:val="both"/>
        <w:rPr>
          <w:rFonts w:cs="Arial"/>
          <w:sz w:val="22"/>
          <w:szCs w:val="22"/>
        </w:rPr>
      </w:pPr>
    </w:p>
    <w:p w14:paraId="1AAE3BD4" w14:textId="77777777" w:rsidR="007827EB" w:rsidRPr="003415CC" w:rsidRDefault="007827EB" w:rsidP="007F2E9C">
      <w:pPr>
        <w:spacing w:line="276" w:lineRule="auto"/>
        <w:contextualSpacing/>
        <w:jc w:val="both"/>
        <w:rPr>
          <w:rFonts w:cs="Arial"/>
          <w:sz w:val="22"/>
          <w:szCs w:val="22"/>
        </w:rPr>
      </w:pPr>
      <w:r w:rsidRPr="003415CC">
        <w:rPr>
          <w:rFonts w:cs="Arial"/>
          <w:sz w:val="22"/>
          <w:szCs w:val="22"/>
        </w:rPr>
        <w:lastRenderedPageBreak/>
        <w:t xml:space="preserve">The variation across countries can increase the costs to preparers. In addition, given the plethora of voluntary agreements across EU member states and the differing quality of reporting that result, the fragmented framework presents difficulties to analysts and investors who are less able to benchmark companies. The introduction of a set of standardised legal requirements across </w:t>
      </w:r>
      <w:r w:rsidR="00BF773B" w:rsidRPr="003415CC">
        <w:rPr>
          <w:rFonts w:cs="Arial"/>
          <w:sz w:val="22"/>
          <w:szCs w:val="22"/>
        </w:rPr>
        <w:t xml:space="preserve">Member States </w:t>
      </w:r>
      <w:r w:rsidRPr="003415CC">
        <w:rPr>
          <w:rFonts w:cs="Arial"/>
          <w:sz w:val="22"/>
          <w:szCs w:val="22"/>
        </w:rPr>
        <w:t>will help provide certainty to preparers as to the category of information required for the non-financial statement.  Investors and analysts will be able to compare company performance by</w:t>
      </w:r>
      <w:r w:rsidR="00A605AA">
        <w:rPr>
          <w:rFonts w:cs="Arial"/>
          <w:sz w:val="22"/>
          <w:szCs w:val="22"/>
        </w:rPr>
        <w:t xml:space="preserve"> using</w:t>
      </w:r>
      <w:r w:rsidRPr="003415CC">
        <w:rPr>
          <w:rFonts w:cs="Arial"/>
          <w:sz w:val="22"/>
          <w:szCs w:val="22"/>
        </w:rPr>
        <w:t xml:space="preserve"> the information </w:t>
      </w:r>
      <w:r w:rsidR="00A605AA">
        <w:rPr>
          <w:rFonts w:cs="Arial"/>
          <w:sz w:val="22"/>
          <w:szCs w:val="22"/>
        </w:rPr>
        <w:t>disclosed under</w:t>
      </w:r>
      <w:r w:rsidRPr="003415CC">
        <w:rPr>
          <w:rFonts w:cs="Arial"/>
          <w:sz w:val="22"/>
          <w:szCs w:val="22"/>
        </w:rPr>
        <w:t xml:space="preserve"> these standard legal requirements.</w:t>
      </w:r>
    </w:p>
    <w:p w14:paraId="293A05B0" w14:textId="77777777" w:rsidR="007827EB" w:rsidRPr="003415CC" w:rsidRDefault="007827EB" w:rsidP="007F2E9C">
      <w:pPr>
        <w:spacing w:line="276" w:lineRule="auto"/>
        <w:jc w:val="both"/>
        <w:rPr>
          <w:rFonts w:cs="Arial"/>
          <w:sz w:val="22"/>
          <w:szCs w:val="22"/>
        </w:rPr>
      </w:pPr>
    </w:p>
    <w:p w14:paraId="31F90A54" w14:textId="77777777" w:rsidR="007827EB" w:rsidRPr="003415CC" w:rsidRDefault="007827EB" w:rsidP="007F2E9C">
      <w:pPr>
        <w:spacing w:line="276" w:lineRule="auto"/>
        <w:jc w:val="both"/>
        <w:rPr>
          <w:rFonts w:cs="Arial"/>
          <w:b/>
          <w:sz w:val="22"/>
          <w:szCs w:val="22"/>
        </w:rPr>
      </w:pPr>
      <w:r w:rsidRPr="003415CC">
        <w:rPr>
          <w:rFonts w:cs="Arial"/>
          <w:b/>
          <w:sz w:val="22"/>
          <w:szCs w:val="22"/>
        </w:rPr>
        <w:t>Why is Government action necessary?</w:t>
      </w:r>
    </w:p>
    <w:p w14:paraId="3A0E06BE" w14:textId="77777777" w:rsidR="007827EB" w:rsidRPr="003415CC" w:rsidRDefault="007827EB" w:rsidP="007F2E9C">
      <w:pPr>
        <w:spacing w:line="276" w:lineRule="auto"/>
        <w:jc w:val="both"/>
        <w:rPr>
          <w:rFonts w:cs="Arial"/>
          <w:sz w:val="22"/>
          <w:szCs w:val="22"/>
        </w:rPr>
      </w:pPr>
    </w:p>
    <w:p w14:paraId="472572C7" w14:textId="77777777" w:rsidR="007827EB" w:rsidRPr="003415CC" w:rsidRDefault="007827EB" w:rsidP="007F2E9C">
      <w:pPr>
        <w:tabs>
          <w:tab w:val="left" w:pos="6240"/>
        </w:tabs>
        <w:spacing w:line="276" w:lineRule="auto"/>
        <w:jc w:val="both"/>
        <w:rPr>
          <w:rFonts w:cs="Arial"/>
          <w:sz w:val="22"/>
          <w:szCs w:val="22"/>
        </w:rPr>
      </w:pPr>
      <w:r w:rsidRPr="003415CC">
        <w:rPr>
          <w:rFonts w:cs="Arial"/>
          <w:sz w:val="22"/>
          <w:szCs w:val="22"/>
        </w:rPr>
        <w:t xml:space="preserve">Effectiveness of government action in non-financial reporting is demonstrated by the BIS changes to the Companies Act 2006 regulations to restructure the Annual Reports. These regulations require companies to produce a Strategic Report - a concise description of the company’s financial year including disclosure on environmental, social and community, employee matters and human rights. Companies are also required to prepare Directors’ Report, which would contain supporting disclosure to for the Strategic Report. </w:t>
      </w:r>
    </w:p>
    <w:p w14:paraId="02B10846" w14:textId="77777777" w:rsidR="007827EB" w:rsidRPr="003415CC" w:rsidRDefault="007827EB" w:rsidP="007F2E9C">
      <w:pPr>
        <w:spacing w:line="276" w:lineRule="auto"/>
        <w:jc w:val="both"/>
        <w:rPr>
          <w:rFonts w:cs="Arial"/>
          <w:sz w:val="22"/>
          <w:szCs w:val="22"/>
        </w:rPr>
      </w:pPr>
    </w:p>
    <w:p w14:paraId="5C971FF3" w14:textId="77777777" w:rsidR="007827EB" w:rsidRPr="004E09CE" w:rsidRDefault="007827EB" w:rsidP="007F2E9C">
      <w:pPr>
        <w:spacing w:line="276" w:lineRule="auto"/>
        <w:jc w:val="both"/>
        <w:rPr>
          <w:rFonts w:cs="Arial"/>
          <w:sz w:val="22"/>
          <w:szCs w:val="22"/>
        </w:rPr>
      </w:pPr>
      <w:r w:rsidRPr="003415CC">
        <w:rPr>
          <w:rFonts w:cs="Arial"/>
          <w:sz w:val="22"/>
          <w:szCs w:val="22"/>
        </w:rPr>
        <w:t>Research by reporting consultancy Black Sun</w:t>
      </w:r>
      <w:r w:rsidRPr="00D45B85">
        <w:rPr>
          <w:rStyle w:val="FootnoteReference"/>
          <w:rFonts w:cs="Arial"/>
          <w:szCs w:val="22"/>
        </w:rPr>
        <w:footnoteReference w:id="17"/>
      </w:r>
      <w:r w:rsidRPr="00D45B85">
        <w:rPr>
          <w:rFonts w:cs="Arial"/>
          <w:sz w:val="22"/>
          <w:szCs w:val="22"/>
        </w:rPr>
        <w:t xml:space="preserve"> has shown that these modest</w:t>
      </w:r>
      <w:r w:rsidRPr="004E09CE">
        <w:rPr>
          <w:rFonts w:cs="Arial"/>
          <w:sz w:val="22"/>
          <w:szCs w:val="22"/>
        </w:rPr>
        <w:t xml:space="preserve"> changes to the reporting framework have had a positive effect. Black Sun finds that the changes have acted as a catalyst for companies to revisit policies and processes with a view to preparing concise reports, one of the objectives of the regulations. </w:t>
      </w:r>
    </w:p>
    <w:p w14:paraId="2CB181CD" w14:textId="77777777" w:rsidR="007827EB" w:rsidRPr="004E09CE" w:rsidRDefault="007827EB" w:rsidP="007F2E9C">
      <w:pPr>
        <w:spacing w:line="276" w:lineRule="auto"/>
        <w:contextualSpacing/>
        <w:jc w:val="both"/>
        <w:rPr>
          <w:rFonts w:cs="Arial"/>
          <w:sz w:val="22"/>
          <w:szCs w:val="22"/>
        </w:rPr>
      </w:pPr>
    </w:p>
    <w:p w14:paraId="30CD5BC2" w14:textId="77777777" w:rsidR="007827EB" w:rsidRPr="004E09CE" w:rsidRDefault="007827EB" w:rsidP="007F2E9C">
      <w:pPr>
        <w:spacing w:line="276" w:lineRule="auto"/>
        <w:jc w:val="both"/>
        <w:rPr>
          <w:rFonts w:cs="Arial"/>
          <w:sz w:val="22"/>
          <w:szCs w:val="22"/>
        </w:rPr>
      </w:pPr>
      <w:r w:rsidRPr="004E09CE">
        <w:rPr>
          <w:rFonts w:cs="Arial"/>
          <w:sz w:val="22"/>
          <w:szCs w:val="22"/>
        </w:rPr>
        <w:t xml:space="preserve">In addition, this research argues that there has been a marked improvement in reporting as key disclosures such as the strategy and business model will have been broken down, contextualising and explaining in accessible segments, to make narrative reports more meaningful. </w:t>
      </w:r>
    </w:p>
    <w:p w14:paraId="5145E37D" w14:textId="77777777" w:rsidR="007827EB" w:rsidRPr="004E09CE" w:rsidRDefault="007827EB" w:rsidP="007F2E9C">
      <w:pPr>
        <w:spacing w:line="276" w:lineRule="auto"/>
        <w:jc w:val="both"/>
        <w:rPr>
          <w:rFonts w:cs="Arial"/>
          <w:sz w:val="22"/>
          <w:szCs w:val="22"/>
        </w:rPr>
      </w:pPr>
    </w:p>
    <w:p w14:paraId="01350D3A" w14:textId="77777777" w:rsidR="007827EB" w:rsidRPr="00266F21" w:rsidRDefault="007827EB" w:rsidP="007F2E9C">
      <w:pPr>
        <w:spacing w:line="276" w:lineRule="auto"/>
        <w:jc w:val="both"/>
        <w:rPr>
          <w:rFonts w:cs="Arial"/>
          <w:sz w:val="22"/>
          <w:szCs w:val="22"/>
        </w:rPr>
      </w:pPr>
      <w:r w:rsidRPr="004E09CE">
        <w:rPr>
          <w:rFonts w:cs="Arial"/>
          <w:sz w:val="22"/>
          <w:szCs w:val="22"/>
        </w:rPr>
        <w:t>It is arguable whether companies would have taken the opportunity to refocus and rethink their narrative reporting without the intervention of government. The example above shows that without government intervention there may be little incentive for companies to improve the</w:t>
      </w:r>
      <w:r w:rsidR="003E2303">
        <w:rPr>
          <w:rFonts w:cs="Arial"/>
          <w:sz w:val="22"/>
          <w:szCs w:val="22"/>
        </w:rPr>
        <w:t>ir</w:t>
      </w:r>
      <w:r w:rsidRPr="004E09CE">
        <w:rPr>
          <w:rFonts w:cs="Arial"/>
          <w:sz w:val="22"/>
          <w:szCs w:val="22"/>
        </w:rPr>
        <w:t xml:space="preserve"> narrative reporting.</w:t>
      </w:r>
      <w:r w:rsidR="00315EA8" w:rsidRPr="004E09CE">
        <w:rPr>
          <w:rFonts w:cs="Arial"/>
          <w:sz w:val="22"/>
          <w:szCs w:val="22"/>
        </w:rPr>
        <w:t xml:space="preserve"> </w:t>
      </w:r>
    </w:p>
    <w:p w14:paraId="6B49233D" w14:textId="77777777" w:rsidR="00EE0965" w:rsidRPr="00FC03D5" w:rsidRDefault="00EE0965" w:rsidP="007F2E9C">
      <w:pPr>
        <w:spacing w:line="276" w:lineRule="auto"/>
        <w:rPr>
          <w:rFonts w:cs="Arial"/>
          <w:i/>
        </w:rPr>
      </w:pPr>
    </w:p>
    <w:p w14:paraId="6FD9CBB3" w14:textId="77777777" w:rsidR="008D4918" w:rsidRPr="00EE0E76" w:rsidRDefault="00EE0965" w:rsidP="007F2E9C">
      <w:pPr>
        <w:spacing w:line="276" w:lineRule="auto"/>
        <w:rPr>
          <w:rFonts w:cs="Arial"/>
          <w:b/>
          <w:sz w:val="32"/>
          <w:szCs w:val="32"/>
        </w:rPr>
      </w:pPr>
      <w:r w:rsidRPr="00FC03D5">
        <w:rPr>
          <w:rFonts w:cs="Arial"/>
          <w:b/>
          <w:sz w:val="32"/>
          <w:szCs w:val="32"/>
        </w:rPr>
        <w:t>P</w:t>
      </w:r>
      <w:r w:rsidR="008D4918" w:rsidRPr="00EE0E76">
        <w:rPr>
          <w:rFonts w:cs="Arial"/>
          <w:b/>
          <w:sz w:val="32"/>
          <w:szCs w:val="32"/>
        </w:rPr>
        <w:t>olicy objective</w:t>
      </w:r>
      <w:r w:rsidRPr="00EE0E76">
        <w:rPr>
          <w:rFonts w:cs="Arial"/>
          <w:b/>
          <w:sz w:val="32"/>
          <w:szCs w:val="32"/>
        </w:rPr>
        <w:t>s</w:t>
      </w:r>
    </w:p>
    <w:p w14:paraId="11689707" w14:textId="77777777" w:rsidR="00EE0965" w:rsidRPr="00EE0E76" w:rsidRDefault="00EE0965" w:rsidP="007F2E9C">
      <w:pPr>
        <w:spacing w:line="276" w:lineRule="auto"/>
        <w:rPr>
          <w:rFonts w:cs="Arial"/>
        </w:rPr>
      </w:pPr>
    </w:p>
    <w:p w14:paraId="7476AAE7" w14:textId="77777777" w:rsidR="008D4918" w:rsidRPr="00EE0E76" w:rsidRDefault="008D4918" w:rsidP="007F2E9C">
      <w:pPr>
        <w:spacing w:line="276" w:lineRule="auto"/>
        <w:jc w:val="both"/>
        <w:rPr>
          <w:rFonts w:cs="Arial"/>
          <w:sz w:val="22"/>
          <w:szCs w:val="22"/>
        </w:rPr>
      </w:pPr>
      <w:r w:rsidRPr="00EE0E76">
        <w:rPr>
          <w:rFonts w:cs="Arial"/>
          <w:sz w:val="22"/>
          <w:szCs w:val="22"/>
        </w:rPr>
        <w:t>The policy is designed to harmonise non-financial reporting across the EU internal market and increase the performance of large PIEs in the UK by:</w:t>
      </w:r>
    </w:p>
    <w:p w14:paraId="07874513" w14:textId="77777777" w:rsidR="008D4918" w:rsidRPr="00EE0E76" w:rsidRDefault="008D4918" w:rsidP="007F2E9C">
      <w:pPr>
        <w:spacing w:line="276" w:lineRule="auto"/>
        <w:jc w:val="both"/>
        <w:rPr>
          <w:rFonts w:cs="Arial"/>
          <w:sz w:val="22"/>
          <w:szCs w:val="22"/>
        </w:rPr>
      </w:pPr>
    </w:p>
    <w:p w14:paraId="6B71A59E" w14:textId="77777777" w:rsidR="008D4918" w:rsidRPr="00FB3819" w:rsidRDefault="008D4918" w:rsidP="007F2E9C">
      <w:pPr>
        <w:numPr>
          <w:ilvl w:val="0"/>
          <w:numId w:val="28"/>
        </w:numPr>
        <w:autoSpaceDE w:val="0"/>
        <w:autoSpaceDN w:val="0"/>
        <w:adjustRightInd w:val="0"/>
        <w:spacing w:after="50" w:line="276" w:lineRule="auto"/>
        <w:jc w:val="both"/>
        <w:rPr>
          <w:rFonts w:cs="Arial"/>
          <w:sz w:val="22"/>
          <w:szCs w:val="22"/>
        </w:rPr>
      </w:pPr>
      <w:r w:rsidRPr="00EE0E76">
        <w:rPr>
          <w:rFonts w:cs="Arial"/>
          <w:sz w:val="22"/>
          <w:szCs w:val="22"/>
        </w:rPr>
        <w:t>Increasing the tra</w:t>
      </w:r>
      <w:r w:rsidRPr="009D5978">
        <w:rPr>
          <w:rFonts w:cs="Arial"/>
          <w:sz w:val="22"/>
          <w:szCs w:val="22"/>
        </w:rPr>
        <w:t xml:space="preserve">nsparency of </w:t>
      </w:r>
      <w:r w:rsidR="00D37FD6" w:rsidRPr="00FB3819">
        <w:rPr>
          <w:rFonts w:cs="Arial"/>
          <w:sz w:val="22"/>
          <w:szCs w:val="22"/>
        </w:rPr>
        <w:t xml:space="preserve">large </w:t>
      </w:r>
      <w:r w:rsidRPr="00FB3819">
        <w:rPr>
          <w:rFonts w:cs="Arial"/>
          <w:sz w:val="22"/>
          <w:szCs w:val="22"/>
        </w:rPr>
        <w:t xml:space="preserve">PIEs, including increasing the relevance, quantity, consistency, and comparability of the non-financial information currently disclosed, by strengthening and clarifying the existing requirements. </w:t>
      </w:r>
    </w:p>
    <w:p w14:paraId="01EB95B0" w14:textId="77777777" w:rsidR="00C84152" w:rsidRPr="00672163" w:rsidRDefault="00C84152" w:rsidP="007F2E9C">
      <w:pPr>
        <w:numPr>
          <w:ilvl w:val="0"/>
          <w:numId w:val="28"/>
        </w:numPr>
        <w:autoSpaceDE w:val="0"/>
        <w:autoSpaceDN w:val="0"/>
        <w:adjustRightInd w:val="0"/>
        <w:spacing w:after="50" w:line="276" w:lineRule="auto"/>
        <w:jc w:val="both"/>
        <w:rPr>
          <w:rFonts w:cs="Arial"/>
          <w:sz w:val="22"/>
          <w:szCs w:val="22"/>
        </w:rPr>
      </w:pPr>
      <w:r w:rsidRPr="00672163">
        <w:rPr>
          <w:rFonts w:cs="Arial"/>
          <w:sz w:val="22"/>
          <w:szCs w:val="22"/>
        </w:rPr>
        <w:t xml:space="preserve">Encourage companies to better assess risks relating to bribery and corruption and incorporate this into their business strategies and models. </w:t>
      </w:r>
    </w:p>
    <w:p w14:paraId="45DA3B02" w14:textId="77777777" w:rsidR="00C0622F" w:rsidRPr="009D463F" w:rsidRDefault="008D4918" w:rsidP="007F2E9C">
      <w:pPr>
        <w:numPr>
          <w:ilvl w:val="0"/>
          <w:numId w:val="28"/>
        </w:numPr>
        <w:autoSpaceDE w:val="0"/>
        <w:autoSpaceDN w:val="0"/>
        <w:adjustRightInd w:val="0"/>
        <w:spacing w:line="276" w:lineRule="auto"/>
        <w:jc w:val="both"/>
        <w:rPr>
          <w:rFonts w:cs="Arial"/>
          <w:sz w:val="22"/>
          <w:szCs w:val="22"/>
        </w:rPr>
      </w:pPr>
      <w:r w:rsidRPr="00672163">
        <w:rPr>
          <w:rFonts w:cs="Arial"/>
          <w:sz w:val="22"/>
          <w:szCs w:val="22"/>
        </w:rPr>
        <w:t xml:space="preserve">Increasing diversity in the boards </w:t>
      </w:r>
      <w:r w:rsidR="00C0622F" w:rsidRPr="001236C8">
        <w:rPr>
          <w:rFonts w:cs="Arial"/>
          <w:sz w:val="22"/>
          <w:szCs w:val="22"/>
        </w:rPr>
        <w:t xml:space="preserve">and staff </w:t>
      </w:r>
      <w:r w:rsidRPr="00CF0B89">
        <w:rPr>
          <w:rFonts w:cs="Arial"/>
          <w:sz w:val="22"/>
          <w:szCs w:val="22"/>
        </w:rPr>
        <w:t>of companies through enhanced transparency concerning their diversity policy in order to help facilitate mor</w:t>
      </w:r>
      <w:r w:rsidRPr="009B17B7">
        <w:rPr>
          <w:rFonts w:cs="Arial"/>
          <w:sz w:val="22"/>
          <w:szCs w:val="22"/>
        </w:rPr>
        <w:t xml:space="preserve">e effective oversight of the management and governance of the company. </w:t>
      </w:r>
    </w:p>
    <w:p w14:paraId="60168CCD" w14:textId="77777777" w:rsidR="00C0622F" w:rsidRPr="009D463F" w:rsidRDefault="00C0622F" w:rsidP="007F2E9C">
      <w:pPr>
        <w:autoSpaceDE w:val="0"/>
        <w:autoSpaceDN w:val="0"/>
        <w:adjustRightInd w:val="0"/>
        <w:spacing w:line="276" w:lineRule="auto"/>
        <w:jc w:val="both"/>
        <w:rPr>
          <w:rFonts w:cs="Arial"/>
          <w:sz w:val="22"/>
          <w:szCs w:val="22"/>
        </w:rPr>
      </w:pPr>
    </w:p>
    <w:p w14:paraId="5C24737B" w14:textId="77777777" w:rsidR="008D4918" w:rsidRPr="004B5F0F" w:rsidRDefault="00C0622F" w:rsidP="007F2E9C">
      <w:pPr>
        <w:autoSpaceDE w:val="0"/>
        <w:autoSpaceDN w:val="0"/>
        <w:adjustRightInd w:val="0"/>
        <w:spacing w:line="276" w:lineRule="auto"/>
        <w:jc w:val="both"/>
        <w:rPr>
          <w:rFonts w:cs="Arial"/>
          <w:sz w:val="22"/>
          <w:szCs w:val="22"/>
        </w:rPr>
      </w:pPr>
      <w:r w:rsidRPr="009D463F">
        <w:rPr>
          <w:rFonts w:cs="Arial"/>
          <w:sz w:val="22"/>
          <w:szCs w:val="22"/>
        </w:rPr>
        <w:t>The increase</w:t>
      </w:r>
      <w:r w:rsidR="008F5958" w:rsidRPr="009D463F">
        <w:rPr>
          <w:rFonts w:cs="Arial"/>
          <w:sz w:val="22"/>
          <w:szCs w:val="22"/>
        </w:rPr>
        <w:t>d</w:t>
      </w:r>
      <w:r w:rsidR="007B4E6D" w:rsidRPr="009D463F">
        <w:rPr>
          <w:rFonts w:cs="Arial"/>
          <w:sz w:val="22"/>
          <w:szCs w:val="22"/>
        </w:rPr>
        <w:t xml:space="preserve"> transparency</w:t>
      </w:r>
      <w:r w:rsidR="008F5958" w:rsidRPr="009D463F">
        <w:rPr>
          <w:rFonts w:cs="Arial"/>
          <w:sz w:val="22"/>
          <w:szCs w:val="22"/>
        </w:rPr>
        <w:t xml:space="preserve"> </w:t>
      </w:r>
      <w:r w:rsidRPr="004B5F0F">
        <w:rPr>
          <w:rFonts w:cs="Arial"/>
          <w:sz w:val="22"/>
          <w:szCs w:val="22"/>
        </w:rPr>
        <w:t>would also help investors to make more informed investment decisions.</w:t>
      </w:r>
    </w:p>
    <w:p w14:paraId="7D6F1BCF" w14:textId="77777777" w:rsidR="004B3B7B" w:rsidRPr="007F2E9C" w:rsidRDefault="004B3B7B" w:rsidP="007F2E9C">
      <w:pPr>
        <w:pStyle w:val="EBBullet"/>
        <w:keepNext/>
        <w:numPr>
          <w:ilvl w:val="0"/>
          <w:numId w:val="0"/>
        </w:numPr>
        <w:spacing w:line="276" w:lineRule="auto"/>
        <w:ind w:left="284" w:hanging="284"/>
      </w:pPr>
    </w:p>
    <w:p w14:paraId="2A8AC425" w14:textId="77777777" w:rsidR="00686F5E" w:rsidRPr="004E09CE" w:rsidRDefault="00686F5E" w:rsidP="007F2E9C">
      <w:pPr>
        <w:pStyle w:val="EBBullet"/>
        <w:keepNext/>
        <w:numPr>
          <w:ilvl w:val="0"/>
          <w:numId w:val="0"/>
        </w:numPr>
        <w:spacing w:line="276" w:lineRule="auto"/>
        <w:ind w:left="284" w:hanging="284"/>
        <w:rPr>
          <w:b/>
          <w:sz w:val="32"/>
          <w:szCs w:val="32"/>
        </w:rPr>
      </w:pPr>
      <w:bookmarkStart w:id="35" w:name="EvidenceBullet"/>
      <w:r w:rsidRPr="00D45B85">
        <w:rPr>
          <w:b/>
          <w:sz w:val="32"/>
          <w:szCs w:val="32"/>
        </w:rPr>
        <w:t xml:space="preserve">Description of options considered (including </w:t>
      </w:r>
      <w:r w:rsidR="00433533" w:rsidRPr="004E09CE">
        <w:rPr>
          <w:b/>
          <w:sz w:val="32"/>
          <w:szCs w:val="32"/>
        </w:rPr>
        <w:t>status-quo</w:t>
      </w:r>
      <w:r w:rsidR="008F5958" w:rsidRPr="004E09CE">
        <w:rPr>
          <w:b/>
          <w:sz w:val="32"/>
          <w:szCs w:val="32"/>
        </w:rPr>
        <w:t>)</w:t>
      </w:r>
    </w:p>
    <w:p w14:paraId="28938128" w14:textId="77777777" w:rsidR="00543090" w:rsidRDefault="00543090" w:rsidP="007F2E9C">
      <w:pPr>
        <w:autoSpaceDE w:val="0"/>
        <w:autoSpaceDN w:val="0"/>
        <w:adjustRightInd w:val="0"/>
        <w:spacing w:line="276" w:lineRule="auto"/>
        <w:jc w:val="both"/>
        <w:rPr>
          <w:rFonts w:cs="Arial"/>
          <w:b/>
          <w:bCs/>
          <w:sz w:val="22"/>
          <w:szCs w:val="22"/>
          <w:lang w:eastAsia="en-GB"/>
        </w:rPr>
      </w:pPr>
      <w:r w:rsidRPr="004E09CE">
        <w:rPr>
          <w:rFonts w:cs="Arial"/>
          <w:b/>
          <w:bCs/>
          <w:sz w:val="22"/>
          <w:szCs w:val="22"/>
          <w:lang w:eastAsia="en-GB"/>
        </w:rPr>
        <w:t xml:space="preserve">Option </w:t>
      </w:r>
      <w:r w:rsidR="006A2772">
        <w:rPr>
          <w:rFonts w:cs="Arial"/>
          <w:b/>
          <w:bCs/>
          <w:sz w:val="22"/>
          <w:szCs w:val="22"/>
          <w:lang w:eastAsia="en-GB"/>
        </w:rPr>
        <w:t>1</w:t>
      </w:r>
      <w:r w:rsidRPr="004E09CE">
        <w:rPr>
          <w:rFonts w:cs="Arial"/>
          <w:b/>
          <w:bCs/>
          <w:sz w:val="22"/>
          <w:szCs w:val="22"/>
          <w:lang w:eastAsia="en-GB"/>
        </w:rPr>
        <w:t xml:space="preserve">: Do nothing </w:t>
      </w:r>
    </w:p>
    <w:p w14:paraId="3DCE9A79" w14:textId="77777777" w:rsidR="006A2772" w:rsidRPr="004E09CE" w:rsidRDefault="006A2772" w:rsidP="007F2E9C">
      <w:pPr>
        <w:autoSpaceDE w:val="0"/>
        <w:autoSpaceDN w:val="0"/>
        <w:adjustRightInd w:val="0"/>
        <w:spacing w:line="276" w:lineRule="auto"/>
        <w:jc w:val="both"/>
        <w:rPr>
          <w:rFonts w:cs="Arial"/>
          <w:sz w:val="22"/>
          <w:szCs w:val="22"/>
        </w:rPr>
      </w:pPr>
    </w:p>
    <w:p w14:paraId="3A08DD9D" w14:textId="77777777" w:rsidR="00543090" w:rsidRPr="00FC03D5" w:rsidRDefault="00543090" w:rsidP="007F2E9C">
      <w:pPr>
        <w:autoSpaceDE w:val="0"/>
        <w:autoSpaceDN w:val="0"/>
        <w:adjustRightInd w:val="0"/>
        <w:spacing w:line="276" w:lineRule="auto"/>
        <w:jc w:val="both"/>
        <w:rPr>
          <w:rFonts w:cs="Arial"/>
          <w:bCs/>
          <w:sz w:val="22"/>
          <w:szCs w:val="22"/>
          <w:lang w:eastAsia="en-GB"/>
        </w:rPr>
      </w:pPr>
      <w:r w:rsidRPr="004E09CE">
        <w:rPr>
          <w:rFonts w:cs="Arial"/>
          <w:bCs/>
          <w:sz w:val="22"/>
          <w:szCs w:val="22"/>
          <w:lang w:eastAsia="en-GB"/>
        </w:rPr>
        <w:t xml:space="preserve">This will represent no change or improvement to the current UK requirements for non-financial reporting, leaving in place the existing requirements with any improvements being driven by business best practice. However, </w:t>
      </w:r>
      <w:r w:rsidR="00F53C81">
        <w:rPr>
          <w:rFonts w:cs="Arial"/>
          <w:bCs/>
          <w:sz w:val="22"/>
          <w:szCs w:val="22"/>
          <w:lang w:eastAsia="en-GB"/>
        </w:rPr>
        <w:t>the</w:t>
      </w:r>
      <w:r w:rsidRPr="004E09CE">
        <w:rPr>
          <w:rFonts w:cs="Arial"/>
          <w:bCs/>
          <w:sz w:val="22"/>
          <w:szCs w:val="22"/>
          <w:lang w:eastAsia="en-GB"/>
        </w:rPr>
        <w:t xml:space="preserve"> </w:t>
      </w:r>
      <w:r w:rsidR="003A27F7">
        <w:rPr>
          <w:rFonts w:cs="Arial"/>
          <w:bCs/>
          <w:sz w:val="22"/>
          <w:szCs w:val="22"/>
          <w:lang w:eastAsia="en-GB"/>
        </w:rPr>
        <w:t>NFRD</w:t>
      </w:r>
      <w:r w:rsidRPr="004E09CE">
        <w:rPr>
          <w:rFonts w:cs="Arial"/>
          <w:bCs/>
          <w:sz w:val="22"/>
          <w:szCs w:val="22"/>
          <w:lang w:eastAsia="en-GB"/>
        </w:rPr>
        <w:t xml:space="preserve"> </w:t>
      </w:r>
      <w:r w:rsidRPr="004E09CE">
        <w:rPr>
          <w:rFonts w:cs="Arial"/>
          <w:b/>
          <w:bCs/>
          <w:sz w:val="22"/>
          <w:szCs w:val="22"/>
          <w:lang w:eastAsia="en-GB"/>
        </w:rPr>
        <w:t>must be im</w:t>
      </w:r>
      <w:r w:rsidRPr="00266F21">
        <w:rPr>
          <w:rFonts w:cs="Arial"/>
          <w:b/>
          <w:bCs/>
          <w:sz w:val="22"/>
          <w:szCs w:val="22"/>
          <w:lang w:eastAsia="en-GB"/>
        </w:rPr>
        <w:t>plemented by 06/12/2016</w:t>
      </w:r>
      <w:r w:rsidRPr="00FC03D5">
        <w:rPr>
          <w:rFonts w:cs="Arial"/>
          <w:bCs/>
          <w:sz w:val="22"/>
          <w:szCs w:val="22"/>
          <w:lang w:eastAsia="en-GB"/>
        </w:rPr>
        <w:t xml:space="preserve"> this is not a feasible option and would not address the information failures identified by the EU</w:t>
      </w:r>
      <w:r w:rsidR="00F53C81">
        <w:rPr>
          <w:rFonts w:cs="Arial"/>
          <w:bCs/>
          <w:sz w:val="22"/>
          <w:szCs w:val="22"/>
          <w:lang w:eastAsia="en-GB"/>
        </w:rPr>
        <w:t>.</w:t>
      </w:r>
      <w:r w:rsidR="00A214D7">
        <w:rPr>
          <w:rFonts w:cs="Arial"/>
          <w:bCs/>
          <w:sz w:val="22"/>
          <w:szCs w:val="22"/>
          <w:lang w:eastAsia="en-GB"/>
        </w:rPr>
        <w:t xml:space="preserve"> </w:t>
      </w:r>
      <w:r w:rsidR="00F53C81">
        <w:rPr>
          <w:rFonts w:cs="Arial"/>
          <w:bCs/>
          <w:sz w:val="22"/>
          <w:szCs w:val="22"/>
          <w:lang w:eastAsia="en-GB"/>
        </w:rPr>
        <w:t>However</w:t>
      </w:r>
      <w:r w:rsidR="005E2729">
        <w:rPr>
          <w:rFonts w:cs="Arial"/>
          <w:bCs/>
          <w:sz w:val="22"/>
          <w:szCs w:val="22"/>
          <w:lang w:eastAsia="en-GB"/>
        </w:rPr>
        <w:t>,</w:t>
      </w:r>
      <w:r w:rsidRPr="00FC03D5">
        <w:rPr>
          <w:rFonts w:cs="Arial"/>
          <w:bCs/>
          <w:sz w:val="22"/>
          <w:szCs w:val="22"/>
          <w:lang w:eastAsia="en-GB"/>
        </w:rPr>
        <w:t xml:space="preserve"> it should be the counterfactual </w:t>
      </w:r>
      <w:r w:rsidR="005E2729">
        <w:rPr>
          <w:rFonts w:cs="Arial"/>
          <w:bCs/>
          <w:sz w:val="22"/>
          <w:szCs w:val="22"/>
          <w:lang w:eastAsia="en-GB"/>
        </w:rPr>
        <w:t>with</w:t>
      </w:r>
      <w:r w:rsidR="005E2729" w:rsidRPr="00FC03D5">
        <w:rPr>
          <w:rFonts w:cs="Arial"/>
          <w:bCs/>
          <w:sz w:val="22"/>
          <w:szCs w:val="22"/>
          <w:lang w:eastAsia="en-GB"/>
        </w:rPr>
        <w:t xml:space="preserve"> </w:t>
      </w:r>
      <w:r w:rsidRPr="00FC03D5">
        <w:rPr>
          <w:rFonts w:cs="Arial"/>
          <w:bCs/>
          <w:sz w:val="22"/>
          <w:szCs w:val="22"/>
          <w:lang w:eastAsia="en-GB"/>
        </w:rPr>
        <w:t xml:space="preserve">which other options are compared. </w:t>
      </w:r>
    </w:p>
    <w:p w14:paraId="012A98B8" w14:textId="77777777" w:rsidR="00543090" w:rsidRPr="00EE0E76" w:rsidRDefault="00543090" w:rsidP="007F2E9C">
      <w:pPr>
        <w:keepNext/>
        <w:keepLines/>
        <w:spacing w:before="360" w:after="240" w:line="276" w:lineRule="auto"/>
        <w:jc w:val="both"/>
        <w:outlineLvl w:val="2"/>
        <w:rPr>
          <w:rFonts w:cs="Arial"/>
          <w:b/>
          <w:bCs/>
          <w:sz w:val="22"/>
          <w:szCs w:val="22"/>
          <w:lang w:eastAsia="en-GB"/>
        </w:rPr>
      </w:pPr>
      <w:r w:rsidRPr="00FC03D5">
        <w:rPr>
          <w:rFonts w:cs="Arial"/>
          <w:b/>
          <w:bCs/>
          <w:sz w:val="22"/>
          <w:szCs w:val="22"/>
          <w:lang w:eastAsia="en-GB"/>
        </w:rPr>
        <w:t xml:space="preserve">Option </w:t>
      </w:r>
      <w:r w:rsidR="006A2772">
        <w:rPr>
          <w:rFonts w:cs="Arial"/>
          <w:b/>
          <w:bCs/>
          <w:sz w:val="22"/>
          <w:szCs w:val="22"/>
          <w:lang w:eastAsia="en-GB"/>
        </w:rPr>
        <w:t>2</w:t>
      </w:r>
      <w:r w:rsidRPr="00FC03D5">
        <w:rPr>
          <w:rFonts w:cs="Arial"/>
          <w:b/>
          <w:bCs/>
          <w:sz w:val="22"/>
          <w:szCs w:val="22"/>
          <w:lang w:eastAsia="en-GB"/>
        </w:rPr>
        <w:t xml:space="preserve">: </w:t>
      </w:r>
      <w:r w:rsidR="00F64B0A" w:rsidRPr="007F2E9C">
        <w:rPr>
          <w:rFonts w:cs="Arial"/>
          <w:b/>
          <w:sz w:val="22"/>
          <w:szCs w:val="22"/>
        </w:rPr>
        <w:t>Minimum implementation of the EU non-financial reporting directive (NFRD) for PIEs that are in scope (i.e. those with more than 500 employees)</w:t>
      </w:r>
      <w:r w:rsidR="006A2772">
        <w:rPr>
          <w:rFonts w:cs="Arial"/>
          <w:b/>
          <w:sz w:val="22"/>
          <w:szCs w:val="22"/>
        </w:rPr>
        <w:t xml:space="preserve"> - p</w:t>
      </w:r>
      <w:r w:rsidRPr="00EE0E76">
        <w:rPr>
          <w:rFonts w:cs="Arial"/>
          <w:b/>
          <w:bCs/>
          <w:sz w:val="22"/>
          <w:szCs w:val="22"/>
          <w:lang w:eastAsia="en-GB"/>
        </w:rPr>
        <w:t xml:space="preserve">referred </w:t>
      </w:r>
      <w:r w:rsidR="006A2772">
        <w:rPr>
          <w:rFonts w:cs="Arial"/>
          <w:b/>
          <w:bCs/>
          <w:sz w:val="22"/>
          <w:szCs w:val="22"/>
          <w:lang w:eastAsia="en-GB"/>
        </w:rPr>
        <w:t>o</w:t>
      </w:r>
      <w:r w:rsidRPr="00EE0E76">
        <w:rPr>
          <w:rFonts w:cs="Arial"/>
          <w:b/>
          <w:bCs/>
          <w:sz w:val="22"/>
          <w:szCs w:val="22"/>
          <w:lang w:eastAsia="en-GB"/>
        </w:rPr>
        <w:t xml:space="preserve">ption </w:t>
      </w:r>
    </w:p>
    <w:p w14:paraId="5A3185A9" w14:textId="77777777" w:rsidR="007E1BD0" w:rsidRPr="00EE0E76" w:rsidRDefault="007E1BD0" w:rsidP="007F2E9C">
      <w:pPr>
        <w:spacing w:line="276" w:lineRule="auto"/>
        <w:jc w:val="both"/>
        <w:rPr>
          <w:rFonts w:cs="Arial"/>
          <w:sz w:val="22"/>
          <w:szCs w:val="22"/>
        </w:rPr>
      </w:pPr>
      <w:r w:rsidRPr="00EE0E76">
        <w:rPr>
          <w:rFonts w:cs="Arial"/>
          <w:sz w:val="22"/>
          <w:szCs w:val="22"/>
        </w:rPr>
        <w:t xml:space="preserve">This option will implement </w:t>
      </w:r>
      <w:r w:rsidR="009145EC">
        <w:rPr>
          <w:rFonts w:cs="Arial"/>
          <w:sz w:val="22"/>
          <w:szCs w:val="22"/>
        </w:rPr>
        <w:t>the NFRD</w:t>
      </w:r>
      <w:r w:rsidRPr="00EE0E76">
        <w:rPr>
          <w:rFonts w:cs="Arial"/>
          <w:sz w:val="22"/>
          <w:szCs w:val="22"/>
        </w:rPr>
        <w:t xml:space="preserve"> to the scope agreed in the negotiations by updating the current UK requirements. This will apply to eligible PIEs as defined in art 2(1) of Directive2013/34/EU (the Accounting Directive). NFRD requirements would therefore be placed on PIEs with more than 500 employees, leaving the UK requirements as they are for those with fewer employees. This would result in a dual system among quoted companies i.e. quoted companies with less than 500 employees would report as they do currently and those with more than 500 employees would have to additionally meet the incremental changes brought in by the NFRD</w:t>
      </w:r>
      <w:r w:rsidR="003A27F7">
        <w:rPr>
          <w:rFonts w:cs="Arial"/>
          <w:sz w:val="22"/>
          <w:szCs w:val="22"/>
        </w:rPr>
        <w:t>.</w:t>
      </w:r>
    </w:p>
    <w:p w14:paraId="38E194CA" w14:textId="77777777" w:rsidR="005466CE" w:rsidRPr="00EE0E76" w:rsidRDefault="005466CE" w:rsidP="007F2E9C">
      <w:pPr>
        <w:spacing w:line="276" w:lineRule="auto"/>
        <w:jc w:val="both"/>
        <w:rPr>
          <w:rFonts w:cs="Arial"/>
          <w:sz w:val="22"/>
          <w:szCs w:val="22"/>
        </w:rPr>
      </w:pPr>
    </w:p>
    <w:p w14:paraId="4115DA02" w14:textId="77777777" w:rsidR="00B62240" w:rsidRPr="006A2772" w:rsidRDefault="005466CE" w:rsidP="007F2E9C">
      <w:pPr>
        <w:spacing w:line="276" w:lineRule="auto"/>
        <w:jc w:val="both"/>
        <w:rPr>
          <w:rFonts w:cs="Arial"/>
          <w:sz w:val="22"/>
          <w:szCs w:val="22"/>
        </w:rPr>
      </w:pPr>
      <w:r w:rsidRPr="009D5978">
        <w:rPr>
          <w:rFonts w:cs="Arial"/>
          <w:sz w:val="22"/>
          <w:szCs w:val="22"/>
        </w:rPr>
        <w:t xml:space="preserve">As </w:t>
      </w:r>
      <w:r w:rsidR="006A3D8D" w:rsidRPr="00FB3819">
        <w:rPr>
          <w:rFonts w:cs="Arial"/>
          <w:sz w:val="22"/>
          <w:szCs w:val="22"/>
        </w:rPr>
        <w:t>noted</w:t>
      </w:r>
      <w:r w:rsidRPr="00FB3819">
        <w:rPr>
          <w:rFonts w:cs="Arial"/>
          <w:sz w:val="22"/>
          <w:szCs w:val="22"/>
        </w:rPr>
        <w:t xml:space="preserve"> a</w:t>
      </w:r>
      <w:r w:rsidRPr="00672163">
        <w:rPr>
          <w:rFonts w:cs="Arial"/>
          <w:sz w:val="22"/>
          <w:szCs w:val="22"/>
        </w:rPr>
        <w:t xml:space="preserve">bove the NFRD </w:t>
      </w:r>
      <w:r w:rsidR="00460A38" w:rsidRPr="00672163">
        <w:rPr>
          <w:rFonts w:cs="Arial"/>
          <w:sz w:val="22"/>
          <w:szCs w:val="22"/>
        </w:rPr>
        <w:t>requirements</w:t>
      </w:r>
      <w:r w:rsidR="00D37FD6" w:rsidRPr="00672163">
        <w:rPr>
          <w:rFonts w:cs="Arial"/>
          <w:sz w:val="22"/>
          <w:szCs w:val="22"/>
        </w:rPr>
        <w:t xml:space="preserve"> mirror the UK’s existing requirements on quoted companies</w:t>
      </w:r>
      <w:r w:rsidR="00460A38" w:rsidRPr="001236C8">
        <w:rPr>
          <w:rFonts w:cs="Arial"/>
          <w:sz w:val="22"/>
          <w:szCs w:val="22"/>
        </w:rPr>
        <w:t xml:space="preserve">. The main </w:t>
      </w:r>
      <w:r w:rsidR="006E6C2A" w:rsidRPr="00CF0B89">
        <w:rPr>
          <w:rFonts w:cs="Arial"/>
          <w:sz w:val="22"/>
          <w:szCs w:val="22"/>
        </w:rPr>
        <w:t xml:space="preserve">impact on large quoted </w:t>
      </w:r>
      <w:r w:rsidR="003E2F53" w:rsidRPr="009B17B7">
        <w:rPr>
          <w:rFonts w:cs="Arial"/>
          <w:sz w:val="22"/>
          <w:szCs w:val="22"/>
        </w:rPr>
        <w:t xml:space="preserve">companies would be from the </w:t>
      </w:r>
      <w:r w:rsidR="00460A38" w:rsidRPr="009D463F">
        <w:rPr>
          <w:rFonts w:cs="Arial"/>
          <w:sz w:val="22"/>
          <w:szCs w:val="22"/>
        </w:rPr>
        <w:t>addition</w:t>
      </w:r>
      <w:r w:rsidR="003E2F53" w:rsidRPr="009D463F">
        <w:rPr>
          <w:rFonts w:cs="Arial"/>
          <w:sz w:val="22"/>
          <w:szCs w:val="22"/>
        </w:rPr>
        <w:t xml:space="preserve"> of</w:t>
      </w:r>
      <w:r w:rsidR="00D37FD6" w:rsidRPr="009D463F">
        <w:rPr>
          <w:rFonts w:cs="Arial"/>
          <w:sz w:val="22"/>
          <w:szCs w:val="22"/>
        </w:rPr>
        <w:t xml:space="preserve"> disclosures on anti-bribery and corruption matters and diversity policies.</w:t>
      </w:r>
      <w:r w:rsidR="00B62240" w:rsidRPr="009D463F">
        <w:rPr>
          <w:rFonts w:cs="Arial"/>
          <w:sz w:val="22"/>
          <w:szCs w:val="22"/>
        </w:rPr>
        <w:t xml:space="preserve"> </w:t>
      </w:r>
      <w:r w:rsidR="006E6C2A" w:rsidRPr="009D463F">
        <w:rPr>
          <w:rFonts w:cs="Arial"/>
          <w:sz w:val="22"/>
          <w:szCs w:val="22"/>
        </w:rPr>
        <w:t>These</w:t>
      </w:r>
      <w:r w:rsidR="00B62240" w:rsidRPr="004B5F0F">
        <w:rPr>
          <w:rFonts w:cs="Arial"/>
          <w:sz w:val="22"/>
          <w:szCs w:val="22"/>
        </w:rPr>
        <w:t xml:space="preserve"> two additional requirements would not</w:t>
      </w:r>
      <w:r w:rsidR="006E6C2A" w:rsidRPr="004B5F0F">
        <w:rPr>
          <w:rFonts w:cs="Arial"/>
          <w:sz w:val="22"/>
          <w:szCs w:val="22"/>
        </w:rPr>
        <w:t>, however,</w:t>
      </w:r>
      <w:r w:rsidR="00B62240" w:rsidRPr="0063153B">
        <w:rPr>
          <w:rFonts w:cs="Arial"/>
          <w:sz w:val="22"/>
          <w:szCs w:val="22"/>
        </w:rPr>
        <w:t xml:space="preserve"> be </w:t>
      </w:r>
      <w:r w:rsidR="00303289">
        <w:rPr>
          <w:rFonts w:cs="Arial"/>
          <w:sz w:val="22"/>
          <w:szCs w:val="22"/>
        </w:rPr>
        <w:t>placed upon</w:t>
      </w:r>
      <w:r w:rsidR="00B62240" w:rsidRPr="0063153B">
        <w:rPr>
          <w:rFonts w:cs="Arial"/>
          <w:sz w:val="22"/>
          <w:szCs w:val="22"/>
        </w:rPr>
        <w:t xml:space="preserve"> on smaller quoted companies</w:t>
      </w:r>
      <w:r w:rsidR="006E6C2A" w:rsidRPr="0063153B">
        <w:rPr>
          <w:rFonts w:cs="Arial"/>
          <w:sz w:val="22"/>
          <w:szCs w:val="22"/>
        </w:rPr>
        <w:t xml:space="preserve"> which are out of scope</w:t>
      </w:r>
      <w:r w:rsidR="006A3D8D" w:rsidRPr="00BF773B">
        <w:rPr>
          <w:rFonts w:cs="Arial"/>
          <w:sz w:val="22"/>
          <w:szCs w:val="22"/>
        </w:rPr>
        <w:t xml:space="preserve"> and not included in this </w:t>
      </w:r>
      <w:r w:rsidR="00303289">
        <w:rPr>
          <w:rFonts w:cs="Arial"/>
          <w:sz w:val="22"/>
          <w:szCs w:val="22"/>
        </w:rPr>
        <w:t>o</w:t>
      </w:r>
      <w:r w:rsidR="006A3D8D" w:rsidRPr="00BF773B">
        <w:rPr>
          <w:rFonts w:cs="Arial"/>
          <w:sz w:val="22"/>
          <w:szCs w:val="22"/>
        </w:rPr>
        <w:t>ption</w:t>
      </w:r>
      <w:r w:rsidR="00B62240" w:rsidRPr="00BF773B">
        <w:rPr>
          <w:rFonts w:cs="Arial"/>
          <w:sz w:val="22"/>
          <w:szCs w:val="22"/>
        </w:rPr>
        <w:t>.</w:t>
      </w:r>
      <w:r w:rsidR="00460A38" w:rsidRPr="003E2303">
        <w:rPr>
          <w:rFonts w:cs="Arial"/>
          <w:sz w:val="22"/>
          <w:szCs w:val="22"/>
        </w:rPr>
        <w:t xml:space="preserve"> </w:t>
      </w:r>
    </w:p>
    <w:p w14:paraId="7E594348" w14:textId="77777777" w:rsidR="00B62240" w:rsidRPr="00EB7A0C" w:rsidRDefault="00B62240" w:rsidP="007F2E9C">
      <w:pPr>
        <w:spacing w:line="276" w:lineRule="auto"/>
        <w:jc w:val="both"/>
        <w:rPr>
          <w:rFonts w:cs="Arial"/>
          <w:sz w:val="22"/>
          <w:szCs w:val="22"/>
        </w:rPr>
      </w:pPr>
    </w:p>
    <w:p w14:paraId="41772914" w14:textId="77777777" w:rsidR="00D37FD6" w:rsidRPr="003415CC" w:rsidRDefault="00460A38" w:rsidP="007F2E9C">
      <w:pPr>
        <w:spacing w:line="276" w:lineRule="auto"/>
        <w:jc w:val="both"/>
        <w:rPr>
          <w:rFonts w:cs="Arial"/>
          <w:sz w:val="22"/>
          <w:szCs w:val="22"/>
        </w:rPr>
      </w:pPr>
      <w:r w:rsidRPr="00BA6CA2">
        <w:rPr>
          <w:rFonts w:cs="Arial"/>
          <w:sz w:val="22"/>
          <w:szCs w:val="22"/>
        </w:rPr>
        <w:t xml:space="preserve">NFRD </w:t>
      </w:r>
      <w:r w:rsidR="003E2F53" w:rsidRPr="00BA6CA2">
        <w:rPr>
          <w:rFonts w:cs="Arial"/>
          <w:sz w:val="22"/>
          <w:szCs w:val="22"/>
        </w:rPr>
        <w:t>requirements also apply</w:t>
      </w:r>
      <w:r w:rsidR="00D37FD6" w:rsidRPr="00BA6CA2">
        <w:rPr>
          <w:rFonts w:cs="Arial"/>
          <w:sz w:val="22"/>
          <w:szCs w:val="22"/>
        </w:rPr>
        <w:t xml:space="preserve"> to large unquoted companies that are otherwise also deemed to be </w:t>
      </w:r>
      <w:r w:rsidR="006E6C2A" w:rsidRPr="00BA6CA2">
        <w:rPr>
          <w:rFonts w:cs="Arial"/>
          <w:sz w:val="22"/>
          <w:szCs w:val="22"/>
        </w:rPr>
        <w:t>PIEs because they are credit, inst</w:t>
      </w:r>
      <w:r w:rsidR="006E6C2A" w:rsidRPr="003415CC">
        <w:rPr>
          <w:rFonts w:cs="Arial"/>
          <w:sz w:val="22"/>
          <w:szCs w:val="22"/>
        </w:rPr>
        <w:t>itutions or insurers or have listed debt</w:t>
      </w:r>
      <w:r w:rsidR="00D37FD6" w:rsidRPr="003415CC">
        <w:rPr>
          <w:rFonts w:cs="Arial"/>
          <w:sz w:val="22"/>
          <w:szCs w:val="22"/>
        </w:rPr>
        <w:t xml:space="preserve">. </w:t>
      </w:r>
      <w:r w:rsidR="00A82647" w:rsidRPr="003415CC">
        <w:rPr>
          <w:rFonts w:cs="Arial"/>
          <w:sz w:val="22"/>
          <w:szCs w:val="22"/>
        </w:rPr>
        <w:t>Currently</w:t>
      </w:r>
      <w:r w:rsidR="006E6C2A" w:rsidRPr="003415CC">
        <w:rPr>
          <w:rFonts w:cs="Arial"/>
          <w:sz w:val="22"/>
          <w:szCs w:val="22"/>
        </w:rPr>
        <w:t>,</w:t>
      </w:r>
      <w:r w:rsidR="00A82647" w:rsidRPr="003415CC">
        <w:rPr>
          <w:rFonts w:cs="Arial"/>
          <w:sz w:val="22"/>
          <w:szCs w:val="22"/>
        </w:rPr>
        <w:t xml:space="preserve"> in the UK</w:t>
      </w:r>
      <w:r w:rsidR="006E6C2A" w:rsidRPr="003415CC">
        <w:rPr>
          <w:rFonts w:cs="Arial"/>
          <w:sz w:val="22"/>
          <w:szCs w:val="22"/>
        </w:rPr>
        <w:t xml:space="preserve"> such</w:t>
      </w:r>
      <w:r w:rsidR="00A82647" w:rsidRPr="003415CC">
        <w:rPr>
          <w:rFonts w:cs="Arial"/>
          <w:sz w:val="22"/>
          <w:szCs w:val="22"/>
        </w:rPr>
        <w:t xml:space="preserve"> companies </w:t>
      </w:r>
      <w:r w:rsidR="007E1BD0" w:rsidRPr="003415CC">
        <w:rPr>
          <w:rFonts w:cs="Arial"/>
          <w:sz w:val="22"/>
          <w:szCs w:val="22"/>
        </w:rPr>
        <w:t>not covered by the enhanced reporting framework of quoted companies. They are instead</w:t>
      </w:r>
      <w:r w:rsidR="00A82647" w:rsidRPr="003415CC">
        <w:rPr>
          <w:rFonts w:cs="Arial"/>
          <w:sz w:val="22"/>
          <w:szCs w:val="22"/>
        </w:rPr>
        <w:t xml:space="preserve"> subject to less stringent non-financial reporting requirements. These companies would </w:t>
      </w:r>
      <w:r w:rsidR="006E6C2A" w:rsidRPr="003415CC">
        <w:rPr>
          <w:rFonts w:cs="Arial"/>
          <w:sz w:val="22"/>
          <w:szCs w:val="22"/>
        </w:rPr>
        <w:t xml:space="preserve">therefore </w:t>
      </w:r>
      <w:r w:rsidR="00A82647" w:rsidRPr="003415CC">
        <w:rPr>
          <w:rFonts w:cs="Arial"/>
          <w:sz w:val="22"/>
          <w:szCs w:val="22"/>
        </w:rPr>
        <w:t>experience a greater impact from the NFRD</w:t>
      </w:r>
      <w:r w:rsidR="007E1BD0" w:rsidRPr="003415CC">
        <w:rPr>
          <w:rFonts w:cs="Arial"/>
          <w:sz w:val="22"/>
          <w:szCs w:val="22"/>
        </w:rPr>
        <w:t xml:space="preserve"> requirements</w:t>
      </w:r>
      <w:r w:rsidR="00A82647" w:rsidRPr="003415CC">
        <w:rPr>
          <w:rFonts w:cs="Arial"/>
          <w:sz w:val="22"/>
          <w:szCs w:val="22"/>
        </w:rPr>
        <w:t>.</w:t>
      </w:r>
    </w:p>
    <w:p w14:paraId="136FAAC7" w14:textId="77777777" w:rsidR="007E1BD0" w:rsidRPr="003415CC" w:rsidRDefault="007E1BD0" w:rsidP="007F2E9C">
      <w:pPr>
        <w:spacing w:line="276" w:lineRule="auto"/>
        <w:jc w:val="both"/>
        <w:rPr>
          <w:rFonts w:cs="Arial"/>
          <w:sz w:val="22"/>
          <w:szCs w:val="22"/>
        </w:rPr>
      </w:pPr>
    </w:p>
    <w:p w14:paraId="3DF744D9" w14:textId="77777777" w:rsidR="007E1BD0" w:rsidRPr="00D45B85" w:rsidRDefault="007E1BD0" w:rsidP="007F2E9C">
      <w:pPr>
        <w:spacing w:line="276" w:lineRule="auto"/>
        <w:jc w:val="both"/>
        <w:rPr>
          <w:rFonts w:cs="Arial"/>
          <w:sz w:val="22"/>
          <w:szCs w:val="22"/>
        </w:rPr>
      </w:pPr>
      <w:r w:rsidRPr="003415CC">
        <w:rPr>
          <w:rFonts w:cs="Arial"/>
          <w:sz w:val="22"/>
          <w:szCs w:val="22"/>
        </w:rPr>
        <w:t xml:space="preserve">As part of minimum implementation, we have taken up the exemption in the NFRD to exempt debt listed companies from the requirement to report on diversity policy. This exemption </w:t>
      </w:r>
      <w:r w:rsidR="00F10D6A">
        <w:rPr>
          <w:rFonts w:cs="Arial"/>
          <w:sz w:val="22"/>
          <w:szCs w:val="22"/>
        </w:rPr>
        <w:t>applies</w:t>
      </w:r>
      <w:r w:rsidRPr="003415CC">
        <w:rPr>
          <w:rFonts w:cs="Arial"/>
          <w:sz w:val="22"/>
          <w:szCs w:val="22"/>
        </w:rPr>
        <w:t xml:space="preserve"> to “undertakings [that] have issued shares which are traded in a multilateral trading facility within the meaning of point (15) of Article 4(1) of Directive 2004/39/EC”</w:t>
      </w:r>
      <w:r w:rsidRPr="003415CC">
        <w:rPr>
          <w:rFonts w:cs="Arial"/>
          <w:color w:val="1F497D"/>
          <w:sz w:val="22"/>
          <w:szCs w:val="22"/>
        </w:rPr>
        <w:t>.</w:t>
      </w:r>
      <w:r w:rsidRPr="00D45B85">
        <w:rPr>
          <w:rStyle w:val="FootnoteReference"/>
          <w:rFonts w:cs="Arial"/>
          <w:color w:val="1F497D"/>
          <w:szCs w:val="22"/>
        </w:rPr>
        <w:footnoteReference w:id="18"/>
      </w:r>
    </w:p>
    <w:p w14:paraId="52190748" w14:textId="77777777" w:rsidR="007E1BD0" w:rsidRPr="004E09CE" w:rsidRDefault="007E1BD0" w:rsidP="007F2E9C">
      <w:pPr>
        <w:spacing w:line="276" w:lineRule="auto"/>
        <w:jc w:val="both"/>
        <w:rPr>
          <w:rFonts w:cs="Arial"/>
          <w:sz w:val="22"/>
          <w:szCs w:val="22"/>
        </w:rPr>
      </w:pPr>
    </w:p>
    <w:p w14:paraId="253935D1" w14:textId="77777777" w:rsidR="000B4428" w:rsidRPr="004E09CE" w:rsidRDefault="000B4428" w:rsidP="007F2E9C">
      <w:pPr>
        <w:spacing w:line="276" w:lineRule="auto"/>
        <w:rPr>
          <w:rFonts w:cs="Arial"/>
          <w:sz w:val="22"/>
          <w:szCs w:val="22"/>
        </w:rPr>
      </w:pPr>
      <w:r w:rsidRPr="004E09CE">
        <w:rPr>
          <w:rFonts w:cs="Arial"/>
          <w:b/>
          <w:sz w:val="22"/>
          <w:szCs w:val="22"/>
        </w:rPr>
        <w:t>Option 3:</w:t>
      </w:r>
      <w:r w:rsidRPr="004E09CE">
        <w:rPr>
          <w:rFonts w:cs="Arial"/>
          <w:sz w:val="22"/>
          <w:szCs w:val="22"/>
        </w:rPr>
        <w:t xml:space="preserve"> Implement the NFRD requirements on all PIEs with more than 500 employees and extend this to all quoted companies with fewer than 500 employees. </w:t>
      </w:r>
    </w:p>
    <w:p w14:paraId="1ED2528B" w14:textId="77777777" w:rsidR="006A3D8D" w:rsidRPr="004E09CE" w:rsidRDefault="006A3D8D" w:rsidP="007F2E9C">
      <w:pPr>
        <w:spacing w:line="276" w:lineRule="auto"/>
        <w:rPr>
          <w:rFonts w:cs="Arial"/>
          <w:bCs/>
          <w:sz w:val="22"/>
          <w:szCs w:val="22"/>
          <w:lang w:eastAsia="en-GB"/>
        </w:rPr>
      </w:pPr>
    </w:p>
    <w:p w14:paraId="05B55A25" w14:textId="77777777" w:rsidR="00062F7D" w:rsidRPr="00EE0E76" w:rsidRDefault="00062F7D" w:rsidP="007F2E9C">
      <w:pPr>
        <w:spacing w:line="276" w:lineRule="auto"/>
        <w:jc w:val="both"/>
        <w:rPr>
          <w:rFonts w:cs="Arial"/>
          <w:sz w:val="22"/>
          <w:szCs w:val="22"/>
        </w:rPr>
      </w:pPr>
      <w:r w:rsidRPr="004E09CE">
        <w:rPr>
          <w:rFonts w:cs="Arial"/>
          <w:bCs/>
          <w:sz w:val="22"/>
          <w:szCs w:val="22"/>
          <w:lang w:eastAsia="en-GB"/>
        </w:rPr>
        <w:t xml:space="preserve">This option replaces the existing UK non-financial reporting requirements on </w:t>
      </w:r>
      <w:r w:rsidR="00670256" w:rsidRPr="004E09CE">
        <w:rPr>
          <w:rFonts w:cs="Arial"/>
          <w:bCs/>
          <w:sz w:val="22"/>
          <w:szCs w:val="22"/>
          <w:u w:val="single"/>
          <w:lang w:eastAsia="en-GB"/>
        </w:rPr>
        <w:t>all</w:t>
      </w:r>
      <w:r w:rsidR="00670256" w:rsidRPr="004E09CE">
        <w:rPr>
          <w:rFonts w:cs="Arial"/>
          <w:bCs/>
          <w:sz w:val="22"/>
          <w:szCs w:val="22"/>
          <w:lang w:eastAsia="en-GB"/>
        </w:rPr>
        <w:t xml:space="preserve"> </w:t>
      </w:r>
      <w:r w:rsidRPr="00266F21">
        <w:rPr>
          <w:rFonts w:cs="Arial"/>
          <w:bCs/>
          <w:sz w:val="22"/>
          <w:szCs w:val="22"/>
          <w:lang w:eastAsia="en-GB"/>
        </w:rPr>
        <w:t>quoted companies with the requirements of the NFRD</w:t>
      </w:r>
      <w:r w:rsidR="00670256" w:rsidRPr="00FC03D5">
        <w:rPr>
          <w:rFonts w:cs="Arial"/>
          <w:bCs/>
          <w:sz w:val="22"/>
          <w:szCs w:val="22"/>
          <w:lang w:eastAsia="en-GB"/>
        </w:rPr>
        <w:t>. As in Option 2, it also includes applying the new requirements to large unquoted PIEs (which are in scope of the NFRD)</w:t>
      </w:r>
      <w:r w:rsidRPr="00EE0E76">
        <w:rPr>
          <w:rFonts w:cs="Arial"/>
          <w:bCs/>
          <w:sz w:val="22"/>
          <w:szCs w:val="22"/>
          <w:lang w:eastAsia="en-GB"/>
        </w:rPr>
        <w:t>.</w:t>
      </w:r>
    </w:p>
    <w:p w14:paraId="194FE109" w14:textId="77777777" w:rsidR="00670256" w:rsidRPr="00EE0E76" w:rsidRDefault="00670256" w:rsidP="007F2E9C">
      <w:pPr>
        <w:spacing w:line="276" w:lineRule="auto"/>
        <w:jc w:val="both"/>
        <w:rPr>
          <w:rFonts w:cs="Arial"/>
          <w:bCs/>
          <w:sz w:val="22"/>
          <w:szCs w:val="22"/>
          <w:lang w:eastAsia="en-GB"/>
        </w:rPr>
      </w:pPr>
    </w:p>
    <w:p w14:paraId="2878D476" w14:textId="77777777" w:rsidR="00EC129C" w:rsidRPr="009D463F" w:rsidRDefault="000B4428" w:rsidP="007F2E9C">
      <w:pPr>
        <w:spacing w:line="276" w:lineRule="auto"/>
        <w:jc w:val="both"/>
        <w:rPr>
          <w:rFonts w:cs="Arial"/>
          <w:bCs/>
          <w:sz w:val="22"/>
          <w:szCs w:val="22"/>
          <w:lang w:eastAsia="en-GB"/>
        </w:rPr>
      </w:pPr>
      <w:r w:rsidRPr="00EE0E76">
        <w:rPr>
          <w:rFonts w:cs="Arial"/>
          <w:bCs/>
          <w:sz w:val="22"/>
          <w:szCs w:val="22"/>
          <w:lang w:eastAsia="en-GB"/>
        </w:rPr>
        <w:t xml:space="preserve">Currently in the UK, </w:t>
      </w:r>
      <w:r w:rsidRPr="00EE0E76">
        <w:rPr>
          <w:rFonts w:cs="Arial"/>
          <w:bCs/>
          <w:sz w:val="22"/>
          <w:szCs w:val="22"/>
          <w:u w:val="single"/>
          <w:lang w:eastAsia="en-GB"/>
        </w:rPr>
        <w:t>all</w:t>
      </w:r>
      <w:r w:rsidRPr="00EE0E76">
        <w:rPr>
          <w:rFonts w:cs="Arial"/>
          <w:bCs/>
          <w:sz w:val="22"/>
          <w:szCs w:val="22"/>
          <w:lang w:eastAsia="en-GB"/>
        </w:rPr>
        <w:t xml:space="preserve"> quoted companies are required to prepare a</w:t>
      </w:r>
      <w:r w:rsidR="00EC129C" w:rsidRPr="00EE0E76">
        <w:rPr>
          <w:rFonts w:cs="Arial"/>
          <w:bCs/>
          <w:sz w:val="22"/>
          <w:szCs w:val="22"/>
          <w:lang w:eastAsia="en-GB"/>
        </w:rPr>
        <w:t>n ‘Enhanced Strategic Report’</w:t>
      </w:r>
      <w:r w:rsidRPr="009D5978">
        <w:rPr>
          <w:rFonts w:cs="Arial"/>
          <w:bCs/>
          <w:sz w:val="22"/>
          <w:szCs w:val="22"/>
          <w:lang w:eastAsia="en-GB"/>
        </w:rPr>
        <w:t xml:space="preserve"> </w:t>
      </w:r>
      <w:r w:rsidR="00EC129C" w:rsidRPr="00FB3819">
        <w:rPr>
          <w:rFonts w:cs="Arial"/>
          <w:bCs/>
          <w:sz w:val="22"/>
          <w:szCs w:val="22"/>
          <w:lang w:eastAsia="en-GB"/>
        </w:rPr>
        <w:t xml:space="preserve">that covers the main proposals of the NFRD. </w:t>
      </w:r>
      <w:r w:rsidRPr="00FB3819">
        <w:rPr>
          <w:rFonts w:cs="Arial"/>
          <w:bCs/>
          <w:sz w:val="22"/>
          <w:szCs w:val="22"/>
          <w:lang w:eastAsia="en-GB"/>
        </w:rPr>
        <w:t>The introduction of EU report</w:t>
      </w:r>
      <w:r w:rsidRPr="00672163">
        <w:rPr>
          <w:rFonts w:cs="Arial"/>
          <w:bCs/>
          <w:sz w:val="22"/>
          <w:szCs w:val="22"/>
          <w:lang w:eastAsia="en-GB"/>
        </w:rPr>
        <w:t xml:space="preserve">ing requirements </w:t>
      </w:r>
      <w:r w:rsidR="00EC129C" w:rsidRPr="00672163">
        <w:rPr>
          <w:rFonts w:cs="Arial"/>
          <w:bCs/>
          <w:sz w:val="22"/>
          <w:szCs w:val="22"/>
          <w:lang w:eastAsia="en-GB"/>
        </w:rPr>
        <w:t xml:space="preserve">under Option </w:t>
      </w:r>
      <w:r w:rsidR="00FD617C">
        <w:rPr>
          <w:rFonts w:cs="Arial"/>
          <w:bCs/>
          <w:sz w:val="22"/>
          <w:szCs w:val="22"/>
          <w:lang w:eastAsia="en-GB"/>
        </w:rPr>
        <w:t>2</w:t>
      </w:r>
      <w:r w:rsidR="00EC129C" w:rsidRPr="00672163">
        <w:rPr>
          <w:rFonts w:cs="Arial"/>
          <w:bCs/>
          <w:sz w:val="22"/>
          <w:szCs w:val="22"/>
          <w:lang w:eastAsia="en-GB"/>
        </w:rPr>
        <w:t xml:space="preserve"> </w:t>
      </w:r>
      <w:r w:rsidR="00EC129C" w:rsidRPr="00672163">
        <w:rPr>
          <w:rFonts w:cs="Arial"/>
          <w:bCs/>
          <w:sz w:val="22"/>
          <w:szCs w:val="22"/>
          <w:lang w:eastAsia="en-GB"/>
        </w:rPr>
        <w:lastRenderedPageBreak/>
        <w:t>would</w:t>
      </w:r>
      <w:r w:rsidRPr="00672163">
        <w:rPr>
          <w:rFonts w:cs="Arial"/>
          <w:bCs/>
          <w:sz w:val="22"/>
          <w:szCs w:val="22"/>
          <w:lang w:eastAsia="en-GB"/>
        </w:rPr>
        <w:t xml:space="preserve"> create a divide in the UK </w:t>
      </w:r>
      <w:r w:rsidR="00EC129C" w:rsidRPr="001236C8">
        <w:rPr>
          <w:rFonts w:cs="Arial"/>
          <w:bCs/>
          <w:sz w:val="22"/>
          <w:szCs w:val="22"/>
          <w:lang w:eastAsia="en-GB"/>
        </w:rPr>
        <w:t xml:space="preserve">framework, </w:t>
      </w:r>
      <w:r w:rsidRPr="00CF0B89">
        <w:rPr>
          <w:rFonts w:cs="Arial"/>
          <w:bCs/>
          <w:sz w:val="22"/>
          <w:szCs w:val="22"/>
          <w:lang w:eastAsia="en-GB"/>
        </w:rPr>
        <w:t xml:space="preserve">with smaller </w:t>
      </w:r>
      <w:r w:rsidR="00EC129C" w:rsidRPr="009B17B7">
        <w:rPr>
          <w:rFonts w:cs="Arial"/>
          <w:bCs/>
          <w:sz w:val="22"/>
          <w:szCs w:val="22"/>
          <w:lang w:eastAsia="en-GB"/>
        </w:rPr>
        <w:t>quoted companies</w:t>
      </w:r>
      <w:r w:rsidRPr="009D463F">
        <w:rPr>
          <w:rFonts w:cs="Arial"/>
          <w:bCs/>
          <w:sz w:val="22"/>
          <w:szCs w:val="22"/>
          <w:lang w:eastAsia="en-GB"/>
        </w:rPr>
        <w:t xml:space="preserve"> compiling their reports to UK legislations and larger </w:t>
      </w:r>
      <w:r w:rsidR="00EC129C" w:rsidRPr="009D463F">
        <w:rPr>
          <w:rFonts w:cs="Arial"/>
          <w:bCs/>
          <w:sz w:val="22"/>
          <w:szCs w:val="22"/>
          <w:lang w:eastAsia="en-GB"/>
        </w:rPr>
        <w:t>ones</w:t>
      </w:r>
      <w:r w:rsidRPr="009D463F">
        <w:rPr>
          <w:rFonts w:cs="Arial"/>
          <w:bCs/>
          <w:sz w:val="22"/>
          <w:szCs w:val="22"/>
          <w:lang w:eastAsia="en-GB"/>
        </w:rPr>
        <w:t xml:space="preserve"> preparing theirs to the EU requirements. Extending the EU requirements to all listed companies in the UK will remove this divide and provide companies with certainty as to their obligations in regards to the preparatio</w:t>
      </w:r>
      <w:r w:rsidR="00EC129C" w:rsidRPr="009D463F">
        <w:rPr>
          <w:rFonts w:cs="Arial"/>
          <w:bCs/>
          <w:sz w:val="22"/>
          <w:szCs w:val="22"/>
          <w:lang w:eastAsia="en-GB"/>
        </w:rPr>
        <w:t>n of non-financial information. It would also maintain comparability between their reports.</w:t>
      </w:r>
    </w:p>
    <w:p w14:paraId="3E7B8391" w14:textId="77777777" w:rsidR="00670256" w:rsidRPr="004B5F0F" w:rsidRDefault="00670256" w:rsidP="007F2E9C">
      <w:pPr>
        <w:spacing w:line="276" w:lineRule="auto"/>
        <w:jc w:val="both"/>
        <w:rPr>
          <w:rFonts w:cs="Arial"/>
          <w:bCs/>
          <w:sz w:val="22"/>
          <w:szCs w:val="22"/>
          <w:lang w:eastAsia="en-GB"/>
        </w:rPr>
      </w:pPr>
    </w:p>
    <w:p w14:paraId="23731D35" w14:textId="77777777" w:rsidR="00670256" w:rsidRPr="0063153B" w:rsidRDefault="00670256" w:rsidP="007F2E9C">
      <w:pPr>
        <w:spacing w:line="276" w:lineRule="auto"/>
        <w:jc w:val="both"/>
        <w:rPr>
          <w:rFonts w:cs="Arial"/>
          <w:bCs/>
          <w:sz w:val="22"/>
          <w:szCs w:val="22"/>
          <w:lang w:eastAsia="en-GB"/>
        </w:rPr>
      </w:pPr>
      <w:r w:rsidRPr="004B5F0F">
        <w:rPr>
          <w:rFonts w:cs="Arial"/>
          <w:bCs/>
          <w:sz w:val="22"/>
          <w:szCs w:val="22"/>
          <w:lang w:eastAsia="en-GB"/>
        </w:rPr>
        <w:t>This option therefore has</w:t>
      </w:r>
      <w:r w:rsidR="002F55C5">
        <w:rPr>
          <w:rFonts w:cs="Arial"/>
          <w:bCs/>
          <w:sz w:val="22"/>
          <w:szCs w:val="22"/>
          <w:lang w:eastAsia="en-GB"/>
        </w:rPr>
        <w:t xml:space="preserve"> additional benefits and</w:t>
      </w:r>
      <w:r w:rsidRPr="004B5F0F">
        <w:rPr>
          <w:rFonts w:cs="Arial"/>
          <w:bCs/>
          <w:sz w:val="22"/>
          <w:szCs w:val="22"/>
          <w:lang w:eastAsia="en-GB"/>
        </w:rPr>
        <w:t xml:space="preserve"> costs over and above the minimum implementation requirements</w:t>
      </w:r>
      <w:r w:rsidR="008469BF" w:rsidRPr="004B5F0F">
        <w:rPr>
          <w:rFonts w:cs="Arial"/>
          <w:bCs/>
          <w:sz w:val="22"/>
          <w:szCs w:val="22"/>
          <w:lang w:eastAsia="en-GB"/>
        </w:rPr>
        <w:t xml:space="preserve"> of the </w:t>
      </w:r>
      <w:r w:rsidR="009145EC">
        <w:rPr>
          <w:rFonts w:cs="Arial"/>
          <w:bCs/>
          <w:sz w:val="22"/>
          <w:szCs w:val="22"/>
          <w:lang w:eastAsia="en-GB"/>
        </w:rPr>
        <w:t>NFRD</w:t>
      </w:r>
      <w:r w:rsidR="008469BF" w:rsidRPr="004B5F0F">
        <w:rPr>
          <w:rFonts w:cs="Arial"/>
          <w:bCs/>
          <w:sz w:val="22"/>
          <w:szCs w:val="22"/>
          <w:lang w:eastAsia="en-GB"/>
        </w:rPr>
        <w:t>, as a result of</w:t>
      </w:r>
      <w:r w:rsidRPr="0063153B">
        <w:rPr>
          <w:rFonts w:cs="Arial"/>
          <w:bCs/>
          <w:sz w:val="22"/>
          <w:szCs w:val="22"/>
          <w:lang w:eastAsia="en-GB"/>
        </w:rPr>
        <w:t xml:space="preserve"> the additional impact on smaller quoted companies.</w:t>
      </w:r>
      <w:r w:rsidR="00BA7599">
        <w:rPr>
          <w:rFonts w:cs="Arial"/>
          <w:bCs/>
          <w:sz w:val="22"/>
          <w:szCs w:val="22"/>
          <w:lang w:eastAsia="en-GB"/>
        </w:rPr>
        <w:t xml:space="preserve"> </w:t>
      </w:r>
    </w:p>
    <w:p w14:paraId="12343154" w14:textId="77777777" w:rsidR="000B4428" w:rsidRPr="0063153B" w:rsidRDefault="000B4428" w:rsidP="007F2E9C">
      <w:pPr>
        <w:spacing w:line="276" w:lineRule="auto"/>
        <w:rPr>
          <w:rFonts w:cs="Arial"/>
          <w:sz w:val="22"/>
          <w:szCs w:val="22"/>
        </w:rPr>
      </w:pPr>
    </w:p>
    <w:p w14:paraId="77552A65" w14:textId="77777777" w:rsidR="000B4428" w:rsidRPr="006A2772" w:rsidRDefault="000B4428" w:rsidP="007F2E9C">
      <w:pPr>
        <w:spacing w:line="276" w:lineRule="auto"/>
        <w:jc w:val="both"/>
        <w:rPr>
          <w:rFonts w:cs="Arial"/>
          <w:sz w:val="22"/>
          <w:szCs w:val="22"/>
        </w:rPr>
      </w:pPr>
      <w:r w:rsidRPr="00BF773B">
        <w:rPr>
          <w:rFonts w:cs="Arial"/>
          <w:b/>
          <w:sz w:val="22"/>
          <w:szCs w:val="22"/>
        </w:rPr>
        <w:t>Option 4:</w:t>
      </w:r>
      <w:r w:rsidRPr="00BF773B">
        <w:rPr>
          <w:rFonts w:cs="Arial"/>
          <w:sz w:val="22"/>
          <w:szCs w:val="22"/>
        </w:rPr>
        <w:t xml:space="preserve"> Implement the NFRD requirements on all PIEs with more than 500 employees and repeal the UK’s reporting regulati</w:t>
      </w:r>
      <w:r w:rsidRPr="006A2772">
        <w:rPr>
          <w:rFonts w:cs="Arial"/>
          <w:sz w:val="22"/>
          <w:szCs w:val="22"/>
        </w:rPr>
        <w:t xml:space="preserve">ons on quoted companies with less than 500 employees to produce an </w:t>
      </w:r>
      <w:r w:rsidR="00390FD2">
        <w:rPr>
          <w:rFonts w:cs="Arial"/>
          <w:sz w:val="22"/>
          <w:szCs w:val="22"/>
        </w:rPr>
        <w:t>E</w:t>
      </w:r>
      <w:r w:rsidRPr="006A2772">
        <w:rPr>
          <w:rFonts w:cs="Arial"/>
          <w:sz w:val="22"/>
          <w:szCs w:val="22"/>
        </w:rPr>
        <w:t>nhanced Strategic Report.</w:t>
      </w:r>
    </w:p>
    <w:p w14:paraId="19485E74" w14:textId="77777777" w:rsidR="00D37FD6" w:rsidRPr="006A2772" w:rsidRDefault="00D37FD6" w:rsidP="007F2E9C">
      <w:pPr>
        <w:pStyle w:val="EBBullet"/>
        <w:keepNext/>
        <w:numPr>
          <w:ilvl w:val="0"/>
          <w:numId w:val="0"/>
        </w:numPr>
        <w:spacing w:line="276" w:lineRule="auto"/>
      </w:pPr>
    </w:p>
    <w:p w14:paraId="085C4210" w14:textId="77777777" w:rsidR="00BE4815" w:rsidRPr="009145EC" w:rsidRDefault="00BE4815" w:rsidP="007F2E9C">
      <w:pPr>
        <w:spacing w:line="276" w:lineRule="auto"/>
        <w:jc w:val="both"/>
        <w:rPr>
          <w:rFonts w:cs="Arial"/>
          <w:bCs/>
          <w:sz w:val="22"/>
          <w:szCs w:val="22"/>
          <w:lang w:eastAsia="en-GB"/>
        </w:rPr>
      </w:pPr>
      <w:r w:rsidRPr="009145EC">
        <w:rPr>
          <w:rFonts w:cs="Arial"/>
          <w:bCs/>
          <w:sz w:val="22"/>
          <w:szCs w:val="22"/>
          <w:lang w:eastAsia="en-GB"/>
        </w:rPr>
        <w:t xml:space="preserve">This option will apply the EU requirements to the population of companies stipulated in the </w:t>
      </w:r>
      <w:r w:rsidR="009145EC">
        <w:rPr>
          <w:rFonts w:cs="Arial"/>
          <w:bCs/>
          <w:sz w:val="22"/>
          <w:szCs w:val="22"/>
          <w:lang w:eastAsia="en-GB"/>
        </w:rPr>
        <w:t>NFRD</w:t>
      </w:r>
      <w:r w:rsidR="00BB0E54" w:rsidRPr="009145EC">
        <w:rPr>
          <w:rFonts w:cs="Arial"/>
          <w:bCs/>
          <w:sz w:val="22"/>
          <w:szCs w:val="22"/>
          <w:lang w:eastAsia="en-GB"/>
        </w:rPr>
        <w:t xml:space="preserve"> and repeal the UK’s current enhanced reporting requirements on smaller listed companies</w:t>
      </w:r>
      <w:r w:rsidRPr="009145EC">
        <w:rPr>
          <w:rFonts w:cs="Arial"/>
          <w:bCs/>
          <w:sz w:val="22"/>
          <w:szCs w:val="22"/>
          <w:lang w:eastAsia="en-GB"/>
        </w:rPr>
        <w:t xml:space="preserve">.   </w:t>
      </w:r>
    </w:p>
    <w:p w14:paraId="565F22F2" w14:textId="77777777" w:rsidR="00BE4815" w:rsidRPr="00BE0BD9" w:rsidRDefault="00BE4815" w:rsidP="007F2E9C">
      <w:pPr>
        <w:spacing w:line="276" w:lineRule="auto"/>
        <w:jc w:val="both"/>
        <w:rPr>
          <w:rFonts w:cs="Arial"/>
          <w:sz w:val="22"/>
          <w:szCs w:val="22"/>
        </w:rPr>
      </w:pPr>
    </w:p>
    <w:p w14:paraId="1ACC9487" w14:textId="77777777" w:rsidR="00426DD2" w:rsidRDefault="001B063C" w:rsidP="007F2E9C">
      <w:pPr>
        <w:spacing w:line="276" w:lineRule="auto"/>
        <w:jc w:val="both"/>
        <w:rPr>
          <w:rFonts w:cs="Arial"/>
          <w:sz w:val="22"/>
          <w:szCs w:val="22"/>
        </w:rPr>
      </w:pPr>
      <w:r w:rsidRPr="00EB7A0C">
        <w:rPr>
          <w:rFonts w:cs="Arial"/>
          <w:sz w:val="22"/>
          <w:szCs w:val="22"/>
        </w:rPr>
        <w:t xml:space="preserve">Under this option, non-financial disclosures </w:t>
      </w:r>
      <w:r w:rsidR="003D0BFE" w:rsidRPr="00EB7A0C">
        <w:rPr>
          <w:rFonts w:cs="Arial"/>
          <w:sz w:val="22"/>
          <w:szCs w:val="22"/>
        </w:rPr>
        <w:t xml:space="preserve">requirements </w:t>
      </w:r>
      <w:r w:rsidRPr="00EB7A0C">
        <w:rPr>
          <w:rFonts w:cs="Arial"/>
          <w:sz w:val="22"/>
          <w:szCs w:val="22"/>
        </w:rPr>
        <w:t>on smaller quoted</w:t>
      </w:r>
      <w:r w:rsidR="00BE4815" w:rsidRPr="00BA6CA2">
        <w:rPr>
          <w:rFonts w:cs="Arial"/>
          <w:sz w:val="22"/>
          <w:szCs w:val="22"/>
        </w:rPr>
        <w:t xml:space="preserve"> companies outside the scope of the </w:t>
      </w:r>
      <w:r w:rsidRPr="00BA6CA2">
        <w:rPr>
          <w:rFonts w:cs="Arial"/>
          <w:sz w:val="22"/>
          <w:szCs w:val="22"/>
        </w:rPr>
        <w:t>NFRD</w:t>
      </w:r>
      <w:r w:rsidR="00BE4815" w:rsidRPr="00BA6CA2">
        <w:rPr>
          <w:rFonts w:cs="Arial"/>
          <w:sz w:val="22"/>
          <w:szCs w:val="22"/>
        </w:rPr>
        <w:t xml:space="preserve"> will </w:t>
      </w:r>
      <w:r w:rsidRPr="00BA6CA2">
        <w:rPr>
          <w:rFonts w:cs="Arial"/>
          <w:sz w:val="22"/>
          <w:szCs w:val="22"/>
        </w:rPr>
        <w:t>be reduced to those currently on unquoted companies.</w:t>
      </w:r>
    </w:p>
    <w:p w14:paraId="356AC720" w14:textId="77777777" w:rsidR="00BE4815" w:rsidRPr="00426DD2" w:rsidRDefault="001B063C" w:rsidP="007F2E9C">
      <w:pPr>
        <w:spacing w:line="276" w:lineRule="auto"/>
        <w:jc w:val="both"/>
        <w:rPr>
          <w:rFonts w:cs="Arial"/>
          <w:sz w:val="22"/>
          <w:szCs w:val="22"/>
        </w:rPr>
      </w:pPr>
      <w:r w:rsidRPr="00426DD2">
        <w:rPr>
          <w:rFonts w:cs="Arial"/>
          <w:sz w:val="22"/>
          <w:szCs w:val="22"/>
        </w:rPr>
        <w:t xml:space="preserve"> </w:t>
      </w:r>
    </w:p>
    <w:p w14:paraId="5C65E66C" w14:textId="77777777" w:rsidR="003D0BFE" w:rsidRPr="00426DD2" w:rsidRDefault="003D0BFE" w:rsidP="007F2E9C">
      <w:pPr>
        <w:spacing w:line="276" w:lineRule="auto"/>
        <w:jc w:val="both"/>
        <w:rPr>
          <w:rFonts w:cs="Arial"/>
          <w:sz w:val="22"/>
          <w:szCs w:val="22"/>
        </w:rPr>
      </w:pPr>
      <w:r w:rsidRPr="00EB7A0C">
        <w:rPr>
          <w:rFonts w:cs="Arial"/>
          <w:sz w:val="22"/>
          <w:szCs w:val="22"/>
        </w:rPr>
        <w:t>This option would have a deregulatory impact – but at the cost of non-financial information currently provided by smaller quoted companies</w:t>
      </w:r>
      <w:r w:rsidR="002F55C5">
        <w:rPr>
          <w:rFonts w:cs="Arial"/>
          <w:sz w:val="22"/>
          <w:szCs w:val="22"/>
        </w:rPr>
        <w:t>. These costs would be in terms of the loss of benefits to investors and other stakeholders of having</w:t>
      </w:r>
      <w:r w:rsidR="00AF4714">
        <w:rPr>
          <w:rFonts w:cs="Arial"/>
          <w:sz w:val="22"/>
          <w:szCs w:val="22"/>
        </w:rPr>
        <w:t xml:space="preserve"> </w:t>
      </w:r>
      <w:r w:rsidR="00797FCE">
        <w:rPr>
          <w:rFonts w:cs="Arial"/>
          <w:sz w:val="22"/>
          <w:szCs w:val="22"/>
        </w:rPr>
        <w:t xml:space="preserve">the additional non-financial </w:t>
      </w:r>
      <w:r w:rsidR="00AF4714">
        <w:rPr>
          <w:rFonts w:cs="Arial"/>
          <w:sz w:val="22"/>
          <w:szCs w:val="22"/>
        </w:rPr>
        <w:t>information</w:t>
      </w:r>
      <w:r w:rsidR="00797FCE">
        <w:rPr>
          <w:rFonts w:cs="Arial"/>
          <w:sz w:val="22"/>
          <w:szCs w:val="22"/>
        </w:rPr>
        <w:t xml:space="preserve"> on these companies. It would also remove some of the incentive on these companies to consider non-financial matters and the risks they pose in the course of their business</w:t>
      </w:r>
      <w:r w:rsidR="00F53C81">
        <w:rPr>
          <w:rFonts w:cs="Arial"/>
          <w:sz w:val="22"/>
          <w:szCs w:val="22"/>
        </w:rPr>
        <w:t>.</w:t>
      </w:r>
    </w:p>
    <w:p w14:paraId="4C45A83B" w14:textId="77777777" w:rsidR="009151F5" w:rsidRPr="00EB7A0C" w:rsidRDefault="009151F5" w:rsidP="007F2E9C">
      <w:pPr>
        <w:pStyle w:val="EBBullet"/>
        <w:keepNext/>
        <w:numPr>
          <w:ilvl w:val="0"/>
          <w:numId w:val="0"/>
        </w:numPr>
        <w:spacing w:line="276" w:lineRule="auto"/>
      </w:pPr>
    </w:p>
    <w:p w14:paraId="2753C7F6" w14:textId="77777777" w:rsidR="00686F5E" w:rsidRPr="003415CC" w:rsidRDefault="00E155FA" w:rsidP="004D7BB0">
      <w:pPr>
        <w:pStyle w:val="EBBullet"/>
        <w:keepNext/>
        <w:numPr>
          <w:ilvl w:val="0"/>
          <w:numId w:val="0"/>
        </w:numPr>
        <w:spacing w:line="276" w:lineRule="auto"/>
        <w:rPr>
          <w:b/>
          <w:sz w:val="32"/>
          <w:szCs w:val="32"/>
        </w:rPr>
      </w:pPr>
      <w:r w:rsidRPr="00BA6CA2">
        <w:rPr>
          <w:b/>
          <w:sz w:val="32"/>
          <w:szCs w:val="32"/>
        </w:rPr>
        <w:t>Monetised and non-monetised c</w:t>
      </w:r>
      <w:r w:rsidR="00686F5E" w:rsidRPr="00BA6CA2">
        <w:rPr>
          <w:b/>
          <w:sz w:val="32"/>
          <w:szCs w:val="32"/>
        </w:rPr>
        <w:t>osts and benefits</w:t>
      </w:r>
      <w:r w:rsidRPr="00BA6CA2">
        <w:rPr>
          <w:b/>
          <w:sz w:val="32"/>
          <w:szCs w:val="32"/>
        </w:rPr>
        <w:t xml:space="preserve"> </w:t>
      </w:r>
      <w:r w:rsidR="00686F5E" w:rsidRPr="00BA6CA2">
        <w:rPr>
          <w:b/>
          <w:sz w:val="32"/>
          <w:szCs w:val="32"/>
        </w:rPr>
        <w:t>of each option</w:t>
      </w:r>
      <w:r w:rsidRPr="00BA6CA2">
        <w:rPr>
          <w:b/>
          <w:sz w:val="32"/>
          <w:szCs w:val="32"/>
        </w:rPr>
        <w:t xml:space="preserve"> </w:t>
      </w:r>
      <w:r w:rsidR="00961356" w:rsidRPr="003415CC">
        <w:rPr>
          <w:b/>
          <w:sz w:val="32"/>
          <w:szCs w:val="32"/>
        </w:rPr>
        <w:t>(including administrative burden)</w:t>
      </w:r>
      <w:r w:rsidR="00686F5E" w:rsidRPr="003415CC">
        <w:rPr>
          <w:b/>
          <w:sz w:val="32"/>
          <w:szCs w:val="32"/>
        </w:rPr>
        <w:t>;</w:t>
      </w:r>
    </w:p>
    <w:p w14:paraId="542AEAC1" w14:textId="77777777" w:rsidR="006753F0" w:rsidRPr="007F2E9C" w:rsidRDefault="006753F0" w:rsidP="007F2E9C">
      <w:pPr>
        <w:spacing w:line="276" w:lineRule="auto"/>
        <w:rPr>
          <w:rFonts w:cs="Arial"/>
          <w:b/>
          <w:i/>
          <w:sz w:val="28"/>
          <w:szCs w:val="28"/>
          <w:u w:val="single"/>
        </w:rPr>
      </w:pPr>
      <w:r w:rsidRPr="007F2E9C">
        <w:rPr>
          <w:rFonts w:cs="Arial"/>
          <w:b/>
          <w:i/>
          <w:sz w:val="28"/>
          <w:szCs w:val="28"/>
          <w:u w:val="single"/>
        </w:rPr>
        <w:t>Estimating the number of companies affected by the NFRD</w:t>
      </w:r>
    </w:p>
    <w:p w14:paraId="0D7CC568" w14:textId="77777777" w:rsidR="006753F0" w:rsidRPr="004E09CE" w:rsidRDefault="006753F0" w:rsidP="007F2E9C">
      <w:pPr>
        <w:spacing w:line="276" w:lineRule="auto"/>
        <w:rPr>
          <w:rFonts w:cs="Arial"/>
          <w:b/>
          <w:i/>
          <w:sz w:val="22"/>
          <w:szCs w:val="22"/>
        </w:rPr>
      </w:pPr>
    </w:p>
    <w:p w14:paraId="06ADF1B7" w14:textId="77777777" w:rsidR="006753F0" w:rsidRPr="004E09CE" w:rsidRDefault="006753F0" w:rsidP="007F2E9C">
      <w:pPr>
        <w:tabs>
          <w:tab w:val="center" w:pos="4961"/>
        </w:tabs>
        <w:spacing w:after="240" w:line="276" w:lineRule="auto"/>
        <w:mirrorIndents/>
        <w:jc w:val="both"/>
        <w:rPr>
          <w:rFonts w:cs="Arial"/>
          <w:bCs/>
          <w:sz w:val="22"/>
          <w:szCs w:val="22"/>
          <w:lang w:eastAsia="en-GB"/>
        </w:rPr>
      </w:pPr>
      <w:r w:rsidRPr="004E09CE">
        <w:rPr>
          <w:rFonts w:cs="Arial"/>
          <w:bCs/>
          <w:sz w:val="22"/>
          <w:szCs w:val="22"/>
          <w:lang w:eastAsia="en-GB"/>
        </w:rPr>
        <w:t xml:space="preserve">The </w:t>
      </w:r>
      <w:r>
        <w:rPr>
          <w:rFonts w:cs="Arial"/>
          <w:bCs/>
          <w:sz w:val="22"/>
          <w:szCs w:val="22"/>
          <w:lang w:eastAsia="en-GB"/>
        </w:rPr>
        <w:t>NFRD</w:t>
      </w:r>
      <w:r w:rsidRPr="004E09CE">
        <w:rPr>
          <w:rFonts w:cs="Arial"/>
          <w:bCs/>
          <w:sz w:val="22"/>
          <w:szCs w:val="22"/>
          <w:lang w:eastAsia="en-GB"/>
        </w:rPr>
        <w:t xml:space="preserve"> requirements apply to PIEs that have more than 500 employees. PIEs are defined as entities</w:t>
      </w:r>
      <w:r w:rsidR="00BA6CA2">
        <w:rPr>
          <w:rFonts w:cs="Arial"/>
          <w:bCs/>
          <w:sz w:val="22"/>
          <w:szCs w:val="22"/>
          <w:lang w:eastAsia="en-GB"/>
        </w:rPr>
        <w:t xml:space="preserve"> that</w:t>
      </w:r>
      <w:r w:rsidRPr="004E09CE">
        <w:rPr>
          <w:rFonts w:cs="Arial"/>
          <w:bCs/>
          <w:sz w:val="22"/>
          <w:szCs w:val="22"/>
          <w:lang w:eastAsia="en-GB"/>
        </w:rPr>
        <w:t xml:space="preserve">: </w:t>
      </w:r>
    </w:p>
    <w:p w14:paraId="5A1E9F2B" w14:textId="77777777" w:rsidR="006753F0" w:rsidRPr="009D5978" w:rsidRDefault="00BA6CA2" w:rsidP="007F2E9C">
      <w:pPr>
        <w:pStyle w:val="ListParagraph"/>
        <w:numPr>
          <w:ilvl w:val="0"/>
          <w:numId w:val="32"/>
        </w:numPr>
        <w:tabs>
          <w:tab w:val="center" w:pos="4961"/>
        </w:tabs>
        <w:spacing w:after="240" w:line="276" w:lineRule="auto"/>
        <w:mirrorIndents/>
        <w:jc w:val="both"/>
        <w:rPr>
          <w:rFonts w:cs="Arial"/>
          <w:bCs/>
          <w:sz w:val="22"/>
          <w:szCs w:val="22"/>
          <w:lang w:eastAsia="en-GB"/>
        </w:rPr>
      </w:pPr>
      <w:r>
        <w:rPr>
          <w:rFonts w:cs="Arial"/>
          <w:b/>
          <w:bCs/>
          <w:sz w:val="22"/>
          <w:szCs w:val="22"/>
          <w:lang w:eastAsia="en-GB"/>
        </w:rPr>
        <w:t xml:space="preserve">Have </w:t>
      </w:r>
      <w:r w:rsidR="006753F0" w:rsidRPr="007F2E9C">
        <w:rPr>
          <w:rFonts w:cs="Arial"/>
          <w:b/>
          <w:bCs/>
          <w:sz w:val="22"/>
          <w:szCs w:val="22"/>
          <w:lang w:eastAsia="en-GB"/>
        </w:rPr>
        <w:t>transferable securities admitted to trading on an EU regulated market</w:t>
      </w:r>
      <w:r w:rsidR="006753F0" w:rsidRPr="004E09CE">
        <w:rPr>
          <w:rStyle w:val="FootnoteReference"/>
          <w:rFonts w:cs="Arial"/>
          <w:bCs/>
          <w:szCs w:val="22"/>
          <w:lang w:eastAsia="en-GB"/>
        </w:rPr>
        <w:footnoteReference w:id="19"/>
      </w:r>
      <w:r w:rsidR="006753F0" w:rsidRPr="004E09CE">
        <w:rPr>
          <w:rFonts w:cs="Arial"/>
          <w:bCs/>
          <w:sz w:val="22"/>
          <w:szCs w:val="22"/>
          <w:lang w:eastAsia="en-GB"/>
        </w:rPr>
        <w:t>.  We have used the FAME database</w:t>
      </w:r>
      <w:r w:rsidR="006753F0" w:rsidRPr="004E09CE">
        <w:rPr>
          <w:rStyle w:val="FootnoteReference"/>
          <w:rFonts w:cs="Arial"/>
          <w:bCs/>
          <w:szCs w:val="22"/>
          <w:lang w:eastAsia="en-GB"/>
        </w:rPr>
        <w:footnoteReference w:id="20"/>
      </w:r>
      <w:r w:rsidR="006753F0" w:rsidRPr="00266F21">
        <w:rPr>
          <w:rFonts w:cs="Arial"/>
          <w:bCs/>
          <w:sz w:val="22"/>
          <w:szCs w:val="22"/>
          <w:lang w:eastAsia="en-GB"/>
        </w:rPr>
        <w:t>, London Stock Exchange st</w:t>
      </w:r>
      <w:r w:rsidR="006753F0" w:rsidRPr="00FC03D5">
        <w:rPr>
          <w:rFonts w:cs="Arial"/>
          <w:bCs/>
          <w:sz w:val="22"/>
          <w:szCs w:val="22"/>
          <w:lang w:eastAsia="en-GB"/>
        </w:rPr>
        <w:t>atistics</w:t>
      </w:r>
      <w:r w:rsidR="006753F0" w:rsidRPr="00FC03D5">
        <w:rPr>
          <w:rStyle w:val="FootnoteReference"/>
          <w:rFonts w:cs="Arial"/>
          <w:bCs/>
          <w:szCs w:val="22"/>
          <w:lang w:eastAsia="en-GB"/>
        </w:rPr>
        <w:footnoteReference w:id="21"/>
      </w:r>
      <w:r w:rsidR="006753F0" w:rsidRPr="00EE0E76">
        <w:rPr>
          <w:rFonts w:cs="Arial"/>
          <w:bCs/>
          <w:sz w:val="22"/>
          <w:szCs w:val="22"/>
          <w:lang w:eastAsia="en-GB"/>
        </w:rPr>
        <w:t xml:space="preserve"> and data from the UK Listing Authority Official List to identify those companies which are quoted on a UK regulated market or have</w:t>
      </w:r>
      <w:r w:rsidR="006753F0" w:rsidRPr="00EE0E76">
        <w:rPr>
          <w:rFonts w:cs="Arial"/>
          <w:bCs/>
          <w:color w:val="000000"/>
          <w:sz w:val="22"/>
          <w:szCs w:val="22"/>
          <w:lang w:eastAsia="en-GB"/>
        </w:rPr>
        <w:t xml:space="preserve"> listed debt securities on the Financial Conduct Authority (FCA) Official List</w:t>
      </w:r>
      <w:r w:rsidR="006753F0" w:rsidRPr="00EE0E76">
        <w:rPr>
          <w:rStyle w:val="FootnoteReference"/>
          <w:rFonts w:cs="Arial"/>
          <w:bCs/>
          <w:color w:val="000000"/>
          <w:szCs w:val="22"/>
          <w:lang w:eastAsia="en-GB"/>
        </w:rPr>
        <w:footnoteReference w:id="22"/>
      </w:r>
      <w:r w:rsidR="006753F0" w:rsidRPr="00EE0E76">
        <w:rPr>
          <w:rFonts w:cs="Arial"/>
          <w:bCs/>
          <w:color w:val="000000"/>
          <w:sz w:val="22"/>
          <w:szCs w:val="22"/>
          <w:lang w:eastAsia="en-GB"/>
        </w:rPr>
        <w:t>.</w:t>
      </w:r>
      <w:r w:rsidR="006753F0" w:rsidRPr="00EE0E76">
        <w:rPr>
          <w:rFonts w:cs="Arial"/>
          <w:bCs/>
          <w:sz w:val="22"/>
          <w:szCs w:val="22"/>
        </w:rPr>
        <w:t xml:space="preserve"> Using these data sources we estimate around 800 UK incorporated companies with equity are listed on an EU regulated market. There are a further 600 companies </w:t>
      </w:r>
      <w:r w:rsidR="006753F0" w:rsidRPr="009D5978">
        <w:rPr>
          <w:rFonts w:cs="Arial"/>
          <w:bCs/>
          <w:sz w:val="22"/>
          <w:szCs w:val="22"/>
          <w:lang w:eastAsia="en-GB"/>
        </w:rPr>
        <w:t xml:space="preserve">that issue only debt or derivatives. </w:t>
      </w:r>
    </w:p>
    <w:p w14:paraId="63CD1C78" w14:textId="77777777" w:rsidR="006753F0" w:rsidRPr="009B17B7" w:rsidRDefault="00BA6CA2" w:rsidP="007F2E9C">
      <w:pPr>
        <w:pStyle w:val="ListParagraph"/>
        <w:numPr>
          <w:ilvl w:val="0"/>
          <w:numId w:val="32"/>
        </w:numPr>
        <w:tabs>
          <w:tab w:val="center" w:pos="4961"/>
        </w:tabs>
        <w:spacing w:after="240" w:line="276" w:lineRule="auto"/>
        <w:mirrorIndents/>
        <w:jc w:val="both"/>
        <w:rPr>
          <w:rFonts w:cs="Arial"/>
          <w:bCs/>
          <w:sz w:val="22"/>
          <w:szCs w:val="22"/>
          <w:lang w:eastAsia="en-GB"/>
        </w:rPr>
      </w:pPr>
      <w:r>
        <w:rPr>
          <w:rFonts w:cs="Arial"/>
          <w:b/>
          <w:bCs/>
          <w:sz w:val="22"/>
          <w:szCs w:val="22"/>
          <w:lang w:eastAsia="en-GB"/>
        </w:rPr>
        <w:t>A</w:t>
      </w:r>
      <w:r w:rsidR="006753F0" w:rsidRPr="007F2E9C">
        <w:rPr>
          <w:rFonts w:cs="Arial"/>
          <w:b/>
          <w:bCs/>
          <w:sz w:val="22"/>
          <w:szCs w:val="22"/>
          <w:lang w:eastAsia="en-GB"/>
        </w:rPr>
        <w:t>re credit institutions and/or insurance undertakings</w:t>
      </w:r>
      <w:r w:rsidR="006753F0" w:rsidRPr="00FB3819">
        <w:rPr>
          <w:rFonts w:cs="Arial"/>
          <w:bCs/>
          <w:sz w:val="22"/>
          <w:szCs w:val="22"/>
          <w:lang w:eastAsia="en-GB"/>
        </w:rPr>
        <w:t>. T</w:t>
      </w:r>
      <w:r w:rsidR="006753F0" w:rsidRPr="00FB3819">
        <w:rPr>
          <w:rFonts w:cs="Arial"/>
          <w:bCs/>
          <w:color w:val="000000"/>
          <w:sz w:val="22"/>
          <w:szCs w:val="22"/>
          <w:lang w:eastAsia="en-GB"/>
        </w:rPr>
        <w:t>he Prudential Regulatory Authority</w:t>
      </w:r>
      <w:r w:rsidR="006753F0" w:rsidRPr="00672163">
        <w:rPr>
          <w:rFonts w:cs="Arial"/>
          <w:bCs/>
          <w:color w:val="000000"/>
          <w:sz w:val="22"/>
          <w:szCs w:val="22"/>
          <w:lang w:eastAsia="en-GB"/>
        </w:rPr>
        <w:t xml:space="preserve"> (PRA) has a list of about 340 insurers that would be affected and </w:t>
      </w:r>
      <w:r w:rsidR="006753F0" w:rsidRPr="00672163">
        <w:rPr>
          <w:rFonts w:cs="Arial"/>
          <w:bCs/>
          <w:sz w:val="22"/>
          <w:szCs w:val="22"/>
          <w:lang w:eastAsia="en-GB"/>
        </w:rPr>
        <w:t>Bank of England data</w:t>
      </w:r>
      <w:r w:rsidR="006753F0" w:rsidRPr="00672163">
        <w:rPr>
          <w:rStyle w:val="FootnoteReference"/>
          <w:rFonts w:cs="Arial"/>
          <w:bCs/>
          <w:szCs w:val="22"/>
          <w:lang w:eastAsia="en-GB"/>
        </w:rPr>
        <w:footnoteReference w:id="23"/>
      </w:r>
      <w:r w:rsidR="006753F0" w:rsidRPr="001236C8">
        <w:rPr>
          <w:rFonts w:cs="Arial"/>
          <w:bCs/>
          <w:sz w:val="22"/>
          <w:szCs w:val="22"/>
          <w:lang w:eastAsia="en-GB"/>
        </w:rPr>
        <w:t xml:space="preserve"> shows there are over 150 Banks affected. Building Societies and Lloyds</w:t>
      </w:r>
      <w:r w:rsidR="006753F0" w:rsidRPr="00CF0B89">
        <w:rPr>
          <w:rStyle w:val="FootnoteReference"/>
          <w:rFonts w:cs="Arial"/>
          <w:bCs/>
          <w:szCs w:val="22"/>
          <w:lang w:eastAsia="en-GB"/>
        </w:rPr>
        <w:footnoteReference w:id="24"/>
      </w:r>
      <w:r w:rsidR="006753F0" w:rsidRPr="009B17B7">
        <w:rPr>
          <w:rFonts w:cs="Arial"/>
          <w:bCs/>
          <w:sz w:val="22"/>
          <w:szCs w:val="22"/>
          <w:lang w:eastAsia="en-GB"/>
        </w:rPr>
        <w:t xml:space="preserve"> Syndicates are out of scope of the </w:t>
      </w:r>
      <w:r w:rsidR="006753F0">
        <w:rPr>
          <w:rFonts w:cs="Arial"/>
          <w:bCs/>
          <w:sz w:val="22"/>
          <w:szCs w:val="22"/>
          <w:lang w:eastAsia="en-GB"/>
        </w:rPr>
        <w:t>NFRD</w:t>
      </w:r>
      <w:r w:rsidR="006753F0" w:rsidRPr="009B17B7">
        <w:rPr>
          <w:rFonts w:cs="Arial"/>
          <w:bCs/>
          <w:sz w:val="22"/>
          <w:szCs w:val="22"/>
          <w:lang w:eastAsia="en-GB"/>
        </w:rPr>
        <w:t xml:space="preserve"> requirements. </w:t>
      </w:r>
    </w:p>
    <w:p w14:paraId="4ECA1E5B" w14:textId="77777777" w:rsidR="006753F0" w:rsidRPr="009D463F" w:rsidRDefault="006753F0" w:rsidP="007F2E9C">
      <w:pPr>
        <w:spacing w:line="276" w:lineRule="auto"/>
        <w:jc w:val="both"/>
        <w:rPr>
          <w:rFonts w:cs="Arial"/>
          <w:sz w:val="22"/>
          <w:szCs w:val="22"/>
        </w:rPr>
      </w:pPr>
      <w:r w:rsidRPr="009D463F">
        <w:rPr>
          <w:rFonts w:cs="Arial"/>
          <w:sz w:val="22"/>
          <w:szCs w:val="22"/>
        </w:rPr>
        <w:lastRenderedPageBreak/>
        <w:t xml:space="preserve">We matched these companies to those on the FAME database to determine: </w:t>
      </w:r>
    </w:p>
    <w:p w14:paraId="3AFB5F14" w14:textId="77777777" w:rsidR="006753F0" w:rsidRPr="009D463F" w:rsidRDefault="006753F0" w:rsidP="009E2E26">
      <w:pPr>
        <w:pStyle w:val="ListParagraph"/>
        <w:numPr>
          <w:ilvl w:val="0"/>
          <w:numId w:val="33"/>
        </w:numPr>
        <w:spacing w:after="200" w:line="276" w:lineRule="auto"/>
        <w:jc w:val="both"/>
        <w:rPr>
          <w:rFonts w:cs="Arial"/>
          <w:sz w:val="22"/>
          <w:szCs w:val="22"/>
        </w:rPr>
      </w:pPr>
      <w:r w:rsidRPr="009D463F">
        <w:rPr>
          <w:rFonts w:cs="Arial"/>
          <w:sz w:val="22"/>
          <w:szCs w:val="22"/>
        </w:rPr>
        <w:t xml:space="preserve">Which had more than 500 employees – and therefore were in scope of the NFRD ; </w:t>
      </w:r>
    </w:p>
    <w:p w14:paraId="587B49D2" w14:textId="77777777" w:rsidR="006753F0" w:rsidRPr="009D463F" w:rsidRDefault="006753F0" w:rsidP="00DB55AC">
      <w:pPr>
        <w:pStyle w:val="ListParagraph"/>
        <w:numPr>
          <w:ilvl w:val="0"/>
          <w:numId w:val="33"/>
        </w:numPr>
        <w:spacing w:after="200" w:line="276" w:lineRule="auto"/>
        <w:jc w:val="both"/>
        <w:rPr>
          <w:rFonts w:cs="Arial"/>
          <w:sz w:val="22"/>
          <w:szCs w:val="22"/>
        </w:rPr>
      </w:pPr>
      <w:r w:rsidRPr="009D463F">
        <w:rPr>
          <w:rFonts w:cs="Arial"/>
          <w:sz w:val="22"/>
          <w:szCs w:val="22"/>
        </w:rPr>
        <w:t>The extent to which the company would be affected.  Quoted companies already meet most of the NFRD requirements, while current UK regulations do not require unquoted companies do to meet similar requirements and would therefore incur greater costs; and</w:t>
      </w:r>
    </w:p>
    <w:p w14:paraId="0CCBE90A" w14:textId="77777777" w:rsidR="006753F0" w:rsidRPr="004B5F0F" w:rsidRDefault="006753F0" w:rsidP="00E203F9">
      <w:pPr>
        <w:pStyle w:val="ListParagraph"/>
        <w:numPr>
          <w:ilvl w:val="0"/>
          <w:numId w:val="33"/>
        </w:numPr>
        <w:spacing w:after="200" w:line="276" w:lineRule="auto"/>
        <w:jc w:val="both"/>
        <w:rPr>
          <w:rFonts w:cs="Arial"/>
          <w:sz w:val="22"/>
          <w:szCs w:val="22"/>
        </w:rPr>
      </w:pPr>
      <w:r w:rsidRPr="004B5F0F">
        <w:rPr>
          <w:rFonts w:cs="Arial"/>
          <w:sz w:val="22"/>
          <w:szCs w:val="22"/>
        </w:rPr>
        <w:t>To estimate the number of subsidiary companies tha</w:t>
      </w:r>
      <w:r w:rsidR="00467E1C">
        <w:rPr>
          <w:rFonts w:cs="Arial"/>
          <w:sz w:val="22"/>
          <w:szCs w:val="22"/>
        </w:rPr>
        <w:t>t would potentially be affected, because their parent company was in scope of the regulations.</w:t>
      </w:r>
    </w:p>
    <w:p w14:paraId="05B7DFC1" w14:textId="77777777" w:rsidR="006753F0" w:rsidRPr="004B5F0F" w:rsidRDefault="006753F0" w:rsidP="007F2E9C">
      <w:pPr>
        <w:spacing w:line="276" w:lineRule="auto"/>
        <w:jc w:val="both"/>
        <w:rPr>
          <w:rFonts w:cs="Arial"/>
          <w:sz w:val="22"/>
          <w:szCs w:val="22"/>
        </w:rPr>
      </w:pPr>
      <w:r w:rsidRPr="004B5F0F">
        <w:rPr>
          <w:rFonts w:cs="Arial"/>
          <w:sz w:val="22"/>
          <w:szCs w:val="22"/>
        </w:rPr>
        <w:t>However there were some instances of missing data in t</w:t>
      </w:r>
      <w:r w:rsidR="000E7E9F">
        <w:rPr>
          <w:rFonts w:cs="Arial"/>
          <w:sz w:val="22"/>
          <w:szCs w:val="22"/>
        </w:rPr>
        <w:t>he FAME database</w:t>
      </w:r>
      <w:r w:rsidRPr="004B5F0F">
        <w:rPr>
          <w:rFonts w:cs="Arial"/>
          <w:sz w:val="22"/>
          <w:szCs w:val="22"/>
        </w:rPr>
        <w:t xml:space="preserve">, so in some cases data had to be imputed.  </w:t>
      </w:r>
    </w:p>
    <w:p w14:paraId="7A0FAEA6" w14:textId="77777777" w:rsidR="006753F0" w:rsidRPr="0063153B" w:rsidRDefault="006753F0" w:rsidP="007F2E9C">
      <w:pPr>
        <w:spacing w:line="276" w:lineRule="auto"/>
        <w:rPr>
          <w:rFonts w:cs="Arial"/>
          <w:sz w:val="22"/>
          <w:szCs w:val="22"/>
          <w:u w:val="single"/>
        </w:rPr>
      </w:pPr>
    </w:p>
    <w:p w14:paraId="46AC17B5" w14:textId="77777777" w:rsidR="006753F0" w:rsidRPr="0063153B" w:rsidRDefault="006753F0" w:rsidP="004D7BB0">
      <w:pPr>
        <w:keepNext/>
        <w:spacing w:line="276" w:lineRule="auto"/>
        <w:rPr>
          <w:rFonts w:cs="Arial"/>
          <w:sz w:val="22"/>
          <w:szCs w:val="22"/>
          <w:u w:val="single"/>
        </w:rPr>
      </w:pPr>
      <w:r w:rsidRPr="0063153B">
        <w:rPr>
          <w:rFonts w:cs="Arial"/>
          <w:sz w:val="22"/>
          <w:szCs w:val="22"/>
          <w:u w:val="single"/>
        </w:rPr>
        <w:t>Quoted Companies in scope of EU NFRD</w:t>
      </w:r>
    </w:p>
    <w:p w14:paraId="531648E7" w14:textId="77777777" w:rsidR="006753F0" w:rsidRPr="00BF773B" w:rsidRDefault="006753F0" w:rsidP="004D7BB0">
      <w:pPr>
        <w:keepNext/>
        <w:spacing w:line="276" w:lineRule="auto"/>
        <w:rPr>
          <w:rFonts w:cs="Arial"/>
          <w:sz w:val="22"/>
          <w:szCs w:val="22"/>
        </w:rPr>
      </w:pPr>
    </w:p>
    <w:p w14:paraId="18F7B111" w14:textId="77777777" w:rsidR="006753F0" w:rsidRPr="003E185A" w:rsidRDefault="006753F0" w:rsidP="007F2E9C">
      <w:pPr>
        <w:pStyle w:val="ListParagraph"/>
        <w:keepNext/>
        <w:numPr>
          <w:ilvl w:val="0"/>
          <w:numId w:val="55"/>
        </w:numPr>
        <w:spacing w:line="276" w:lineRule="auto"/>
        <w:jc w:val="both"/>
        <w:rPr>
          <w:rFonts w:cs="Arial"/>
          <w:sz w:val="22"/>
          <w:szCs w:val="22"/>
        </w:rPr>
      </w:pPr>
      <w:r w:rsidRPr="002575C7">
        <w:rPr>
          <w:rFonts w:cs="Arial"/>
          <w:sz w:val="22"/>
          <w:szCs w:val="22"/>
        </w:rPr>
        <w:t>Based on FAME data 389 quoted companies (49% of the total) have more than 500 employees, which are in scope of the NFRD. These companies already meet the requirements of the UK Enhanced Strategic Report and therefore meet most of the NFRD requirements. They would be affected only by the incremental changes brought about by the NFRD to the current UK requirements on quoted companies. This includes providing information on anti-bribery and corruption matters and diversity policy. These companies would also be affected by the requirement to provide a reasoned explanation for the omission of information on specified matters (such as diversity) – rather than just stating that it is not provided. Evidence from the consultation and post-consultation meetings with stakeholders suggested that these costs would be negligible but no estimates were assumed these would be negligible. Furthermore, we expect that at the present time companies concerned about the credibility of their reports would rarely state that they have omitted information without explaining why.</w:t>
      </w:r>
    </w:p>
    <w:p w14:paraId="7150A945" w14:textId="77777777" w:rsidR="0049623C" w:rsidRDefault="006753F0" w:rsidP="0049623C">
      <w:pPr>
        <w:pStyle w:val="ListParagraph"/>
        <w:numPr>
          <w:ilvl w:val="0"/>
          <w:numId w:val="30"/>
        </w:numPr>
        <w:spacing w:after="200" w:line="276" w:lineRule="auto"/>
        <w:jc w:val="both"/>
        <w:rPr>
          <w:rFonts w:cs="Arial"/>
          <w:sz w:val="22"/>
          <w:szCs w:val="22"/>
        </w:rPr>
      </w:pPr>
      <w:r w:rsidRPr="00173D3D">
        <w:rPr>
          <w:rFonts w:cs="Arial"/>
          <w:sz w:val="22"/>
          <w:szCs w:val="22"/>
        </w:rPr>
        <w:t>94% of the 389 companies with more than 500 employees pr</w:t>
      </w:r>
      <w:r w:rsidR="00AC7763">
        <w:rPr>
          <w:rFonts w:cs="Arial"/>
          <w:sz w:val="22"/>
          <w:szCs w:val="22"/>
        </w:rPr>
        <w:t>ovide group accounts</w:t>
      </w:r>
      <w:r w:rsidRPr="00173D3D">
        <w:rPr>
          <w:rFonts w:cs="Arial"/>
          <w:sz w:val="22"/>
          <w:szCs w:val="22"/>
        </w:rPr>
        <w:t xml:space="preserve"> and 6% had other account types</w:t>
      </w:r>
      <w:r w:rsidR="002D41B4">
        <w:rPr>
          <w:rStyle w:val="FootnoteReference"/>
          <w:rFonts w:cs="Arial"/>
          <w:szCs w:val="22"/>
        </w:rPr>
        <w:footnoteReference w:id="25"/>
      </w:r>
      <w:r w:rsidRPr="00173D3D">
        <w:rPr>
          <w:rFonts w:cs="Arial"/>
          <w:sz w:val="22"/>
          <w:szCs w:val="22"/>
        </w:rPr>
        <w:t xml:space="preserve">. Those doing full accounts </w:t>
      </w:r>
      <w:r w:rsidR="00283182">
        <w:rPr>
          <w:rFonts w:cs="Arial"/>
          <w:sz w:val="22"/>
          <w:szCs w:val="22"/>
        </w:rPr>
        <w:t>are estimated to have</w:t>
      </w:r>
      <w:r w:rsidRPr="00173D3D">
        <w:rPr>
          <w:rFonts w:cs="Arial"/>
          <w:sz w:val="22"/>
          <w:szCs w:val="22"/>
        </w:rPr>
        <w:t xml:space="preserve"> 54,000 recorded subsidiaries between them. These would be affected but to a lesser extent than their parent companies - as they would have to provide information to their parent companies. Furthermore, not all of these subsidiaries would be actively trading companies in their own right. It is estimated that about 19% of registered companies are dormant.</w:t>
      </w:r>
      <w:r w:rsidR="002D41B4">
        <w:rPr>
          <w:rStyle w:val="FootnoteReference"/>
          <w:rFonts w:cs="Arial"/>
          <w:szCs w:val="22"/>
        </w:rPr>
        <w:footnoteReference w:id="26"/>
      </w:r>
      <w:r w:rsidRPr="00173D3D">
        <w:rPr>
          <w:rFonts w:cs="Arial"/>
          <w:sz w:val="22"/>
          <w:szCs w:val="22"/>
        </w:rPr>
        <w:t xml:space="preserve"> We therefore estimate that 43,740 (or 81%) are actively trading companies that would also incur costs of the additional requirements of the NFRD.</w:t>
      </w:r>
    </w:p>
    <w:p w14:paraId="3E7AC2F0" w14:textId="77777777" w:rsidR="006753F0" w:rsidRPr="0049623C" w:rsidRDefault="00F6654D" w:rsidP="0049623C">
      <w:pPr>
        <w:pStyle w:val="ListParagraph"/>
        <w:numPr>
          <w:ilvl w:val="0"/>
          <w:numId w:val="30"/>
        </w:numPr>
        <w:spacing w:after="200" w:line="276" w:lineRule="auto"/>
        <w:jc w:val="both"/>
        <w:rPr>
          <w:rFonts w:cs="Arial"/>
          <w:sz w:val="22"/>
          <w:szCs w:val="22"/>
        </w:rPr>
      </w:pPr>
      <w:r w:rsidRPr="0049623C">
        <w:rPr>
          <w:rFonts w:eastAsia="SimSun" w:cs="Arial"/>
          <w:spacing w:val="-5"/>
          <w:sz w:val="22"/>
          <w:szCs w:val="22"/>
          <w:lang w:eastAsia="zh-CN"/>
        </w:rPr>
        <w:t>We are conducting a research project into the impact on company behaviour of current UK.</w:t>
      </w:r>
      <w:r w:rsidR="00F43E36" w:rsidRPr="0049623C">
        <w:rPr>
          <w:rStyle w:val="FootnoteReference"/>
          <w:rFonts w:eastAsia="SimSun" w:cs="Arial"/>
          <w:spacing w:val="-5"/>
          <w:szCs w:val="22"/>
          <w:lang w:eastAsia="zh-CN"/>
        </w:rPr>
        <w:t xml:space="preserve"> </w:t>
      </w:r>
      <w:r w:rsidR="00F43E36" w:rsidRPr="0049623C">
        <w:rPr>
          <w:rStyle w:val="FootnoteReference"/>
          <w:rFonts w:eastAsia="SimSun" w:cs="Arial"/>
          <w:spacing w:val="-5"/>
          <w:szCs w:val="22"/>
          <w:lang w:eastAsia="zh-CN"/>
        </w:rPr>
        <w:footnoteReference w:id="27"/>
      </w:r>
      <w:r w:rsidR="0049623C" w:rsidRPr="0049623C">
        <w:rPr>
          <w:rFonts w:eastAsia="SimSun" w:cs="Arial"/>
          <w:spacing w:val="-5"/>
          <w:sz w:val="22"/>
          <w:szCs w:val="22"/>
          <w:lang w:eastAsia="zh-CN"/>
        </w:rPr>
        <w:t xml:space="preserve"> </w:t>
      </w:r>
      <w:r w:rsidR="00AA0414" w:rsidRPr="0049623C">
        <w:rPr>
          <w:rFonts w:eastAsia="SimSun" w:cs="Arial"/>
          <w:spacing w:val="-5"/>
          <w:sz w:val="22"/>
          <w:szCs w:val="22"/>
          <w:lang w:eastAsia="zh-CN"/>
        </w:rPr>
        <w:t xml:space="preserve"> </w:t>
      </w:r>
      <w:r w:rsidR="00D806AE">
        <w:rPr>
          <w:rFonts w:cs="Arial"/>
          <w:sz w:val="22"/>
          <w:szCs w:val="22"/>
        </w:rPr>
        <w:t>The findings</w:t>
      </w:r>
      <w:r w:rsidR="006753F0" w:rsidRPr="0049623C">
        <w:rPr>
          <w:rFonts w:cs="Arial"/>
          <w:sz w:val="22"/>
          <w:szCs w:val="22"/>
        </w:rPr>
        <w:t xml:space="preserve"> indicate tha</w:t>
      </w:r>
      <w:r w:rsidR="00AA0414" w:rsidRPr="0049623C">
        <w:rPr>
          <w:rFonts w:cs="Arial"/>
          <w:sz w:val="22"/>
          <w:szCs w:val="22"/>
        </w:rPr>
        <w:t>t many large quoted companies a</w:t>
      </w:r>
      <w:r w:rsidR="006753F0" w:rsidRPr="0049623C">
        <w:rPr>
          <w:rFonts w:cs="Arial"/>
          <w:sz w:val="22"/>
          <w:szCs w:val="22"/>
        </w:rPr>
        <w:t>re already reporting on anti-bribery and corruption matters and diversity matters (despite it not being a current requirement). 32 of the 38 large quoted company respondents (84%) said they already reported on anti-bribery and corruption matters. 27 of the 38 large quoted company respondents (71%) said they already reported on diversity issues. The percentage of companies that would incur additional costs of reporting these matters is therefore 16% and 29% respectively. We apply these percentages to the population of 389 to get our best estimate of companies (and their associated subsidiaries) that would incur further costs from the NFRD changes. The 95% confidence interval</w:t>
      </w:r>
      <w:r w:rsidR="00D753D1">
        <w:rPr>
          <w:rFonts w:cs="Arial"/>
          <w:sz w:val="22"/>
          <w:szCs w:val="22"/>
        </w:rPr>
        <w:t xml:space="preserve"> for the</w:t>
      </w:r>
      <w:r w:rsidR="00AC7763">
        <w:rPr>
          <w:rFonts w:cs="Arial"/>
          <w:sz w:val="22"/>
          <w:szCs w:val="22"/>
        </w:rPr>
        <w:t xml:space="preserve"> </w:t>
      </w:r>
      <w:r w:rsidR="00D753D1">
        <w:rPr>
          <w:rFonts w:cs="Arial"/>
          <w:sz w:val="22"/>
          <w:szCs w:val="22"/>
        </w:rPr>
        <w:t xml:space="preserve">best </w:t>
      </w:r>
      <w:r w:rsidR="00AC7763">
        <w:rPr>
          <w:rFonts w:cs="Arial"/>
          <w:sz w:val="22"/>
          <w:szCs w:val="22"/>
        </w:rPr>
        <w:t>estimates</w:t>
      </w:r>
      <w:r w:rsidR="00D753D1">
        <w:rPr>
          <w:rFonts w:cs="Arial"/>
          <w:sz w:val="22"/>
          <w:szCs w:val="22"/>
        </w:rPr>
        <w:t xml:space="preserve"> of percentages already reporting on anti-bribery and diversity</w:t>
      </w:r>
      <w:r w:rsidR="00AC7763">
        <w:rPr>
          <w:rFonts w:cs="Arial"/>
          <w:sz w:val="22"/>
          <w:szCs w:val="22"/>
        </w:rPr>
        <w:t xml:space="preserve"> are +/- 11.1</w:t>
      </w:r>
      <w:r w:rsidR="006753F0" w:rsidRPr="0049623C">
        <w:rPr>
          <w:rFonts w:cs="Arial"/>
          <w:sz w:val="22"/>
          <w:szCs w:val="22"/>
        </w:rPr>
        <w:t>%</w:t>
      </w:r>
      <w:r w:rsidR="00AC7763">
        <w:rPr>
          <w:rFonts w:cs="Arial"/>
          <w:sz w:val="22"/>
          <w:szCs w:val="22"/>
        </w:rPr>
        <w:t xml:space="preserve"> </w:t>
      </w:r>
      <w:r w:rsidR="00D753D1">
        <w:rPr>
          <w:rFonts w:cs="Arial"/>
          <w:sz w:val="22"/>
          <w:szCs w:val="22"/>
        </w:rPr>
        <w:t>and +/-13.7% respectively</w:t>
      </w:r>
      <w:r w:rsidR="006753F0" w:rsidRPr="0049623C">
        <w:rPr>
          <w:rFonts w:cs="Arial"/>
          <w:sz w:val="22"/>
          <w:szCs w:val="22"/>
        </w:rPr>
        <w:t>. We use these as the lower and upper estimates of the percentage of the population that would incur additional costs.</w:t>
      </w:r>
    </w:p>
    <w:p w14:paraId="0695493B" w14:textId="77777777" w:rsidR="006753F0" w:rsidRPr="00BE0BD9" w:rsidRDefault="006753F0" w:rsidP="003E185A">
      <w:pPr>
        <w:keepNext/>
        <w:spacing w:line="276" w:lineRule="auto"/>
        <w:rPr>
          <w:rFonts w:cs="Arial"/>
          <w:sz w:val="22"/>
          <w:szCs w:val="22"/>
          <w:u w:val="single"/>
        </w:rPr>
      </w:pPr>
      <w:r w:rsidRPr="00BE0BD9">
        <w:rPr>
          <w:rFonts w:cs="Arial"/>
          <w:sz w:val="22"/>
          <w:szCs w:val="22"/>
          <w:u w:val="single"/>
        </w:rPr>
        <w:lastRenderedPageBreak/>
        <w:t>Unquoted Companies in scope of EU NFRD</w:t>
      </w:r>
    </w:p>
    <w:p w14:paraId="28272052" w14:textId="77777777" w:rsidR="006753F0" w:rsidRPr="00173D3D" w:rsidRDefault="006753F0" w:rsidP="003E185A">
      <w:pPr>
        <w:keepNext/>
        <w:spacing w:line="276" w:lineRule="auto"/>
        <w:rPr>
          <w:rFonts w:cs="Arial"/>
          <w:sz w:val="22"/>
          <w:szCs w:val="22"/>
          <w:u w:val="single"/>
        </w:rPr>
      </w:pPr>
    </w:p>
    <w:p w14:paraId="000FB300" w14:textId="77777777" w:rsidR="006753F0" w:rsidRPr="009145EC" w:rsidRDefault="00437FCC" w:rsidP="009E2E26">
      <w:pPr>
        <w:pStyle w:val="ListParagraph"/>
        <w:numPr>
          <w:ilvl w:val="0"/>
          <w:numId w:val="31"/>
        </w:numPr>
        <w:spacing w:after="200" w:line="276" w:lineRule="auto"/>
        <w:jc w:val="both"/>
        <w:rPr>
          <w:rFonts w:cs="Arial"/>
          <w:sz w:val="22"/>
          <w:szCs w:val="22"/>
        </w:rPr>
      </w:pPr>
      <w:r>
        <w:rPr>
          <w:rFonts w:cs="Arial"/>
          <w:sz w:val="22"/>
          <w:szCs w:val="22"/>
        </w:rPr>
        <w:t>Of the unquoted PIEs, 148 (14</w:t>
      </w:r>
      <w:r w:rsidR="006753F0" w:rsidRPr="00173D3D">
        <w:rPr>
          <w:rFonts w:cs="Arial"/>
          <w:sz w:val="22"/>
          <w:szCs w:val="22"/>
        </w:rPr>
        <w:t xml:space="preserve">%) have more than 500 employees. These are in scope of the NFRD. These companies do not currently meet the requirements of the UK Enhanced Strategic Report and therefore would experience a greater impact of the changes brought about by the EU NFRD. They would incur the costs of reporting on environmental matters, employee matters and human rights matters, as well as having to use Key Performance Indicators (KPIs), which only quoted companies in the UK have done so far. They would also have to report on anti-bribery and corruption matters. As the reporting on diversity policy only apples to quoted companies under the </w:t>
      </w:r>
      <w:r w:rsidR="006753F0">
        <w:rPr>
          <w:rFonts w:cs="Arial"/>
          <w:sz w:val="22"/>
          <w:szCs w:val="22"/>
        </w:rPr>
        <w:t>NFRD</w:t>
      </w:r>
      <w:r w:rsidR="006753F0" w:rsidRPr="009145EC">
        <w:rPr>
          <w:rFonts w:cs="Arial"/>
          <w:sz w:val="22"/>
          <w:szCs w:val="22"/>
        </w:rPr>
        <w:t xml:space="preserve">, unquoted PIEs would not be affected by this requirement. </w:t>
      </w:r>
    </w:p>
    <w:p w14:paraId="7552A5DE" w14:textId="77777777" w:rsidR="006753F0" w:rsidRPr="00173D3D" w:rsidRDefault="00437FCC" w:rsidP="00DB55AC">
      <w:pPr>
        <w:pStyle w:val="ListParagraph"/>
        <w:numPr>
          <w:ilvl w:val="0"/>
          <w:numId w:val="31"/>
        </w:numPr>
        <w:spacing w:after="200" w:line="276" w:lineRule="auto"/>
        <w:jc w:val="both"/>
        <w:rPr>
          <w:rFonts w:cs="Arial"/>
          <w:sz w:val="22"/>
          <w:szCs w:val="22"/>
        </w:rPr>
      </w:pPr>
      <w:r>
        <w:rPr>
          <w:rFonts w:cs="Arial"/>
          <w:sz w:val="22"/>
          <w:szCs w:val="22"/>
        </w:rPr>
        <w:t>Of the 148 companies, 56%</w:t>
      </w:r>
      <w:r w:rsidR="006753F0" w:rsidRPr="00BE0BD9">
        <w:rPr>
          <w:rFonts w:cs="Arial"/>
          <w:sz w:val="22"/>
          <w:szCs w:val="22"/>
        </w:rPr>
        <w:t xml:space="preserve"> </w:t>
      </w:r>
      <w:r>
        <w:rPr>
          <w:rFonts w:cs="Arial"/>
          <w:sz w:val="22"/>
          <w:szCs w:val="22"/>
        </w:rPr>
        <w:t>provide group accounts</w:t>
      </w:r>
      <w:r w:rsidR="006753F0" w:rsidRPr="00BE0BD9">
        <w:rPr>
          <w:rFonts w:cs="Arial"/>
          <w:sz w:val="22"/>
          <w:szCs w:val="22"/>
        </w:rPr>
        <w:t xml:space="preserve"> and 44% pr</w:t>
      </w:r>
      <w:r w:rsidR="006753F0" w:rsidRPr="00426DD2">
        <w:rPr>
          <w:rFonts w:cs="Arial"/>
          <w:sz w:val="22"/>
          <w:szCs w:val="22"/>
        </w:rPr>
        <w:t>ovide ful</w:t>
      </w:r>
      <w:r>
        <w:rPr>
          <w:rFonts w:cs="Arial"/>
          <w:sz w:val="22"/>
          <w:szCs w:val="22"/>
        </w:rPr>
        <w:t>l or other types of accounts</w:t>
      </w:r>
      <w:r w:rsidR="006753F0" w:rsidRPr="00426DD2">
        <w:rPr>
          <w:rFonts w:cs="Arial"/>
          <w:sz w:val="22"/>
          <w:szCs w:val="22"/>
        </w:rPr>
        <w:t>. The unquoted companies doing group accounts have about 3000 subsidiaries between them. These would be affected to a lesser extent - as they would have to provide information to their parent companies</w:t>
      </w:r>
      <w:r w:rsidR="006753F0" w:rsidRPr="00173D3D">
        <w:rPr>
          <w:rFonts w:cs="Arial"/>
          <w:sz w:val="22"/>
          <w:szCs w:val="22"/>
        </w:rPr>
        <w:t xml:space="preserve">. However, not all of these subsidiaries are actively trading companies. We estimate that 2,430 (81%) are actively trading companies that would incur costs of the additional requirements of the NFRD. </w:t>
      </w:r>
    </w:p>
    <w:p w14:paraId="7EB22F8E" w14:textId="77777777" w:rsidR="006753F0" w:rsidRPr="00173D3D" w:rsidRDefault="006753F0" w:rsidP="00DB55AC">
      <w:pPr>
        <w:pStyle w:val="ListParagraph"/>
        <w:numPr>
          <w:ilvl w:val="0"/>
          <w:numId w:val="31"/>
        </w:numPr>
        <w:spacing w:after="200" w:line="276" w:lineRule="auto"/>
        <w:jc w:val="both"/>
        <w:rPr>
          <w:rFonts w:cs="Arial"/>
          <w:sz w:val="22"/>
          <w:szCs w:val="22"/>
        </w:rPr>
      </w:pPr>
      <w:r w:rsidRPr="00173D3D">
        <w:rPr>
          <w:rFonts w:cs="Arial"/>
          <w:sz w:val="22"/>
          <w:szCs w:val="22"/>
        </w:rPr>
        <w:t>The survey evidence also indicated that many large unquoted PIEs were already reporting on anti-bribery and corruption matters (despite it not being a current requirement). 6 of the 16 large unquoted PIE respondents (37%) said they already reported on anti-bribery and corruption matters. The percentage of companies that would incur additional costs of reporting this matter is therefore 63%. We apply this pe</w:t>
      </w:r>
      <w:r w:rsidR="00437FCC">
        <w:rPr>
          <w:rFonts w:cs="Arial"/>
          <w:sz w:val="22"/>
          <w:szCs w:val="22"/>
        </w:rPr>
        <w:t>rcentage to the population of 148</w:t>
      </w:r>
      <w:r w:rsidRPr="00173D3D">
        <w:rPr>
          <w:rFonts w:cs="Arial"/>
          <w:sz w:val="22"/>
          <w:szCs w:val="22"/>
        </w:rPr>
        <w:t xml:space="preserve"> PIEs in scope to get our best estimate of companies (and their subsidiaries) that would incur further costs from this requirement. The 95% confidence interv</w:t>
      </w:r>
      <w:r w:rsidR="00437FCC">
        <w:rPr>
          <w:rFonts w:cs="Arial"/>
          <w:sz w:val="22"/>
          <w:szCs w:val="22"/>
        </w:rPr>
        <w:t>al for these estimates is +/- 22</w:t>
      </w:r>
      <w:r w:rsidRPr="00173D3D">
        <w:rPr>
          <w:rFonts w:cs="Arial"/>
          <w:sz w:val="22"/>
          <w:szCs w:val="22"/>
        </w:rPr>
        <w:t>.3%. We use this to get lower and upper estimates of the percentage of the population that would incur the additional costs.</w:t>
      </w:r>
    </w:p>
    <w:p w14:paraId="14D75672" w14:textId="77777777" w:rsidR="006753F0" w:rsidRPr="00173D3D" w:rsidRDefault="006753F0" w:rsidP="007F2E9C">
      <w:pPr>
        <w:pStyle w:val="ListParagraph"/>
        <w:spacing w:line="276" w:lineRule="auto"/>
        <w:ind w:left="360"/>
        <w:jc w:val="both"/>
        <w:rPr>
          <w:rFonts w:cs="Arial"/>
          <w:sz w:val="22"/>
          <w:szCs w:val="22"/>
        </w:rPr>
      </w:pPr>
    </w:p>
    <w:p w14:paraId="241C10A2" w14:textId="77777777" w:rsidR="006753F0" w:rsidRPr="00173D3D" w:rsidRDefault="006753F0" w:rsidP="007F2E9C">
      <w:pPr>
        <w:pStyle w:val="ListParagraph"/>
        <w:spacing w:line="276" w:lineRule="auto"/>
        <w:ind w:left="0"/>
        <w:jc w:val="both"/>
        <w:rPr>
          <w:rFonts w:cs="Arial"/>
          <w:sz w:val="22"/>
          <w:szCs w:val="22"/>
        </w:rPr>
      </w:pPr>
      <w:r w:rsidRPr="00173D3D">
        <w:rPr>
          <w:rFonts w:cs="Arial"/>
          <w:sz w:val="22"/>
          <w:szCs w:val="22"/>
        </w:rPr>
        <w:t>Based on our survey evidence, therefore, we do not expect all companies in scope of the changes to be affected by the changes given the reporting they already do. Table 2, below, shows our low, high and best estimates of the percentage of companies that would be affected</w:t>
      </w:r>
      <w:r w:rsidR="00621E1D">
        <w:rPr>
          <w:rFonts w:cs="Arial"/>
          <w:sz w:val="22"/>
          <w:szCs w:val="22"/>
        </w:rPr>
        <w:t xml:space="preserve"> </w:t>
      </w:r>
      <w:r w:rsidRPr="00173D3D">
        <w:rPr>
          <w:rFonts w:cs="Arial"/>
          <w:sz w:val="22"/>
          <w:szCs w:val="22"/>
        </w:rPr>
        <w:t>by</w:t>
      </w:r>
      <w:r w:rsidR="00621E1D">
        <w:rPr>
          <w:rFonts w:cs="Arial"/>
          <w:sz w:val="22"/>
          <w:szCs w:val="22"/>
        </w:rPr>
        <w:t xml:space="preserve"> (i.e. would incur additional reporting costs from)</w:t>
      </w:r>
      <w:r w:rsidRPr="00173D3D">
        <w:rPr>
          <w:rFonts w:cs="Arial"/>
          <w:sz w:val="22"/>
          <w:szCs w:val="22"/>
        </w:rPr>
        <w:t xml:space="preserve"> the changes</w:t>
      </w:r>
      <w:r w:rsidR="00621E1D">
        <w:rPr>
          <w:rFonts w:cs="Arial"/>
          <w:sz w:val="22"/>
          <w:szCs w:val="22"/>
        </w:rPr>
        <w:t xml:space="preserve"> under the minimum implementation of the EU NFRD</w:t>
      </w:r>
      <w:r w:rsidRPr="00173D3D">
        <w:rPr>
          <w:rFonts w:cs="Arial"/>
          <w:sz w:val="22"/>
          <w:szCs w:val="22"/>
        </w:rPr>
        <w:t>.</w:t>
      </w:r>
    </w:p>
    <w:p w14:paraId="63B6D9B0" w14:textId="77777777" w:rsidR="006753F0" w:rsidRPr="00173D3D" w:rsidRDefault="006753F0" w:rsidP="007F2E9C">
      <w:pPr>
        <w:pStyle w:val="ListParagraph"/>
        <w:spacing w:line="276" w:lineRule="auto"/>
        <w:ind w:left="0"/>
        <w:rPr>
          <w:rFonts w:cs="Arial"/>
          <w:sz w:val="22"/>
          <w:szCs w:val="22"/>
        </w:rPr>
      </w:pPr>
      <w:r w:rsidRPr="00173D3D">
        <w:rPr>
          <w:rFonts w:cs="Arial"/>
          <w:sz w:val="22"/>
          <w:szCs w:val="22"/>
        </w:rPr>
        <w:t xml:space="preserve"> </w:t>
      </w:r>
    </w:p>
    <w:p w14:paraId="78CA0FAC" w14:textId="77777777" w:rsidR="00DA7BC5" w:rsidRDefault="00DA7BC5" w:rsidP="007F2E9C">
      <w:pPr>
        <w:pStyle w:val="ListParagraph"/>
        <w:spacing w:line="276" w:lineRule="auto"/>
        <w:ind w:left="0"/>
        <w:jc w:val="center"/>
        <w:rPr>
          <w:rFonts w:cs="Arial"/>
          <w:b/>
          <w:sz w:val="22"/>
          <w:szCs w:val="22"/>
        </w:rPr>
      </w:pPr>
      <w:r>
        <w:rPr>
          <w:rFonts w:cs="Arial"/>
          <w:b/>
          <w:sz w:val="22"/>
          <w:szCs w:val="22"/>
        </w:rPr>
        <w:t>Table 2</w:t>
      </w:r>
    </w:p>
    <w:p w14:paraId="7AC83869" w14:textId="77777777" w:rsidR="006753F0" w:rsidRPr="00173D3D" w:rsidRDefault="00DA7BC5" w:rsidP="00DA7BC5">
      <w:pPr>
        <w:pStyle w:val="ListParagraph"/>
        <w:spacing w:line="276" w:lineRule="auto"/>
        <w:ind w:left="0"/>
        <w:jc w:val="center"/>
        <w:rPr>
          <w:rFonts w:cs="Arial"/>
          <w:b/>
          <w:sz w:val="22"/>
          <w:szCs w:val="22"/>
        </w:rPr>
      </w:pPr>
      <w:r>
        <w:rPr>
          <w:rFonts w:cs="Arial"/>
          <w:b/>
          <w:sz w:val="22"/>
          <w:szCs w:val="22"/>
        </w:rPr>
        <w:t>Percentage of companies affected by the</w:t>
      </w:r>
      <w:r w:rsidR="006753F0" w:rsidRPr="00173D3D">
        <w:rPr>
          <w:rFonts w:cs="Arial"/>
          <w:b/>
          <w:sz w:val="22"/>
          <w:szCs w:val="22"/>
        </w:rPr>
        <w:t xml:space="preserve"> EU NFRD Changes</w:t>
      </w:r>
    </w:p>
    <w:p w14:paraId="6E2908CE" w14:textId="77777777" w:rsidR="006753F0" w:rsidRPr="00173D3D" w:rsidRDefault="00EB1263" w:rsidP="007F2E9C">
      <w:pPr>
        <w:pStyle w:val="ListParagraph"/>
        <w:spacing w:line="276" w:lineRule="auto"/>
        <w:ind w:left="0"/>
        <w:jc w:val="center"/>
        <w:rPr>
          <w:rFonts w:cs="Arial"/>
          <w:sz w:val="22"/>
          <w:szCs w:val="22"/>
        </w:rPr>
      </w:pPr>
      <w:r w:rsidRPr="00EB1263">
        <w:rPr>
          <w:noProof/>
          <w:lang w:eastAsia="en-GB"/>
        </w:rPr>
        <w:drawing>
          <wp:inline distT="0" distB="0" distL="0" distR="0" wp14:anchorId="453B9FD0" wp14:editId="1B6ED165">
            <wp:extent cx="4732020" cy="165354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32020" cy="1653540"/>
                    </a:xfrm>
                    <a:prstGeom prst="rect">
                      <a:avLst/>
                    </a:prstGeom>
                    <a:noFill/>
                    <a:ln>
                      <a:noFill/>
                    </a:ln>
                  </pic:spPr>
                </pic:pic>
              </a:graphicData>
            </a:graphic>
          </wp:inline>
        </w:drawing>
      </w:r>
    </w:p>
    <w:p w14:paraId="3743BFFF" w14:textId="77777777" w:rsidR="006753F0" w:rsidRPr="00173D3D" w:rsidRDefault="006753F0" w:rsidP="007F2E9C">
      <w:pPr>
        <w:pStyle w:val="ListParagraph"/>
        <w:spacing w:line="276" w:lineRule="auto"/>
        <w:ind w:left="0"/>
        <w:jc w:val="center"/>
        <w:rPr>
          <w:rFonts w:cs="Arial"/>
          <w:sz w:val="22"/>
          <w:szCs w:val="22"/>
        </w:rPr>
      </w:pPr>
    </w:p>
    <w:p w14:paraId="3D296889" w14:textId="77777777" w:rsidR="006753F0" w:rsidRDefault="006753F0" w:rsidP="007F2E9C">
      <w:pPr>
        <w:spacing w:line="276" w:lineRule="auto"/>
        <w:jc w:val="both"/>
        <w:rPr>
          <w:rFonts w:cs="Arial"/>
          <w:sz w:val="22"/>
          <w:szCs w:val="22"/>
        </w:rPr>
      </w:pPr>
      <w:r w:rsidRPr="00173D3D">
        <w:rPr>
          <w:rFonts w:cs="Arial"/>
          <w:sz w:val="22"/>
          <w:szCs w:val="22"/>
        </w:rPr>
        <w:t xml:space="preserve">Survey evidence also shows that </w:t>
      </w:r>
      <w:r w:rsidR="00AE6D93">
        <w:rPr>
          <w:rFonts w:cs="Arial"/>
          <w:sz w:val="22"/>
          <w:szCs w:val="22"/>
        </w:rPr>
        <w:t xml:space="preserve">some </w:t>
      </w:r>
      <w:r w:rsidRPr="00173D3D">
        <w:rPr>
          <w:rFonts w:cs="Arial"/>
          <w:sz w:val="22"/>
          <w:szCs w:val="22"/>
        </w:rPr>
        <w:t xml:space="preserve">unquoted companies already report voluntarily on other matters required by the NFRD. 56% employee matters, 40% report on environmental matters and 11% report on human rights matters. </w:t>
      </w:r>
    </w:p>
    <w:p w14:paraId="789C33DF" w14:textId="77777777" w:rsidR="00DB641A" w:rsidRPr="00173D3D" w:rsidRDefault="00DB641A" w:rsidP="007F2E9C">
      <w:pPr>
        <w:spacing w:line="276" w:lineRule="auto"/>
        <w:jc w:val="both"/>
        <w:rPr>
          <w:rFonts w:cs="Arial"/>
          <w:sz w:val="22"/>
          <w:szCs w:val="22"/>
        </w:rPr>
      </w:pPr>
    </w:p>
    <w:p w14:paraId="1B7EE5A1" w14:textId="77777777" w:rsidR="006753F0" w:rsidRPr="00173D3D" w:rsidRDefault="006753F0" w:rsidP="007F2E9C">
      <w:pPr>
        <w:pStyle w:val="ListParagraph"/>
        <w:spacing w:line="276" w:lineRule="auto"/>
        <w:ind w:left="0"/>
        <w:jc w:val="both"/>
        <w:rPr>
          <w:rFonts w:cs="Arial"/>
          <w:sz w:val="22"/>
          <w:szCs w:val="22"/>
        </w:rPr>
      </w:pPr>
      <w:r w:rsidRPr="00173D3D">
        <w:rPr>
          <w:rFonts w:cs="Arial"/>
          <w:sz w:val="22"/>
          <w:szCs w:val="22"/>
        </w:rPr>
        <w:t xml:space="preserve">However, we expect that the cost of voluntary reporting by unquoted companies is already reflected in the mean costs reported by these unquoted companies of their current NFR – which was part of the same survey. </w:t>
      </w:r>
    </w:p>
    <w:p w14:paraId="6E3C0F74" w14:textId="77777777" w:rsidR="006753F0" w:rsidRPr="00173D3D" w:rsidRDefault="006753F0" w:rsidP="007F2E9C">
      <w:pPr>
        <w:pStyle w:val="ListParagraph"/>
        <w:spacing w:line="276" w:lineRule="auto"/>
        <w:ind w:left="0"/>
        <w:jc w:val="both"/>
        <w:rPr>
          <w:rFonts w:cs="Arial"/>
          <w:sz w:val="22"/>
          <w:szCs w:val="22"/>
        </w:rPr>
      </w:pPr>
    </w:p>
    <w:p w14:paraId="1129B74D" w14:textId="77777777" w:rsidR="006753F0" w:rsidRDefault="006753F0" w:rsidP="007F2E9C">
      <w:pPr>
        <w:pStyle w:val="ListParagraph"/>
        <w:spacing w:line="276" w:lineRule="auto"/>
        <w:ind w:left="0"/>
        <w:jc w:val="both"/>
        <w:rPr>
          <w:rFonts w:cs="Arial"/>
          <w:sz w:val="22"/>
          <w:szCs w:val="22"/>
        </w:rPr>
      </w:pPr>
      <w:r w:rsidRPr="00173D3D">
        <w:rPr>
          <w:rFonts w:cs="Arial"/>
          <w:sz w:val="22"/>
          <w:szCs w:val="22"/>
        </w:rPr>
        <w:lastRenderedPageBreak/>
        <w:t xml:space="preserve">The average incremental cost to unquoted companies is taken to be the difference between the mean reported cost of their current NFR and that of quoted companies who already meet these requirements. As a result, the voluntary reporting has already been taken into account in our average incremental cost to unquoted companies. We therefore make no further adjustments and apply this cost to the population of unquoted companies that are brought into scope.  </w:t>
      </w:r>
    </w:p>
    <w:p w14:paraId="0869B681" w14:textId="77777777" w:rsidR="00EA7151" w:rsidRDefault="00EA7151" w:rsidP="007F2E9C">
      <w:pPr>
        <w:pStyle w:val="ListParagraph"/>
        <w:spacing w:line="276" w:lineRule="auto"/>
        <w:ind w:left="0"/>
        <w:jc w:val="both"/>
        <w:rPr>
          <w:rFonts w:cs="Arial"/>
          <w:sz w:val="22"/>
          <w:szCs w:val="22"/>
        </w:rPr>
      </w:pPr>
    </w:p>
    <w:p w14:paraId="5A8B28CF" w14:textId="77777777" w:rsidR="00EA7151" w:rsidRDefault="00EA7151" w:rsidP="007F2E9C">
      <w:pPr>
        <w:pStyle w:val="ListParagraph"/>
        <w:spacing w:line="276" w:lineRule="auto"/>
        <w:ind w:left="0"/>
        <w:jc w:val="both"/>
        <w:rPr>
          <w:rFonts w:cs="Arial"/>
          <w:sz w:val="22"/>
          <w:szCs w:val="22"/>
        </w:rPr>
      </w:pPr>
      <w:r>
        <w:rPr>
          <w:rFonts w:cs="Arial"/>
          <w:sz w:val="22"/>
          <w:szCs w:val="22"/>
        </w:rPr>
        <w:t xml:space="preserve">Table 4 shows our best estimates of companies </w:t>
      </w:r>
      <w:r w:rsidR="00201FA1">
        <w:rPr>
          <w:rFonts w:cs="Arial"/>
          <w:sz w:val="22"/>
          <w:szCs w:val="22"/>
        </w:rPr>
        <w:t>whose</w:t>
      </w:r>
      <w:r>
        <w:rPr>
          <w:rFonts w:cs="Arial"/>
          <w:sz w:val="22"/>
          <w:szCs w:val="22"/>
        </w:rPr>
        <w:t xml:space="preserve"> reporting practices would be affected by the changes.</w:t>
      </w:r>
      <w:r w:rsidR="00201FA1">
        <w:rPr>
          <w:rFonts w:cs="Arial"/>
          <w:sz w:val="22"/>
          <w:szCs w:val="22"/>
        </w:rPr>
        <w:t xml:space="preserve"> </w:t>
      </w:r>
    </w:p>
    <w:p w14:paraId="27A98503" w14:textId="77777777" w:rsidR="00EA7151" w:rsidRDefault="00EA7151" w:rsidP="00A56632">
      <w:pPr>
        <w:pStyle w:val="ListParagraph"/>
        <w:spacing w:line="276" w:lineRule="auto"/>
        <w:ind w:left="0"/>
        <w:jc w:val="center"/>
        <w:rPr>
          <w:rFonts w:cs="Arial"/>
          <w:sz w:val="22"/>
          <w:szCs w:val="22"/>
        </w:rPr>
      </w:pPr>
      <w:r>
        <w:rPr>
          <w:rFonts w:cs="Arial"/>
          <w:sz w:val="22"/>
          <w:szCs w:val="22"/>
        </w:rPr>
        <w:t>Table 4</w:t>
      </w:r>
    </w:p>
    <w:tbl>
      <w:tblPr>
        <w:tblW w:w="7640" w:type="dxa"/>
        <w:jc w:val="center"/>
        <w:tblInd w:w="103" w:type="dxa"/>
        <w:tblLook w:val="04A0" w:firstRow="1" w:lastRow="0" w:firstColumn="1" w:lastColumn="0" w:noHBand="0" w:noVBand="1"/>
      </w:tblPr>
      <w:tblGrid>
        <w:gridCol w:w="3390"/>
        <w:gridCol w:w="1232"/>
        <w:gridCol w:w="1605"/>
        <w:gridCol w:w="1413"/>
      </w:tblGrid>
      <w:tr w:rsidR="00907B83" w:rsidRPr="00907B83" w14:paraId="2F703BD7" w14:textId="77777777" w:rsidTr="00A56632">
        <w:trPr>
          <w:trHeight w:val="1380"/>
          <w:jc w:val="center"/>
        </w:trPr>
        <w:tc>
          <w:tcPr>
            <w:tcW w:w="3390" w:type="dxa"/>
            <w:tcBorders>
              <w:top w:val="single" w:sz="4" w:space="0" w:color="auto"/>
              <w:left w:val="single" w:sz="4" w:space="0" w:color="auto"/>
              <w:bottom w:val="single" w:sz="4" w:space="0" w:color="auto"/>
              <w:right w:val="single" w:sz="4" w:space="0" w:color="auto"/>
            </w:tcBorders>
            <w:shd w:val="clear" w:color="000000" w:fill="D9D9D9"/>
            <w:vAlign w:val="bottom"/>
            <w:hideMark/>
          </w:tcPr>
          <w:p w14:paraId="2D608893" w14:textId="77777777" w:rsidR="00907B83" w:rsidRPr="00907B83" w:rsidRDefault="00907B83" w:rsidP="00907B83">
            <w:pPr>
              <w:rPr>
                <w:rFonts w:ascii="Calibri" w:hAnsi="Calibri" w:cs="Calibri"/>
                <w:color w:val="000000"/>
                <w:sz w:val="20"/>
                <w:szCs w:val="20"/>
                <w:lang w:eastAsia="en-GB"/>
              </w:rPr>
            </w:pPr>
            <w:r w:rsidRPr="00907B83">
              <w:rPr>
                <w:rFonts w:ascii="Calibri" w:hAnsi="Calibri" w:cs="Calibri"/>
                <w:color w:val="000000"/>
                <w:sz w:val="20"/>
                <w:szCs w:val="20"/>
                <w:lang w:eastAsia="en-GB"/>
              </w:rPr>
              <w:t> </w:t>
            </w:r>
          </w:p>
        </w:tc>
        <w:tc>
          <w:tcPr>
            <w:tcW w:w="1232" w:type="dxa"/>
            <w:tcBorders>
              <w:top w:val="single" w:sz="4" w:space="0" w:color="auto"/>
              <w:left w:val="nil"/>
              <w:bottom w:val="single" w:sz="4" w:space="0" w:color="auto"/>
              <w:right w:val="single" w:sz="4" w:space="0" w:color="auto"/>
            </w:tcBorders>
            <w:shd w:val="clear" w:color="000000" w:fill="D9D9D9"/>
            <w:vAlign w:val="bottom"/>
            <w:hideMark/>
          </w:tcPr>
          <w:p w14:paraId="6B6449FD" w14:textId="77777777" w:rsidR="00907B83" w:rsidRPr="00907B83" w:rsidRDefault="00907B83" w:rsidP="00907B83">
            <w:pPr>
              <w:rPr>
                <w:rFonts w:ascii="Calibri" w:hAnsi="Calibri" w:cs="Calibri"/>
                <w:b/>
                <w:bCs/>
                <w:color w:val="000000"/>
                <w:sz w:val="20"/>
                <w:szCs w:val="20"/>
                <w:lang w:eastAsia="en-GB"/>
              </w:rPr>
            </w:pPr>
            <w:r w:rsidRPr="00907B83">
              <w:rPr>
                <w:rFonts w:ascii="Calibri" w:hAnsi="Calibri" w:cs="Calibri"/>
                <w:b/>
                <w:bCs/>
                <w:color w:val="000000"/>
                <w:sz w:val="20"/>
                <w:szCs w:val="20"/>
                <w:lang w:eastAsia="en-GB"/>
              </w:rPr>
              <w:t>Best estimate of number of reporting companies</w:t>
            </w:r>
          </w:p>
        </w:tc>
        <w:tc>
          <w:tcPr>
            <w:tcW w:w="1605" w:type="dxa"/>
            <w:tcBorders>
              <w:top w:val="single" w:sz="4" w:space="0" w:color="auto"/>
              <w:left w:val="nil"/>
              <w:bottom w:val="single" w:sz="4" w:space="0" w:color="auto"/>
              <w:right w:val="single" w:sz="4" w:space="0" w:color="auto"/>
            </w:tcBorders>
            <w:shd w:val="clear" w:color="000000" w:fill="D9D9D9"/>
            <w:vAlign w:val="bottom"/>
            <w:hideMark/>
          </w:tcPr>
          <w:p w14:paraId="01775FE8" w14:textId="77777777" w:rsidR="00907B83" w:rsidRPr="00A56632" w:rsidRDefault="00907B83" w:rsidP="00907B83">
            <w:pPr>
              <w:rPr>
                <w:rFonts w:ascii="Calibri" w:hAnsi="Calibri" w:cs="Calibri"/>
                <w:b/>
                <w:bCs/>
                <w:color w:val="000000"/>
                <w:sz w:val="20"/>
                <w:szCs w:val="20"/>
                <w:lang w:eastAsia="en-GB"/>
              </w:rPr>
            </w:pPr>
            <w:r w:rsidRPr="00A56632">
              <w:rPr>
                <w:rFonts w:ascii="Calibri" w:hAnsi="Calibri" w:cs="Calibri"/>
                <w:b/>
                <w:bCs/>
                <w:color w:val="000000"/>
                <w:sz w:val="20"/>
                <w:szCs w:val="20"/>
                <w:lang w:eastAsia="en-GB"/>
              </w:rPr>
              <w:t>Best estimate of number of subsidiaries</w:t>
            </w:r>
          </w:p>
        </w:tc>
        <w:tc>
          <w:tcPr>
            <w:tcW w:w="1413" w:type="dxa"/>
            <w:tcBorders>
              <w:top w:val="single" w:sz="4" w:space="0" w:color="auto"/>
              <w:left w:val="nil"/>
              <w:bottom w:val="single" w:sz="4" w:space="0" w:color="auto"/>
              <w:right w:val="single" w:sz="4" w:space="0" w:color="auto"/>
            </w:tcBorders>
            <w:shd w:val="clear" w:color="000000" w:fill="D9D9D9"/>
            <w:vAlign w:val="bottom"/>
            <w:hideMark/>
          </w:tcPr>
          <w:p w14:paraId="5BA6F775" w14:textId="77777777" w:rsidR="00907B83" w:rsidRPr="00A56632" w:rsidRDefault="00907B83" w:rsidP="00907B83">
            <w:pPr>
              <w:rPr>
                <w:rFonts w:ascii="Calibri" w:hAnsi="Calibri" w:cs="Calibri"/>
                <w:b/>
                <w:bCs/>
                <w:color w:val="000000"/>
                <w:sz w:val="20"/>
                <w:szCs w:val="20"/>
                <w:lang w:eastAsia="en-GB"/>
              </w:rPr>
            </w:pPr>
            <w:r w:rsidRPr="00A56632">
              <w:rPr>
                <w:rFonts w:ascii="Calibri" w:hAnsi="Calibri" w:cs="Calibri"/>
                <w:b/>
                <w:bCs/>
                <w:color w:val="000000"/>
                <w:sz w:val="20"/>
                <w:szCs w:val="20"/>
                <w:lang w:eastAsia="en-GB"/>
              </w:rPr>
              <w:t>Total number of companies affected</w:t>
            </w:r>
          </w:p>
        </w:tc>
      </w:tr>
      <w:tr w:rsidR="00907B83" w:rsidRPr="00907B83" w14:paraId="531D155C" w14:textId="77777777" w:rsidTr="00907B83">
        <w:trPr>
          <w:trHeight w:val="828"/>
          <w:jc w:val="center"/>
        </w:trPr>
        <w:tc>
          <w:tcPr>
            <w:tcW w:w="3390" w:type="dxa"/>
            <w:tcBorders>
              <w:top w:val="nil"/>
              <w:left w:val="single" w:sz="4" w:space="0" w:color="auto"/>
              <w:bottom w:val="single" w:sz="4" w:space="0" w:color="auto"/>
              <w:right w:val="single" w:sz="4" w:space="0" w:color="auto"/>
            </w:tcBorders>
            <w:shd w:val="clear" w:color="auto" w:fill="auto"/>
            <w:vAlign w:val="bottom"/>
            <w:hideMark/>
          </w:tcPr>
          <w:p w14:paraId="7FB48177" w14:textId="77777777" w:rsidR="00907B83" w:rsidRPr="00907B83" w:rsidRDefault="00907B83" w:rsidP="00907B83">
            <w:pPr>
              <w:rPr>
                <w:rFonts w:ascii="Calibri" w:hAnsi="Calibri" w:cs="Calibri"/>
                <w:b/>
                <w:bCs/>
                <w:color w:val="000000"/>
                <w:sz w:val="20"/>
                <w:szCs w:val="20"/>
                <w:lang w:eastAsia="en-GB"/>
              </w:rPr>
            </w:pPr>
            <w:r w:rsidRPr="00907B83">
              <w:rPr>
                <w:rFonts w:ascii="Calibri" w:hAnsi="Calibri" w:cs="Calibri"/>
                <w:b/>
                <w:bCs/>
                <w:color w:val="000000"/>
                <w:sz w:val="20"/>
                <w:szCs w:val="20"/>
                <w:lang w:eastAsia="en-GB"/>
              </w:rPr>
              <w:t>Large quoted companies needing to start reporting on Anti</w:t>
            </w:r>
            <w:r w:rsidR="009A058C">
              <w:rPr>
                <w:rFonts w:ascii="Calibri" w:hAnsi="Calibri" w:cs="Calibri"/>
                <w:b/>
                <w:bCs/>
                <w:color w:val="000000"/>
                <w:sz w:val="20"/>
                <w:szCs w:val="20"/>
                <w:lang w:eastAsia="en-GB"/>
              </w:rPr>
              <w:t>-</w:t>
            </w:r>
            <w:r w:rsidRPr="00907B83">
              <w:rPr>
                <w:rFonts w:ascii="Calibri" w:hAnsi="Calibri" w:cs="Calibri"/>
                <w:b/>
                <w:bCs/>
                <w:color w:val="000000"/>
                <w:sz w:val="20"/>
                <w:szCs w:val="20"/>
                <w:lang w:eastAsia="en-GB"/>
              </w:rPr>
              <w:t>bribery and corruption matters</w:t>
            </w:r>
          </w:p>
        </w:tc>
        <w:tc>
          <w:tcPr>
            <w:tcW w:w="1232" w:type="dxa"/>
            <w:tcBorders>
              <w:top w:val="nil"/>
              <w:left w:val="nil"/>
              <w:bottom w:val="single" w:sz="4" w:space="0" w:color="auto"/>
              <w:right w:val="single" w:sz="4" w:space="0" w:color="auto"/>
            </w:tcBorders>
            <w:shd w:val="clear" w:color="auto" w:fill="auto"/>
            <w:vAlign w:val="bottom"/>
            <w:hideMark/>
          </w:tcPr>
          <w:p w14:paraId="4AD7B4AE" w14:textId="77777777" w:rsidR="00907B83" w:rsidRDefault="00907B83" w:rsidP="00A56632">
            <w:pPr>
              <w:jc w:val="center"/>
              <w:rPr>
                <w:rFonts w:ascii="Calibri" w:hAnsi="Calibri" w:cs="Calibri"/>
                <w:color w:val="000000"/>
                <w:sz w:val="20"/>
                <w:szCs w:val="20"/>
                <w:lang w:eastAsia="en-GB"/>
              </w:rPr>
            </w:pPr>
            <w:r>
              <w:rPr>
                <w:rFonts w:ascii="Calibri" w:hAnsi="Calibri" w:cs="Calibri"/>
                <w:color w:val="000000"/>
                <w:sz w:val="20"/>
                <w:szCs w:val="20"/>
                <w:lang w:eastAsia="en-GB"/>
              </w:rPr>
              <w:t>(389 X 16%)</w:t>
            </w:r>
          </w:p>
          <w:p w14:paraId="503B5A31" w14:textId="77777777" w:rsidR="00907B83" w:rsidRDefault="00907B83" w:rsidP="00A56632">
            <w:pPr>
              <w:jc w:val="center"/>
              <w:rPr>
                <w:rFonts w:ascii="Calibri" w:hAnsi="Calibri" w:cs="Calibri"/>
                <w:color w:val="000000"/>
                <w:sz w:val="20"/>
                <w:szCs w:val="20"/>
                <w:lang w:eastAsia="en-GB"/>
              </w:rPr>
            </w:pPr>
          </w:p>
          <w:p w14:paraId="0FFFE19F" w14:textId="77777777" w:rsidR="00907B83" w:rsidRPr="00907B83" w:rsidRDefault="00907B83" w:rsidP="009A058C">
            <w:pPr>
              <w:jc w:val="center"/>
              <w:rPr>
                <w:rFonts w:ascii="Calibri" w:hAnsi="Calibri" w:cs="Calibri"/>
                <w:color w:val="000000"/>
                <w:sz w:val="20"/>
                <w:szCs w:val="20"/>
                <w:lang w:eastAsia="en-GB"/>
              </w:rPr>
            </w:pPr>
            <w:r w:rsidRPr="00907B83">
              <w:rPr>
                <w:rFonts w:ascii="Calibri" w:hAnsi="Calibri" w:cs="Calibri"/>
                <w:color w:val="000000"/>
                <w:sz w:val="20"/>
                <w:szCs w:val="20"/>
                <w:lang w:eastAsia="en-GB"/>
              </w:rPr>
              <w:t>61</w:t>
            </w:r>
          </w:p>
        </w:tc>
        <w:tc>
          <w:tcPr>
            <w:tcW w:w="1605" w:type="dxa"/>
            <w:tcBorders>
              <w:top w:val="nil"/>
              <w:left w:val="nil"/>
              <w:bottom w:val="single" w:sz="4" w:space="0" w:color="auto"/>
              <w:right w:val="single" w:sz="4" w:space="0" w:color="auto"/>
            </w:tcBorders>
            <w:shd w:val="clear" w:color="auto" w:fill="auto"/>
            <w:noWrap/>
            <w:vAlign w:val="bottom"/>
            <w:hideMark/>
          </w:tcPr>
          <w:p w14:paraId="667F3FBD" w14:textId="77777777" w:rsidR="00907B83" w:rsidRDefault="00907B83" w:rsidP="00A56632">
            <w:pPr>
              <w:jc w:val="center"/>
              <w:rPr>
                <w:rFonts w:ascii="Calibri" w:hAnsi="Calibri" w:cs="Calibri"/>
                <w:color w:val="000000"/>
                <w:sz w:val="20"/>
                <w:szCs w:val="20"/>
                <w:lang w:eastAsia="en-GB"/>
              </w:rPr>
            </w:pPr>
            <w:r>
              <w:rPr>
                <w:rFonts w:ascii="Calibri" w:hAnsi="Calibri" w:cs="Calibri"/>
                <w:color w:val="000000"/>
                <w:sz w:val="20"/>
                <w:szCs w:val="20"/>
                <w:lang w:eastAsia="en-GB"/>
              </w:rPr>
              <w:t>(43,740 X 16%)</w:t>
            </w:r>
          </w:p>
          <w:p w14:paraId="3ABD3198" w14:textId="77777777" w:rsidR="00907B83" w:rsidRDefault="00907B83" w:rsidP="00A56632">
            <w:pPr>
              <w:jc w:val="center"/>
              <w:rPr>
                <w:rFonts w:ascii="Calibri" w:hAnsi="Calibri" w:cs="Calibri"/>
                <w:color w:val="000000"/>
                <w:sz w:val="20"/>
                <w:szCs w:val="20"/>
                <w:lang w:eastAsia="en-GB"/>
              </w:rPr>
            </w:pPr>
          </w:p>
          <w:p w14:paraId="07245855" w14:textId="77777777" w:rsidR="00907B83" w:rsidRPr="00A56632" w:rsidRDefault="002F5518" w:rsidP="00A56632">
            <w:pPr>
              <w:jc w:val="center"/>
              <w:rPr>
                <w:rFonts w:ascii="Calibri" w:hAnsi="Calibri" w:cs="Calibri"/>
                <w:color w:val="000000"/>
                <w:sz w:val="20"/>
                <w:szCs w:val="20"/>
                <w:lang w:eastAsia="en-GB"/>
              </w:rPr>
            </w:pPr>
            <w:r>
              <w:rPr>
                <w:rFonts w:ascii="Calibri" w:hAnsi="Calibri" w:cs="Calibri"/>
                <w:color w:val="000000"/>
                <w:sz w:val="20"/>
                <w:szCs w:val="20"/>
                <w:lang w:eastAsia="en-GB"/>
              </w:rPr>
              <w:t>6,906</w:t>
            </w:r>
          </w:p>
        </w:tc>
        <w:tc>
          <w:tcPr>
            <w:tcW w:w="1413" w:type="dxa"/>
            <w:tcBorders>
              <w:top w:val="nil"/>
              <w:left w:val="nil"/>
              <w:bottom w:val="single" w:sz="4" w:space="0" w:color="auto"/>
              <w:right w:val="single" w:sz="4" w:space="0" w:color="auto"/>
            </w:tcBorders>
            <w:shd w:val="clear" w:color="auto" w:fill="auto"/>
            <w:noWrap/>
            <w:vAlign w:val="bottom"/>
            <w:hideMark/>
          </w:tcPr>
          <w:p w14:paraId="185D6CA1" w14:textId="77777777" w:rsidR="00907B83" w:rsidRPr="00A56632" w:rsidRDefault="002F5518" w:rsidP="00A56632">
            <w:pPr>
              <w:jc w:val="center"/>
              <w:rPr>
                <w:rFonts w:ascii="Calibri" w:hAnsi="Calibri" w:cs="Calibri"/>
                <w:color w:val="000000"/>
                <w:sz w:val="20"/>
                <w:szCs w:val="20"/>
                <w:lang w:eastAsia="en-GB"/>
              </w:rPr>
            </w:pPr>
            <w:r>
              <w:rPr>
                <w:rFonts w:ascii="Calibri" w:hAnsi="Calibri" w:cs="Calibri"/>
                <w:color w:val="000000"/>
                <w:sz w:val="20"/>
                <w:szCs w:val="20"/>
                <w:lang w:eastAsia="en-GB"/>
              </w:rPr>
              <w:t>6,968</w:t>
            </w:r>
          </w:p>
        </w:tc>
      </w:tr>
      <w:tr w:rsidR="00907B83" w:rsidRPr="00907B83" w14:paraId="42784A83" w14:textId="77777777" w:rsidTr="00907B83">
        <w:trPr>
          <w:trHeight w:val="828"/>
          <w:jc w:val="center"/>
        </w:trPr>
        <w:tc>
          <w:tcPr>
            <w:tcW w:w="3390" w:type="dxa"/>
            <w:tcBorders>
              <w:top w:val="nil"/>
              <w:left w:val="single" w:sz="4" w:space="0" w:color="auto"/>
              <w:bottom w:val="single" w:sz="4" w:space="0" w:color="auto"/>
              <w:right w:val="single" w:sz="4" w:space="0" w:color="auto"/>
            </w:tcBorders>
            <w:shd w:val="clear" w:color="auto" w:fill="auto"/>
            <w:vAlign w:val="bottom"/>
            <w:hideMark/>
          </w:tcPr>
          <w:p w14:paraId="1DC93F18" w14:textId="77777777" w:rsidR="00907B83" w:rsidRPr="00907B83" w:rsidRDefault="00907B83" w:rsidP="00907B83">
            <w:pPr>
              <w:rPr>
                <w:rFonts w:ascii="Calibri" w:hAnsi="Calibri" w:cs="Calibri"/>
                <w:b/>
                <w:bCs/>
                <w:color w:val="000000"/>
                <w:sz w:val="20"/>
                <w:szCs w:val="20"/>
                <w:lang w:eastAsia="en-GB"/>
              </w:rPr>
            </w:pPr>
            <w:r w:rsidRPr="00907B83">
              <w:rPr>
                <w:rFonts w:ascii="Calibri" w:hAnsi="Calibri" w:cs="Calibri"/>
                <w:b/>
                <w:bCs/>
                <w:color w:val="000000"/>
                <w:sz w:val="20"/>
                <w:szCs w:val="20"/>
                <w:lang w:eastAsia="en-GB"/>
              </w:rPr>
              <w:t>Large unquoted PIEs needing to start reporting on Anti</w:t>
            </w:r>
            <w:r w:rsidR="009A058C">
              <w:rPr>
                <w:rFonts w:ascii="Calibri" w:hAnsi="Calibri" w:cs="Calibri"/>
                <w:b/>
                <w:bCs/>
                <w:color w:val="000000"/>
                <w:sz w:val="20"/>
                <w:szCs w:val="20"/>
                <w:lang w:eastAsia="en-GB"/>
              </w:rPr>
              <w:t>-</w:t>
            </w:r>
            <w:r w:rsidRPr="00907B83">
              <w:rPr>
                <w:rFonts w:ascii="Calibri" w:hAnsi="Calibri" w:cs="Calibri"/>
                <w:b/>
                <w:bCs/>
                <w:color w:val="000000"/>
                <w:sz w:val="20"/>
                <w:szCs w:val="20"/>
                <w:lang w:eastAsia="en-GB"/>
              </w:rPr>
              <w:t>bribery and corruption matters</w:t>
            </w:r>
          </w:p>
        </w:tc>
        <w:tc>
          <w:tcPr>
            <w:tcW w:w="1232" w:type="dxa"/>
            <w:tcBorders>
              <w:top w:val="nil"/>
              <w:left w:val="nil"/>
              <w:bottom w:val="single" w:sz="4" w:space="0" w:color="auto"/>
              <w:right w:val="single" w:sz="4" w:space="0" w:color="auto"/>
            </w:tcBorders>
            <w:shd w:val="clear" w:color="auto" w:fill="auto"/>
            <w:vAlign w:val="bottom"/>
            <w:hideMark/>
          </w:tcPr>
          <w:p w14:paraId="4C8638EF" w14:textId="77777777" w:rsidR="00907B83" w:rsidRDefault="00907B83" w:rsidP="00907B83">
            <w:pPr>
              <w:jc w:val="center"/>
              <w:rPr>
                <w:rFonts w:ascii="Calibri" w:hAnsi="Calibri" w:cs="Calibri"/>
                <w:color w:val="000000"/>
                <w:sz w:val="20"/>
                <w:szCs w:val="20"/>
                <w:lang w:eastAsia="en-GB"/>
              </w:rPr>
            </w:pPr>
            <w:r>
              <w:rPr>
                <w:rFonts w:ascii="Calibri" w:hAnsi="Calibri" w:cs="Calibri"/>
                <w:color w:val="000000"/>
                <w:sz w:val="20"/>
                <w:szCs w:val="20"/>
                <w:lang w:eastAsia="en-GB"/>
              </w:rPr>
              <w:t>(</w:t>
            </w:r>
            <w:r w:rsidR="002F5518">
              <w:rPr>
                <w:rFonts w:ascii="Calibri" w:hAnsi="Calibri" w:cs="Calibri"/>
                <w:color w:val="000000"/>
                <w:sz w:val="20"/>
                <w:szCs w:val="20"/>
                <w:lang w:eastAsia="en-GB"/>
              </w:rPr>
              <w:t>148</w:t>
            </w:r>
            <w:r>
              <w:rPr>
                <w:rFonts w:ascii="Calibri" w:hAnsi="Calibri" w:cs="Calibri"/>
                <w:color w:val="000000"/>
                <w:sz w:val="20"/>
                <w:szCs w:val="20"/>
                <w:lang w:eastAsia="en-GB"/>
              </w:rPr>
              <w:t xml:space="preserve"> X 63%)</w:t>
            </w:r>
          </w:p>
          <w:p w14:paraId="54431206" w14:textId="77777777" w:rsidR="00201FA1" w:rsidRDefault="00201FA1" w:rsidP="00907B83">
            <w:pPr>
              <w:jc w:val="center"/>
              <w:rPr>
                <w:rFonts w:ascii="Calibri" w:hAnsi="Calibri" w:cs="Calibri"/>
                <w:color w:val="000000"/>
                <w:sz w:val="20"/>
                <w:szCs w:val="20"/>
                <w:lang w:eastAsia="en-GB"/>
              </w:rPr>
            </w:pPr>
          </w:p>
          <w:p w14:paraId="2C174AEB" w14:textId="77777777" w:rsidR="00907B83" w:rsidRPr="00907B83" w:rsidRDefault="002F5518" w:rsidP="00A56632">
            <w:pPr>
              <w:jc w:val="center"/>
              <w:rPr>
                <w:rFonts w:ascii="Calibri" w:hAnsi="Calibri" w:cs="Calibri"/>
                <w:color w:val="000000"/>
                <w:sz w:val="20"/>
                <w:szCs w:val="20"/>
                <w:lang w:eastAsia="en-GB"/>
              </w:rPr>
            </w:pPr>
            <w:r>
              <w:rPr>
                <w:rFonts w:ascii="Calibri" w:hAnsi="Calibri" w:cs="Calibri"/>
                <w:color w:val="000000"/>
                <w:sz w:val="20"/>
                <w:szCs w:val="20"/>
                <w:lang w:eastAsia="en-GB"/>
              </w:rPr>
              <w:t>92</w:t>
            </w:r>
          </w:p>
        </w:tc>
        <w:tc>
          <w:tcPr>
            <w:tcW w:w="1605" w:type="dxa"/>
            <w:tcBorders>
              <w:top w:val="nil"/>
              <w:left w:val="nil"/>
              <w:bottom w:val="single" w:sz="4" w:space="0" w:color="auto"/>
              <w:right w:val="single" w:sz="4" w:space="0" w:color="auto"/>
            </w:tcBorders>
            <w:shd w:val="clear" w:color="auto" w:fill="auto"/>
            <w:noWrap/>
            <w:vAlign w:val="bottom"/>
            <w:hideMark/>
          </w:tcPr>
          <w:p w14:paraId="14A1F1F0" w14:textId="77777777" w:rsidR="00201FA1" w:rsidRDefault="00201FA1" w:rsidP="00A56632">
            <w:pPr>
              <w:jc w:val="center"/>
              <w:rPr>
                <w:rFonts w:ascii="Calibri" w:hAnsi="Calibri" w:cs="Calibri"/>
                <w:color w:val="000000"/>
                <w:sz w:val="20"/>
                <w:szCs w:val="20"/>
                <w:lang w:eastAsia="en-GB"/>
              </w:rPr>
            </w:pPr>
            <w:r>
              <w:rPr>
                <w:rFonts w:ascii="Calibri" w:hAnsi="Calibri" w:cs="Calibri"/>
                <w:color w:val="000000"/>
                <w:sz w:val="20"/>
                <w:szCs w:val="20"/>
                <w:lang w:eastAsia="en-GB"/>
              </w:rPr>
              <w:t>(2430 X 63%)</w:t>
            </w:r>
          </w:p>
          <w:p w14:paraId="23CB527D" w14:textId="77777777" w:rsidR="00201FA1" w:rsidRDefault="00201FA1" w:rsidP="00A56632">
            <w:pPr>
              <w:jc w:val="center"/>
              <w:rPr>
                <w:rFonts w:ascii="Calibri" w:hAnsi="Calibri" w:cs="Calibri"/>
                <w:color w:val="000000"/>
                <w:sz w:val="20"/>
                <w:szCs w:val="20"/>
                <w:lang w:eastAsia="en-GB"/>
              </w:rPr>
            </w:pPr>
          </w:p>
          <w:p w14:paraId="4A285821" w14:textId="77777777" w:rsidR="00907B83" w:rsidRPr="00A56632" w:rsidRDefault="00907B83" w:rsidP="00A56632">
            <w:pPr>
              <w:jc w:val="center"/>
              <w:rPr>
                <w:rFonts w:ascii="Calibri" w:hAnsi="Calibri" w:cs="Calibri"/>
                <w:color w:val="000000"/>
                <w:sz w:val="20"/>
                <w:szCs w:val="20"/>
                <w:lang w:eastAsia="en-GB"/>
              </w:rPr>
            </w:pPr>
            <w:r w:rsidRPr="00A56632">
              <w:rPr>
                <w:rFonts w:ascii="Calibri" w:hAnsi="Calibri" w:cs="Calibri"/>
                <w:color w:val="000000"/>
                <w:sz w:val="20"/>
                <w:szCs w:val="20"/>
                <w:lang w:eastAsia="en-GB"/>
              </w:rPr>
              <w:t>1,519</w:t>
            </w:r>
          </w:p>
        </w:tc>
        <w:tc>
          <w:tcPr>
            <w:tcW w:w="1413" w:type="dxa"/>
            <w:tcBorders>
              <w:top w:val="nil"/>
              <w:left w:val="nil"/>
              <w:bottom w:val="single" w:sz="4" w:space="0" w:color="auto"/>
              <w:right w:val="single" w:sz="4" w:space="0" w:color="auto"/>
            </w:tcBorders>
            <w:shd w:val="clear" w:color="auto" w:fill="auto"/>
            <w:noWrap/>
            <w:vAlign w:val="bottom"/>
            <w:hideMark/>
          </w:tcPr>
          <w:p w14:paraId="08C9D836" w14:textId="77777777" w:rsidR="00907B83" w:rsidRPr="00A56632" w:rsidRDefault="00907B83" w:rsidP="00A56632">
            <w:pPr>
              <w:jc w:val="center"/>
              <w:rPr>
                <w:rFonts w:ascii="Calibri" w:hAnsi="Calibri" w:cs="Calibri"/>
                <w:color w:val="000000"/>
                <w:sz w:val="20"/>
                <w:szCs w:val="20"/>
                <w:lang w:eastAsia="en-GB"/>
              </w:rPr>
            </w:pPr>
            <w:r w:rsidRPr="00A56632">
              <w:rPr>
                <w:rFonts w:ascii="Calibri" w:hAnsi="Calibri" w:cs="Calibri"/>
                <w:color w:val="000000"/>
                <w:sz w:val="20"/>
                <w:szCs w:val="20"/>
                <w:lang w:eastAsia="en-GB"/>
              </w:rPr>
              <w:t>1,762</w:t>
            </w:r>
          </w:p>
        </w:tc>
      </w:tr>
      <w:tr w:rsidR="00907B83" w:rsidRPr="00907B83" w14:paraId="3D1BAD5E" w14:textId="77777777" w:rsidTr="00907B83">
        <w:trPr>
          <w:trHeight w:val="552"/>
          <w:jc w:val="center"/>
        </w:trPr>
        <w:tc>
          <w:tcPr>
            <w:tcW w:w="3390" w:type="dxa"/>
            <w:tcBorders>
              <w:top w:val="nil"/>
              <w:left w:val="single" w:sz="4" w:space="0" w:color="auto"/>
              <w:bottom w:val="single" w:sz="4" w:space="0" w:color="auto"/>
              <w:right w:val="single" w:sz="4" w:space="0" w:color="auto"/>
            </w:tcBorders>
            <w:shd w:val="clear" w:color="auto" w:fill="auto"/>
            <w:vAlign w:val="bottom"/>
            <w:hideMark/>
          </w:tcPr>
          <w:p w14:paraId="1BCF5497" w14:textId="77777777" w:rsidR="00907B83" w:rsidRPr="00907B83" w:rsidRDefault="00907B83" w:rsidP="00907B83">
            <w:pPr>
              <w:rPr>
                <w:rFonts w:ascii="Calibri" w:hAnsi="Calibri" w:cs="Calibri"/>
                <w:b/>
                <w:bCs/>
                <w:color w:val="000000"/>
                <w:sz w:val="20"/>
                <w:szCs w:val="20"/>
                <w:lang w:eastAsia="en-GB"/>
              </w:rPr>
            </w:pPr>
            <w:r w:rsidRPr="00907B83">
              <w:rPr>
                <w:rFonts w:ascii="Calibri" w:hAnsi="Calibri" w:cs="Calibri"/>
                <w:b/>
                <w:bCs/>
                <w:color w:val="000000"/>
                <w:sz w:val="20"/>
                <w:szCs w:val="20"/>
                <w:lang w:eastAsia="en-GB"/>
              </w:rPr>
              <w:t>Large quoted companies needing to start reporting on diversity matters</w:t>
            </w:r>
          </w:p>
        </w:tc>
        <w:tc>
          <w:tcPr>
            <w:tcW w:w="1232" w:type="dxa"/>
            <w:tcBorders>
              <w:top w:val="nil"/>
              <w:left w:val="nil"/>
              <w:bottom w:val="single" w:sz="4" w:space="0" w:color="auto"/>
              <w:right w:val="single" w:sz="4" w:space="0" w:color="auto"/>
            </w:tcBorders>
            <w:shd w:val="clear" w:color="auto" w:fill="auto"/>
            <w:vAlign w:val="bottom"/>
            <w:hideMark/>
          </w:tcPr>
          <w:p w14:paraId="7BECE5E4" w14:textId="77777777" w:rsidR="00201FA1" w:rsidRDefault="00201FA1" w:rsidP="00201FA1">
            <w:pPr>
              <w:jc w:val="center"/>
              <w:rPr>
                <w:rFonts w:ascii="Calibri" w:hAnsi="Calibri" w:cs="Calibri"/>
                <w:color w:val="000000"/>
                <w:sz w:val="20"/>
                <w:szCs w:val="20"/>
                <w:lang w:eastAsia="en-GB"/>
              </w:rPr>
            </w:pPr>
            <w:r>
              <w:rPr>
                <w:rFonts w:ascii="Calibri" w:hAnsi="Calibri" w:cs="Calibri"/>
                <w:color w:val="000000"/>
                <w:sz w:val="20"/>
                <w:szCs w:val="20"/>
                <w:lang w:eastAsia="en-GB"/>
              </w:rPr>
              <w:t>(389 X 29%)</w:t>
            </w:r>
          </w:p>
          <w:p w14:paraId="4A3C4F24" w14:textId="77777777" w:rsidR="00201FA1" w:rsidRDefault="00201FA1" w:rsidP="00201FA1">
            <w:pPr>
              <w:jc w:val="center"/>
              <w:rPr>
                <w:rFonts w:ascii="Calibri" w:hAnsi="Calibri" w:cs="Calibri"/>
                <w:color w:val="000000"/>
                <w:sz w:val="20"/>
                <w:szCs w:val="20"/>
                <w:lang w:eastAsia="en-GB"/>
              </w:rPr>
            </w:pPr>
          </w:p>
          <w:p w14:paraId="06B506E7" w14:textId="77777777" w:rsidR="00907B83" w:rsidRPr="00907B83" w:rsidRDefault="00907B83" w:rsidP="00A56632">
            <w:pPr>
              <w:jc w:val="center"/>
              <w:rPr>
                <w:rFonts w:ascii="Calibri" w:hAnsi="Calibri" w:cs="Calibri"/>
                <w:color w:val="000000"/>
                <w:sz w:val="20"/>
                <w:szCs w:val="20"/>
                <w:lang w:eastAsia="en-GB"/>
              </w:rPr>
            </w:pPr>
            <w:r w:rsidRPr="00907B83">
              <w:rPr>
                <w:rFonts w:ascii="Calibri" w:hAnsi="Calibri" w:cs="Calibri"/>
                <w:color w:val="000000"/>
                <w:sz w:val="20"/>
                <w:szCs w:val="20"/>
                <w:lang w:eastAsia="en-GB"/>
              </w:rPr>
              <w:t>113</w:t>
            </w:r>
          </w:p>
        </w:tc>
        <w:tc>
          <w:tcPr>
            <w:tcW w:w="1605" w:type="dxa"/>
            <w:tcBorders>
              <w:top w:val="nil"/>
              <w:left w:val="nil"/>
              <w:bottom w:val="single" w:sz="4" w:space="0" w:color="auto"/>
              <w:right w:val="single" w:sz="4" w:space="0" w:color="auto"/>
            </w:tcBorders>
            <w:shd w:val="clear" w:color="auto" w:fill="auto"/>
            <w:vAlign w:val="bottom"/>
            <w:hideMark/>
          </w:tcPr>
          <w:p w14:paraId="69D671D4" w14:textId="77777777" w:rsidR="00201FA1" w:rsidRDefault="00201FA1" w:rsidP="00A56632">
            <w:pPr>
              <w:jc w:val="center"/>
              <w:rPr>
                <w:rFonts w:ascii="Calibri" w:hAnsi="Calibri" w:cs="Calibri"/>
                <w:color w:val="000000"/>
                <w:sz w:val="20"/>
                <w:szCs w:val="20"/>
                <w:lang w:eastAsia="en-GB"/>
              </w:rPr>
            </w:pPr>
            <w:r>
              <w:rPr>
                <w:rFonts w:ascii="Calibri" w:hAnsi="Calibri" w:cs="Calibri"/>
                <w:color w:val="000000"/>
                <w:sz w:val="20"/>
                <w:szCs w:val="20"/>
                <w:lang w:eastAsia="en-GB"/>
              </w:rPr>
              <w:t>(43,740 X 29%)</w:t>
            </w:r>
          </w:p>
          <w:p w14:paraId="62D9CEC5" w14:textId="77777777" w:rsidR="00201FA1" w:rsidRDefault="00201FA1" w:rsidP="00A56632">
            <w:pPr>
              <w:jc w:val="center"/>
              <w:rPr>
                <w:rFonts w:ascii="Calibri" w:hAnsi="Calibri" w:cs="Calibri"/>
                <w:color w:val="000000"/>
                <w:sz w:val="20"/>
                <w:szCs w:val="20"/>
                <w:lang w:eastAsia="en-GB"/>
              </w:rPr>
            </w:pPr>
          </w:p>
          <w:p w14:paraId="58DE45F7" w14:textId="77777777" w:rsidR="00907B83" w:rsidRPr="00A56632" w:rsidRDefault="00907B83" w:rsidP="00A56632">
            <w:pPr>
              <w:jc w:val="center"/>
              <w:rPr>
                <w:rFonts w:ascii="Calibri" w:hAnsi="Calibri" w:cs="Calibri"/>
                <w:color w:val="000000"/>
                <w:sz w:val="20"/>
                <w:szCs w:val="20"/>
                <w:lang w:eastAsia="en-GB"/>
              </w:rPr>
            </w:pPr>
            <w:r w:rsidRPr="00A56632">
              <w:rPr>
                <w:rFonts w:ascii="Calibri" w:hAnsi="Calibri" w:cs="Calibri"/>
                <w:color w:val="000000"/>
                <w:sz w:val="20"/>
                <w:szCs w:val="20"/>
                <w:lang w:eastAsia="en-GB"/>
              </w:rPr>
              <w:t>12,662</w:t>
            </w:r>
          </w:p>
        </w:tc>
        <w:tc>
          <w:tcPr>
            <w:tcW w:w="1413" w:type="dxa"/>
            <w:tcBorders>
              <w:top w:val="nil"/>
              <w:left w:val="nil"/>
              <w:bottom w:val="single" w:sz="4" w:space="0" w:color="auto"/>
              <w:right w:val="single" w:sz="4" w:space="0" w:color="auto"/>
            </w:tcBorders>
            <w:shd w:val="clear" w:color="auto" w:fill="auto"/>
            <w:noWrap/>
            <w:vAlign w:val="bottom"/>
            <w:hideMark/>
          </w:tcPr>
          <w:p w14:paraId="622EEBDF" w14:textId="77777777" w:rsidR="00907B83" w:rsidRPr="00A56632" w:rsidRDefault="00907B83" w:rsidP="00A56632">
            <w:pPr>
              <w:jc w:val="center"/>
              <w:rPr>
                <w:rFonts w:ascii="Calibri" w:hAnsi="Calibri" w:cs="Calibri"/>
                <w:color w:val="000000"/>
                <w:sz w:val="20"/>
                <w:szCs w:val="20"/>
                <w:lang w:eastAsia="en-GB"/>
              </w:rPr>
            </w:pPr>
            <w:r w:rsidRPr="00A56632">
              <w:rPr>
                <w:rFonts w:ascii="Calibri" w:hAnsi="Calibri" w:cs="Calibri"/>
                <w:color w:val="000000"/>
                <w:sz w:val="20"/>
                <w:szCs w:val="20"/>
                <w:lang w:eastAsia="en-GB"/>
              </w:rPr>
              <w:t>12,774</w:t>
            </w:r>
          </w:p>
        </w:tc>
      </w:tr>
      <w:tr w:rsidR="00907B83" w:rsidRPr="00907B83" w14:paraId="5F30CED0" w14:textId="77777777" w:rsidTr="00907B83">
        <w:trPr>
          <w:trHeight w:val="828"/>
          <w:jc w:val="center"/>
        </w:trPr>
        <w:tc>
          <w:tcPr>
            <w:tcW w:w="3390" w:type="dxa"/>
            <w:tcBorders>
              <w:top w:val="nil"/>
              <w:left w:val="single" w:sz="4" w:space="0" w:color="auto"/>
              <w:bottom w:val="single" w:sz="4" w:space="0" w:color="auto"/>
              <w:right w:val="single" w:sz="4" w:space="0" w:color="auto"/>
            </w:tcBorders>
            <w:shd w:val="clear" w:color="auto" w:fill="auto"/>
            <w:vAlign w:val="bottom"/>
            <w:hideMark/>
          </w:tcPr>
          <w:p w14:paraId="69D6C371" w14:textId="77777777" w:rsidR="00907B83" w:rsidRPr="00907B83" w:rsidRDefault="00907B83" w:rsidP="00907B83">
            <w:pPr>
              <w:rPr>
                <w:rFonts w:ascii="Calibri" w:hAnsi="Calibri" w:cs="Calibri"/>
                <w:b/>
                <w:bCs/>
                <w:color w:val="000000"/>
                <w:sz w:val="20"/>
                <w:szCs w:val="20"/>
                <w:lang w:eastAsia="en-GB"/>
              </w:rPr>
            </w:pPr>
            <w:r w:rsidRPr="00907B83">
              <w:rPr>
                <w:rFonts w:ascii="Calibri" w:hAnsi="Calibri" w:cs="Calibri"/>
                <w:b/>
                <w:bCs/>
                <w:color w:val="000000"/>
                <w:sz w:val="20"/>
                <w:szCs w:val="20"/>
                <w:lang w:eastAsia="en-GB"/>
              </w:rPr>
              <w:t>Large unquoted PIEs needing to start meeting all other additional EU NFR requirements</w:t>
            </w:r>
          </w:p>
        </w:tc>
        <w:tc>
          <w:tcPr>
            <w:tcW w:w="1232" w:type="dxa"/>
            <w:tcBorders>
              <w:top w:val="nil"/>
              <w:left w:val="nil"/>
              <w:bottom w:val="single" w:sz="4" w:space="0" w:color="auto"/>
              <w:right w:val="single" w:sz="4" w:space="0" w:color="auto"/>
            </w:tcBorders>
            <w:shd w:val="clear" w:color="auto" w:fill="auto"/>
            <w:vAlign w:val="bottom"/>
            <w:hideMark/>
          </w:tcPr>
          <w:p w14:paraId="6F14AD26" w14:textId="77777777" w:rsidR="00907B83" w:rsidRPr="00907B83" w:rsidRDefault="00907B83" w:rsidP="00A56632">
            <w:pPr>
              <w:jc w:val="center"/>
              <w:rPr>
                <w:rFonts w:ascii="Calibri" w:hAnsi="Calibri" w:cs="Calibri"/>
                <w:color w:val="000000"/>
                <w:sz w:val="20"/>
                <w:szCs w:val="20"/>
                <w:lang w:eastAsia="en-GB"/>
              </w:rPr>
            </w:pPr>
            <w:r w:rsidRPr="00907B83">
              <w:rPr>
                <w:rFonts w:ascii="Calibri" w:hAnsi="Calibri" w:cs="Calibri"/>
                <w:color w:val="000000"/>
                <w:sz w:val="20"/>
                <w:szCs w:val="20"/>
                <w:lang w:eastAsia="en-GB"/>
              </w:rPr>
              <w:t>148</w:t>
            </w:r>
          </w:p>
        </w:tc>
        <w:tc>
          <w:tcPr>
            <w:tcW w:w="1605" w:type="dxa"/>
            <w:tcBorders>
              <w:top w:val="nil"/>
              <w:left w:val="nil"/>
              <w:bottom w:val="single" w:sz="4" w:space="0" w:color="auto"/>
              <w:right w:val="single" w:sz="4" w:space="0" w:color="auto"/>
            </w:tcBorders>
            <w:shd w:val="clear" w:color="auto" w:fill="auto"/>
            <w:noWrap/>
            <w:vAlign w:val="bottom"/>
            <w:hideMark/>
          </w:tcPr>
          <w:p w14:paraId="0743889D" w14:textId="77777777" w:rsidR="00907B83" w:rsidRPr="00A56632" w:rsidRDefault="00E03A6F" w:rsidP="00A56632">
            <w:pPr>
              <w:jc w:val="center"/>
              <w:rPr>
                <w:rFonts w:ascii="Calibri" w:hAnsi="Calibri" w:cs="Calibri"/>
                <w:color w:val="000000"/>
                <w:sz w:val="20"/>
                <w:szCs w:val="20"/>
                <w:lang w:eastAsia="en-GB"/>
              </w:rPr>
            </w:pPr>
            <w:r>
              <w:rPr>
                <w:rFonts w:ascii="Calibri" w:hAnsi="Calibri" w:cs="Calibri"/>
                <w:color w:val="000000"/>
                <w:sz w:val="20"/>
                <w:szCs w:val="20"/>
                <w:lang w:eastAsia="en-GB"/>
              </w:rPr>
              <w:t>2,430</w:t>
            </w:r>
          </w:p>
        </w:tc>
        <w:tc>
          <w:tcPr>
            <w:tcW w:w="1413" w:type="dxa"/>
            <w:tcBorders>
              <w:top w:val="nil"/>
              <w:left w:val="nil"/>
              <w:bottom w:val="single" w:sz="4" w:space="0" w:color="auto"/>
              <w:right w:val="single" w:sz="4" w:space="0" w:color="auto"/>
            </w:tcBorders>
            <w:shd w:val="clear" w:color="auto" w:fill="auto"/>
            <w:noWrap/>
            <w:vAlign w:val="bottom"/>
            <w:hideMark/>
          </w:tcPr>
          <w:p w14:paraId="44DCA19D" w14:textId="77777777" w:rsidR="00907B83" w:rsidRPr="00A56632" w:rsidRDefault="00E03A6F" w:rsidP="00A56632">
            <w:pPr>
              <w:jc w:val="center"/>
              <w:rPr>
                <w:rFonts w:ascii="Calibri" w:hAnsi="Calibri" w:cs="Calibri"/>
                <w:color w:val="000000"/>
                <w:sz w:val="20"/>
                <w:szCs w:val="20"/>
                <w:lang w:eastAsia="en-GB"/>
              </w:rPr>
            </w:pPr>
            <w:r>
              <w:rPr>
                <w:rFonts w:ascii="Calibri" w:hAnsi="Calibri" w:cs="Calibri"/>
                <w:color w:val="000000"/>
                <w:sz w:val="20"/>
                <w:szCs w:val="20"/>
                <w:lang w:eastAsia="en-GB"/>
              </w:rPr>
              <w:t>2,578</w:t>
            </w:r>
          </w:p>
        </w:tc>
      </w:tr>
    </w:tbl>
    <w:p w14:paraId="6E7AE60A" w14:textId="77777777" w:rsidR="00EA7151" w:rsidRPr="00173D3D" w:rsidRDefault="00EA7151" w:rsidP="00A56632">
      <w:pPr>
        <w:pStyle w:val="ListParagraph"/>
        <w:spacing w:line="276" w:lineRule="auto"/>
        <w:ind w:left="0"/>
        <w:jc w:val="center"/>
        <w:rPr>
          <w:rFonts w:cs="Arial"/>
          <w:sz w:val="22"/>
          <w:szCs w:val="22"/>
        </w:rPr>
      </w:pPr>
    </w:p>
    <w:p w14:paraId="7BD7FDB9" w14:textId="77777777" w:rsidR="006753F0" w:rsidRPr="00173D3D" w:rsidRDefault="006753F0" w:rsidP="007F2E9C">
      <w:pPr>
        <w:spacing w:line="276" w:lineRule="auto"/>
        <w:rPr>
          <w:rFonts w:cs="Arial"/>
          <w:sz w:val="22"/>
          <w:szCs w:val="22"/>
          <w:u w:val="single"/>
        </w:rPr>
      </w:pPr>
    </w:p>
    <w:p w14:paraId="282D9839" w14:textId="77777777" w:rsidR="006753F0" w:rsidRPr="00173D3D" w:rsidRDefault="006753F0" w:rsidP="007F2E9C">
      <w:pPr>
        <w:spacing w:line="276" w:lineRule="auto"/>
        <w:rPr>
          <w:rFonts w:cs="Arial"/>
          <w:sz w:val="22"/>
          <w:szCs w:val="22"/>
          <w:u w:val="single"/>
        </w:rPr>
      </w:pPr>
      <w:r w:rsidRPr="00173D3D">
        <w:rPr>
          <w:rFonts w:cs="Arial"/>
          <w:sz w:val="22"/>
          <w:szCs w:val="22"/>
          <w:u w:val="single"/>
        </w:rPr>
        <w:t>Quoted companies not in scope of the NFRD but considered under Option 3</w:t>
      </w:r>
    </w:p>
    <w:p w14:paraId="7835797A" w14:textId="77777777" w:rsidR="006753F0" w:rsidRPr="00173D3D" w:rsidRDefault="006753F0" w:rsidP="007F2E9C">
      <w:pPr>
        <w:spacing w:line="276" w:lineRule="auto"/>
        <w:rPr>
          <w:rFonts w:cs="Arial"/>
          <w:sz w:val="22"/>
          <w:szCs w:val="22"/>
          <w:u w:val="single"/>
        </w:rPr>
      </w:pPr>
    </w:p>
    <w:p w14:paraId="3682350E" w14:textId="77777777" w:rsidR="006753F0" w:rsidRPr="00173D3D" w:rsidRDefault="006753F0" w:rsidP="009E2E26">
      <w:pPr>
        <w:pStyle w:val="ListParagraph"/>
        <w:numPr>
          <w:ilvl w:val="0"/>
          <w:numId w:val="30"/>
        </w:numPr>
        <w:spacing w:after="200" w:line="276" w:lineRule="auto"/>
        <w:jc w:val="both"/>
        <w:rPr>
          <w:rFonts w:cs="Arial"/>
          <w:sz w:val="22"/>
          <w:szCs w:val="22"/>
        </w:rPr>
      </w:pPr>
      <w:r w:rsidRPr="00173D3D">
        <w:rPr>
          <w:rFonts w:cs="Arial"/>
          <w:sz w:val="22"/>
          <w:szCs w:val="22"/>
        </w:rPr>
        <w:t xml:space="preserve">411 (51%) quoted companies have less than 500 employees. These are not in scope of the minimum EU requirements but have been considered for inclusion in the changes in the UK implementation of the </w:t>
      </w:r>
      <w:r>
        <w:rPr>
          <w:rFonts w:cs="Arial"/>
          <w:sz w:val="22"/>
          <w:szCs w:val="22"/>
        </w:rPr>
        <w:t>NFRD</w:t>
      </w:r>
      <w:r w:rsidRPr="009145EC">
        <w:rPr>
          <w:rFonts w:cs="Arial"/>
          <w:sz w:val="22"/>
          <w:szCs w:val="22"/>
        </w:rPr>
        <w:t>. These companies already meet the requirements of the UK Enhanced Strategic Report and t</w:t>
      </w:r>
      <w:r w:rsidRPr="00BE0BD9">
        <w:rPr>
          <w:rFonts w:cs="Arial"/>
          <w:sz w:val="22"/>
          <w:szCs w:val="22"/>
        </w:rPr>
        <w:t>herefore meet most of the EU NFRD requirements. If the EU requirements are extended, they would be affected only by the incremental changes brought about by the EU NFRD to the current UK requirements on quoted companies. This includes providing infor</w:t>
      </w:r>
      <w:r w:rsidRPr="00173D3D">
        <w:rPr>
          <w:rFonts w:cs="Arial"/>
          <w:sz w:val="22"/>
          <w:szCs w:val="22"/>
        </w:rPr>
        <w:t xml:space="preserve">mation on Anti-bribery and corruption matters and </w:t>
      </w:r>
      <w:r w:rsidR="00A214D7">
        <w:rPr>
          <w:rFonts w:cs="Arial"/>
          <w:sz w:val="22"/>
          <w:szCs w:val="22"/>
        </w:rPr>
        <w:t>d</w:t>
      </w:r>
      <w:r w:rsidR="00A214D7" w:rsidRPr="00173D3D">
        <w:rPr>
          <w:rFonts w:cs="Arial"/>
          <w:sz w:val="22"/>
          <w:szCs w:val="22"/>
        </w:rPr>
        <w:t xml:space="preserve">iversity </w:t>
      </w:r>
      <w:r w:rsidRPr="00173D3D">
        <w:rPr>
          <w:rFonts w:cs="Arial"/>
          <w:sz w:val="22"/>
          <w:szCs w:val="22"/>
        </w:rPr>
        <w:t>policy.</w:t>
      </w:r>
    </w:p>
    <w:p w14:paraId="3C3A3DF7" w14:textId="77777777" w:rsidR="00CF73B7" w:rsidRDefault="00EB1263" w:rsidP="00CF73B7">
      <w:pPr>
        <w:pStyle w:val="ListParagraph"/>
        <w:numPr>
          <w:ilvl w:val="0"/>
          <w:numId w:val="30"/>
        </w:numPr>
        <w:spacing w:after="200" w:line="276" w:lineRule="auto"/>
        <w:jc w:val="both"/>
        <w:rPr>
          <w:rFonts w:cs="Arial"/>
          <w:sz w:val="22"/>
          <w:szCs w:val="22"/>
        </w:rPr>
      </w:pPr>
      <w:r>
        <w:rPr>
          <w:rFonts w:cs="Arial"/>
          <w:sz w:val="22"/>
          <w:szCs w:val="22"/>
        </w:rPr>
        <w:t>37% of these</w:t>
      </w:r>
      <w:r w:rsidR="006753F0" w:rsidRPr="00173D3D">
        <w:rPr>
          <w:rFonts w:cs="Arial"/>
          <w:sz w:val="22"/>
          <w:szCs w:val="22"/>
        </w:rPr>
        <w:t xml:space="preserve"> ha</w:t>
      </w:r>
      <w:r>
        <w:rPr>
          <w:rFonts w:cs="Arial"/>
          <w:sz w:val="22"/>
          <w:szCs w:val="22"/>
        </w:rPr>
        <w:t xml:space="preserve">ve group accounts and 63% </w:t>
      </w:r>
      <w:r w:rsidR="006753F0" w:rsidRPr="00173D3D">
        <w:rPr>
          <w:rFonts w:cs="Arial"/>
          <w:sz w:val="22"/>
          <w:szCs w:val="22"/>
        </w:rPr>
        <w:t xml:space="preserve">have other types of accounts. Those doing full accounts have about 600 recorded subsidiaries between them. These would be affected to a lesser extent - as they would have to provide information to their parent companies. Not all of these subsidiaries are actively trading companies. As above we estimate that 81% of these (486) are actively trading companies that would also incur costs of the additional requirements of the NFRD. </w:t>
      </w:r>
    </w:p>
    <w:p w14:paraId="21680B71" w14:textId="77777777" w:rsidR="00CF73B7" w:rsidRDefault="00EB1263" w:rsidP="00CF73B7">
      <w:pPr>
        <w:pStyle w:val="ListParagraph"/>
        <w:numPr>
          <w:ilvl w:val="0"/>
          <w:numId w:val="30"/>
        </w:numPr>
        <w:spacing w:after="200" w:line="276" w:lineRule="auto"/>
        <w:jc w:val="both"/>
        <w:rPr>
          <w:rFonts w:cs="Arial"/>
          <w:sz w:val="22"/>
          <w:szCs w:val="22"/>
        </w:rPr>
      </w:pPr>
      <w:r w:rsidRPr="00CF73B7">
        <w:rPr>
          <w:rFonts w:cs="Arial"/>
          <w:sz w:val="22"/>
          <w:szCs w:val="22"/>
        </w:rPr>
        <w:t xml:space="preserve">To estimate the </w:t>
      </w:r>
      <w:r w:rsidR="006F0156" w:rsidRPr="00CF73B7">
        <w:rPr>
          <w:rFonts w:cs="Arial"/>
          <w:sz w:val="22"/>
          <w:szCs w:val="22"/>
        </w:rPr>
        <w:t>percentage of companies that would already be reporting on anti-bribery and diversity policies, we checked the annual reports of a random sample of 30 of the 411 companies. We found that 50% of these reported on anti-bribery and corruption matters and 77% reported on diversity matters.</w:t>
      </w:r>
      <w:r w:rsidR="00CF73B7" w:rsidRPr="00CF73B7">
        <w:rPr>
          <w:rFonts w:cs="Arial"/>
          <w:sz w:val="22"/>
          <w:szCs w:val="22"/>
        </w:rPr>
        <w:t xml:space="preserve"> The 95% confidence intervals </w:t>
      </w:r>
      <w:r w:rsidR="006F0156" w:rsidRPr="00CF73B7">
        <w:rPr>
          <w:rFonts w:cs="Arial"/>
          <w:sz w:val="22"/>
          <w:szCs w:val="22"/>
        </w:rPr>
        <w:t xml:space="preserve">for these estimates are </w:t>
      </w:r>
      <w:r w:rsidR="00CF73B7" w:rsidRPr="00CF73B7">
        <w:rPr>
          <w:rFonts w:cs="Arial"/>
          <w:sz w:val="22"/>
          <w:szCs w:val="22"/>
        </w:rPr>
        <w:t xml:space="preserve">+/-17.2% and +/-14.5% respectively. We use this to get lower and upper estimates of the percentage of the population that would incur the additional costs. </w:t>
      </w:r>
      <w:r w:rsidR="00CF73B7">
        <w:rPr>
          <w:rFonts w:cs="Arial"/>
          <w:sz w:val="22"/>
          <w:szCs w:val="22"/>
        </w:rPr>
        <w:t xml:space="preserve">Table </w:t>
      </w:r>
      <w:r w:rsidR="007506AE">
        <w:rPr>
          <w:rFonts w:cs="Arial"/>
          <w:sz w:val="22"/>
          <w:szCs w:val="22"/>
        </w:rPr>
        <w:t>4</w:t>
      </w:r>
      <w:r w:rsidR="00CF73B7" w:rsidRPr="00CF73B7">
        <w:rPr>
          <w:rFonts w:cs="Arial"/>
          <w:sz w:val="22"/>
          <w:szCs w:val="22"/>
        </w:rPr>
        <w:t xml:space="preserve">, below, shows our low, high and best estimates of the percentage of </w:t>
      </w:r>
      <w:r w:rsidR="003F6C65">
        <w:rPr>
          <w:rFonts w:cs="Arial"/>
          <w:sz w:val="22"/>
          <w:szCs w:val="22"/>
        </w:rPr>
        <w:t>companies with fewer than 500 employees that are expected to incur additional reporting costs under the</w:t>
      </w:r>
      <w:r w:rsidR="00CF73B7" w:rsidRPr="00CF73B7">
        <w:rPr>
          <w:rFonts w:cs="Arial"/>
          <w:sz w:val="22"/>
          <w:szCs w:val="22"/>
        </w:rPr>
        <w:t xml:space="preserve"> </w:t>
      </w:r>
      <w:r w:rsidR="003F6C65">
        <w:rPr>
          <w:rFonts w:cs="Arial"/>
          <w:sz w:val="22"/>
          <w:szCs w:val="22"/>
        </w:rPr>
        <w:t>NFRD in Option 3</w:t>
      </w:r>
      <w:r w:rsidR="00CF73B7" w:rsidRPr="00CF73B7">
        <w:rPr>
          <w:rFonts w:cs="Arial"/>
          <w:sz w:val="22"/>
          <w:szCs w:val="22"/>
        </w:rPr>
        <w:t>.</w:t>
      </w:r>
    </w:p>
    <w:p w14:paraId="2F8BB84E" w14:textId="77777777" w:rsidR="003F6C65" w:rsidRDefault="003F6C65" w:rsidP="003F6C65">
      <w:pPr>
        <w:pStyle w:val="ListParagraph"/>
        <w:spacing w:after="200" w:line="276" w:lineRule="auto"/>
        <w:ind w:left="360"/>
        <w:jc w:val="both"/>
        <w:rPr>
          <w:rFonts w:cs="Arial"/>
          <w:sz w:val="22"/>
          <w:szCs w:val="22"/>
        </w:rPr>
      </w:pPr>
    </w:p>
    <w:p w14:paraId="1E2A6267" w14:textId="77777777" w:rsidR="00DA7BC5" w:rsidRPr="00DA7BC5" w:rsidRDefault="00DA7BC5" w:rsidP="00A56632">
      <w:pPr>
        <w:pStyle w:val="ListParagraph"/>
        <w:keepNext/>
        <w:spacing w:after="200" w:line="276" w:lineRule="auto"/>
        <w:ind w:left="357"/>
        <w:jc w:val="center"/>
        <w:rPr>
          <w:rFonts w:cs="Arial"/>
          <w:b/>
          <w:sz w:val="22"/>
          <w:szCs w:val="22"/>
        </w:rPr>
      </w:pPr>
      <w:r w:rsidRPr="00DA7BC5">
        <w:rPr>
          <w:rFonts w:cs="Arial"/>
          <w:b/>
          <w:sz w:val="22"/>
          <w:szCs w:val="22"/>
        </w:rPr>
        <w:lastRenderedPageBreak/>
        <w:t xml:space="preserve">Table </w:t>
      </w:r>
      <w:r w:rsidR="007506AE">
        <w:rPr>
          <w:rFonts w:cs="Arial"/>
          <w:b/>
          <w:sz w:val="22"/>
          <w:szCs w:val="22"/>
        </w:rPr>
        <w:t>4</w:t>
      </w:r>
    </w:p>
    <w:p w14:paraId="5B0DC9A1" w14:textId="77777777" w:rsidR="00DA7BC5" w:rsidRDefault="00DA7BC5" w:rsidP="00A56632">
      <w:pPr>
        <w:pStyle w:val="ListParagraph"/>
        <w:keepNext/>
        <w:spacing w:after="200" w:line="276" w:lineRule="auto"/>
        <w:ind w:left="357"/>
        <w:jc w:val="center"/>
        <w:rPr>
          <w:rFonts w:cs="Arial"/>
          <w:sz w:val="22"/>
          <w:szCs w:val="22"/>
        </w:rPr>
      </w:pPr>
      <w:r>
        <w:rPr>
          <w:rFonts w:cs="Arial"/>
          <w:sz w:val="22"/>
          <w:szCs w:val="22"/>
        </w:rPr>
        <w:t xml:space="preserve">Percentage of smaller quoted companies </w:t>
      </w:r>
      <w:r w:rsidR="003F6C65">
        <w:rPr>
          <w:rFonts w:cs="Arial"/>
          <w:sz w:val="22"/>
          <w:szCs w:val="22"/>
        </w:rPr>
        <w:t>affected by the NFRD in Option 3</w:t>
      </w:r>
    </w:p>
    <w:p w14:paraId="3AFD18E1" w14:textId="77777777" w:rsidR="00CF73B7" w:rsidRPr="00CF73B7" w:rsidRDefault="00CF73B7" w:rsidP="00DA7BC5">
      <w:pPr>
        <w:pStyle w:val="ListParagraph"/>
        <w:spacing w:after="200" w:line="276" w:lineRule="auto"/>
        <w:ind w:left="360"/>
        <w:jc w:val="center"/>
        <w:rPr>
          <w:rFonts w:cs="Arial"/>
          <w:sz w:val="22"/>
          <w:szCs w:val="22"/>
        </w:rPr>
      </w:pPr>
      <w:r w:rsidRPr="00CF73B7">
        <w:rPr>
          <w:noProof/>
          <w:lang w:eastAsia="en-GB"/>
        </w:rPr>
        <w:drawing>
          <wp:inline distT="0" distB="0" distL="0" distR="0" wp14:anchorId="0563D993" wp14:editId="629E939F">
            <wp:extent cx="4732020" cy="96774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32020" cy="967740"/>
                    </a:xfrm>
                    <a:prstGeom prst="rect">
                      <a:avLst/>
                    </a:prstGeom>
                    <a:noFill/>
                    <a:ln>
                      <a:noFill/>
                    </a:ln>
                  </pic:spPr>
                </pic:pic>
              </a:graphicData>
            </a:graphic>
          </wp:inline>
        </w:drawing>
      </w:r>
    </w:p>
    <w:p w14:paraId="1AB03F17" w14:textId="77777777" w:rsidR="00D61DDF" w:rsidRPr="007F2E9C" w:rsidRDefault="00D61DDF" w:rsidP="007F2E9C">
      <w:pPr>
        <w:pStyle w:val="EBBullet"/>
        <w:keepNext/>
        <w:numPr>
          <w:ilvl w:val="0"/>
          <w:numId w:val="0"/>
        </w:numPr>
        <w:spacing w:line="276" w:lineRule="auto"/>
        <w:ind w:left="284" w:hanging="284"/>
        <w:rPr>
          <w:b/>
          <w:sz w:val="28"/>
          <w:szCs w:val="28"/>
          <w:u w:val="single"/>
        </w:rPr>
      </w:pPr>
      <w:r w:rsidRPr="007F2E9C">
        <w:rPr>
          <w:b/>
          <w:sz w:val="28"/>
          <w:szCs w:val="28"/>
          <w:u w:val="single"/>
        </w:rPr>
        <w:t>Benefits</w:t>
      </w:r>
    </w:p>
    <w:p w14:paraId="7671168A" w14:textId="77777777" w:rsidR="00D61DDF" w:rsidRPr="007F2E9C" w:rsidRDefault="00D61DDF" w:rsidP="007F2E9C">
      <w:pPr>
        <w:spacing w:line="276" w:lineRule="auto"/>
        <w:jc w:val="both"/>
        <w:rPr>
          <w:rFonts w:cs="Arial"/>
          <w:b/>
          <w:sz w:val="22"/>
          <w:szCs w:val="22"/>
          <w:u w:val="single"/>
        </w:rPr>
      </w:pPr>
      <w:r w:rsidRPr="007F2E9C">
        <w:rPr>
          <w:rFonts w:cs="Arial"/>
          <w:b/>
          <w:sz w:val="22"/>
          <w:szCs w:val="22"/>
          <w:u w:val="single"/>
        </w:rPr>
        <w:t>Option 1</w:t>
      </w:r>
    </w:p>
    <w:p w14:paraId="6B7AAD62" w14:textId="77777777" w:rsidR="00AF4714" w:rsidRPr="00AF4714" w:rsidRDefault="00AF4714" w:rsidP="007F2E9C">
      <w:pPr>
        <w:spacing w:line="276" w:lineRule="auto"/>
        <w:jc w:val="both"/>
        <w:rPr>
          <w:rFonts w:cs="Arial"/>
          <w:b/>
          <w:sz w:val="22"/>
          <w:szCs w:val="22"/>
        </w:rPr>
      </w:pPr>
    </w:p>
    <w:p w14:paraId="5C5A6F2D" w14:textId="77777777" w:rsidR="00D61DDF" w:rsidRPr="006753F0" w:rsidRDefault="00D61DDF" w:rsidP="007F2E9C">
      <w:pPr>
        <w:spacing w:line="276" w:lineRule="auto"/>
        <w:jc w:val="both"/>
        <w:rPr>
          <w:rFonts w:cs="Arial"/>
          <w:sz w:val="22"/>
          <w:szCs w:val="22"/>
        </w:rPr>
      </w:pPr>
      <w:r w:rsidRPr="006753F0">
        <w:rPr>
          <w:rFonts w:cs="Arial"/>
          <w:sz w:val="22"/>
          <w:szCs w:val="22"/>
        </w:rPr>
        <w:t xml:space="preserve">For those companies currently required to produce non-financial statements there may be little incentive to improve the quality of the disclosures made. While some companies in the vanguard of non-financial reporting will seek, year-on-year, to make improvements, there will be little incentive for those companies whose thinking concerning their annual reporting is less developed to make any improvement. </w:t>
      </w:r>
    </w:p>
    <w:p w14:paraId="146804D1" w14:textId="77777777" w:rsidR="00D61DDF" w:rsidRPr="006753F0" w:rsidRDefault="00D61DDF" w:rsidP="007F2E9C">
      <w:pPr>
        <w:spacing w:line="276" w:lineRule="auto"/>
        <w:jc w:val="both"/>
        <w:rPr>
          <w:rFonts w:cs="Arial"/>
          <w:sz w:val="22"/>
          <w:szCs w:val="22"/>
        </w:rPr>
      </w:pPr>
    </w:p>
    <w:p w14:paraId="758D75E0" w14:textId="77777777" w:rsidR="00D61DDF" w:rsidRPr="007F2E9C" w:rsidRDefault="00D61DDF" w:rsidP="007F2E9C">
      <w:pPr>
        <w:spacing w:line="276" w:lineRule="auto"/>
        <w:jc w:val="both"/>
        <w:rPr>
          <w:rFonts w:cs="Arial"/>
          <w:b/>
          <w:sz w:val="22"/>
          <w:szCs w:val="22"/>
          <w:u w:val="single"/>
        </w:rPr>
      </w:pPr>
      <w:r w:rsidRPr="007F2E9C">
        <w:rPr>
          <w:rFonts w:cs="Arial"/>
          <w:b/>
          <w:sz w:val="22"/>
          <w:szCs w:val="22"/>
          <w:u w:val="single"/>
        </w:rPr>
        <w:t>Option 2</w:t>
      </w:r>
      <w:r w:rsidR="00B04E96">
        <w:rPr>
          <w:rFonts w:cs="Arial"/>
          <w:b/>
          <w:sz w:val="22"/>
          <w:szCs w:val="22"/>
          <w:u w:val="single"/>
        </w:rPr>
        <w:t>: Minimum Implementation</w:t>
      </w:r>
      <w:r w:rsidR="00DD7003">
        <w:rPr>
          <w:rFonts w:cs="Arial"/>
          <w:b/>
          <w:sz w:val="22"/>
          <w:szCs w:val="22"/>
          <w:u w:val="single"/>
        </w:rPr>
        <w:t xml:space="preserve"> of NFRD</w:t>
      </w:r>
    </w:p>
    <w:p w14:paraId="4EF01C2B" w14:textId="77777777" w:rsidR="00BD29DF" w:rsidRPr="006753F0" w:rsidRDefault="00BD29DF" w:rsidP="007F2E9C">
      <w:pPr>
        <w:spacing w:line="276" w:lineRule="auto"/>
        <w:jc w:val="both"/>
        <w:rPr>
          <w:rFonts w:cs="Arial"/>
          <w:sz w:val="22"/>
          <w:szCs w:val="22"/>
        </w:rPr>
      </w:pPr>
    </w:p>
    <w:p w14:paraId="6C7578F5" w14:textId="77777777" w:rsidR="001C51EE" w:rsidRPr="006753F0" w:rsidRDefault="001C51EE" w:rsidP="007F2E9C">
      <w:pPr>
        <w:spacing w:line="276" w:lineRule="auto"/>
        <w:jc w:val="both"/>
        <w:rPr>
          <w:rFonts w:cs="Arial"/>
          <w:sz w:val="22"/>
          <w:szCs w:val="22"/>
        </w:rPr>
      </w:pPr>
      <w:r w:rsidRPr="006753F0">
        <w:rPr>
          <w:rFonts w:cs="Arial"/>
          <w:sz w:val="22"/>
          <w:szCs w:val="22"/>
        </w:rPr>
        <w:t>This option is expected to increase the quantity of information available to stakeholders compared to the baseline scenario (do nothing) by</w:t>
      </w:r>
      <w:r w:rsidR="006753F0">
        <w:rPr>
          <w:rFonts w:cs="Arial"/>
          <w:sz w:val="22"/>
          <w:szCs w:val="22"/>
        </w:rPr>
        <w:t>:</w:t>
      </w:r>
    </w:p>
    <w:p w14:paraId="71AE38F3" w14:textId="77777777" w:rsidR="001C51EE" w:rsidRPr="006753F0" w:rsidRDefault="001C51EE" w:rsidP="007F2E9C">
      <w:pPr>
        <w:pStyle w:val="ListParagraph"/>
        <w:numPr>
          <w:ilvl w:val="0"/>
          <w:numId w:val="40"/>
        </w:numPr>
        <w:spacing w:line="276" w:lineRule="auto"/>
        <w:jc w:val="both"/>
        <w:rPr>
          <w:rFonts w:cs="Arial"/>
          <w:sz w:val="22"/>
          <w:szCs w:val="22"/>
        </w:rPr>
      </w:pPr>
      <w:r w:rsidRPr="006753F0">
        <w:rPr>
          <w:rFonts w:cs="Arial"/>
          <w:sz w:val="22"/>
          <w:szCs w:val="22"/>
        </w:rPr>
        <w:t>increasing the number of companies disclosing information – large unquoted PIEs would now have to report on specified non-financial matters like quoted companies currently do</w:t>
      </w:r>
    </w:p>
    <w:p w14:paraId="43CBBC56" w14:textId="77777777" w:rsidR="001C51EE" w:rsidRPr="006753F0" w:rsidRDefault="001C51EE" w:rsidP="007F2E9C">
      <w:pPr>
        <w:pStyle w:val="ListParagraph"/>
        <w:numPr>
          <w:ilvl w:val="0"/>
          <w:numId w:val="40"/>
        </w:numPr>
        <w:spacing w:line="276" w:lineRule="auto"/>
        <w:jc w:val="both"/>
        <w:rPr>
          <w:rFonts w:cs="Arial"/>
          <w:sz w:val="22"/>
          <w:szCs w:val="22"/>
        </w:rPr>
      </w:pPr>
      <w:r w:rsidRPr="006753F0">
        <w:rPr>
          <w:rFonts w:cs="Arial"/>
          <w:sz w:val="22"/>
          <w:szCs w:val="22"/>
        </w:rPr>
        <w:t>additional disclosures on those currently reporting – quoted companies</w:t>
      </w:r>
      <w:r w:rsidR="005A417A">
        <w:rPr>
          <w:rFonts w:cs="Arial"/>
          <w:sz w:val="22"/>
          <w:szCs w:val="22"/>
        </w:rPr>
        <w:t xml:space="preserve"> with more than 500 employees</w:t>
      </w:r>
      <w:r w:rsidRPr="006753F0">
        <w:rPr>
          <w:rFonts w:cs="Arial"/>
          <w:sz w:val="22"/>
          <w:szCs w:val="22"/>
        </w:rPr>
        <w:t xml:space="preserve"> would have to report on anti-bribery and corruption matte</w:t>
      </w:r>
      <w:r w:rsidR="00A01C94">
        <w:rPr>
          <w:rFonts w:cs="Arial"/>
          <w:sz w:val="22"/>
          <w:szCs w:val="22"/>
        </w:rPr>
        <w:t>rs and their diversity policies</w:t>
      </w:r>
      <w:r w:rsidRPr="006753F0">
        <w:rPr>
          <w:rFonts w:cs="Arial"/>
          <w:sz w:val="22"/>
          <w:szCs w:val="22"/>
        </w:rPr>
        <w:t xml:space="preserve"> </w:t>
      </w:r>
      <w:r w:rsidR="00A01C94">
        <w:rPr>
          <w:rFonts w:cs="Arial"/>
          <w:sz w:val="22"/>
          <w:szCs w:val="22"/>
        </w:rPr>
        <w:t>or provide an explanation for any omissions</w:t>
      </w:r>
    </w:p>
    <w:p w14:paraId="7A050508" w14:textId="77777777" w:rsidR="001C51EE" w:rsidRPr="006753F0" w:rsidRDefault="001C51EE" w:rsidP="007F2E9C">
      <w:pPr>
        <w:spacing w:line="276" w:lineRule="auto"/>
        <w:jc w:val="both"/>
        <w:rPr>
          <w:rFonts w:cs="Arial"/>
          <w:sz w:val="22"/>
          <w:szCs w:val="22"/>
        </w:rPr>
      </w:pPr>
    </w:p>
    <w:p w14:paraId="2D9F0349" w14:textId="77777777" w:rsidR="001C51EE" w:rsidRDefault="001C51EE" w:rsidP="007F2E9C">
      <w:pPr>
        <w:spacing w:line="276" w:lineRule="auto"/>
        <w:jc w:val="both"/>
        <w:rPr>
          <w:rFonts w:cs="Arial"/>
          <w:sz w:val="22"/>
          <w:szCs w:val="22"/>
        </w:rPr>
      </w:pPr>
      <w:r w:rsidRPr="00EB7A0C">
        <w:rPr>
          <w:rFonts w:cs="Arial"/>
          <w:sz w:val="22"/>
          <w:szCs w:val="22"/>
        </w:rPr>
        <w:t xml:space="preserve">Furthermore, the requirements are designed </w:t>
      </w:r>
      <w:r w:rsidR="00A97E0B" w:rsidRPr="00EB7A0C">
        <w:rPr>
          <w:rFonts w:cs="Arial"/>
          <w:sz w:val="22"/>
          <w:szCs w:val="22"/>
        </w:rPr>
        <w:t xml:space="preserve">to </w:t>
      </w:r>
      <w:r w:rsidR="00A97E0B">
        <w:rPr>
          <w:rFonts w:cs="Arial"/>
          <w:sz w:val="22"/>
          <w:szCs w:val="22"/>
        </w:rPr>
        <w:t xml:space="preserve">improve the </w:t>
      </w:r>
      <w:r w:rsidR="00A97E0B" w:rsidRPr="00EB7A0C">
        <w:rPr>
          <w:rFonts w:cs="Arial"/>
          <w:sz w:val="22"/>
          <w:szCs w:val="22"/>
        </w:rPr>
        <w:t xml:space="preserve">content of </w:t>
      </w:r>
      <w:r w:rsidR="00A97E0B">
        <w:rPr>
          <w:rFonts w:cs="Arial"/>
          <w:sz w:val="22"/>
          <w:szCs w:val="22"/>
        </w:rPr>
        <w:t xml:space="preserve">non-financial </w:t>
      </w:r>
      <w:r w:rsidR="00A97E0B" w:rsidRPr="00EB7A0C">
        <w:rPr>
          <w:rFonts w:cs="Arial"/>
          <w:sz w:val="22"/>
          <w:szCs w:val="22"/>
        </w:rPr>
        <w:t>disclosure</w:t>
      </w:r>
      <w:r w:rsidR="00A97E0B">
        <w:rPr>
          <w:rFonts w:cs="Arial"/>
          <w:sz w:val="22"/>
          <w:szCs w:val="22"/>
        </w:rPr>
        <w:t>s</w:t>
      </w:r>
      <w:r w:rsidR="00A97E0B" w:rsidRPr="00EB7A0C">
        <w:rPr>
          <w:rFonts w:cs="Arial"/>
          <w:sz w:val="22"/>
          <w:szCs w:val="22"/>
        </w:rPr>
        <w:t xml:space="preserve"> (i.e. </w:t>
      </w:r>
      <w:r w:rsidR="00A97E0B">
        <w:rPr>
          <w:rFonts w:cs="Arial"/>
          <w:sz w:val="22"/>
          <w:szCs w:val="22"/>
        </w:rPr>
        <w:t xml:space="preserve">by requiring the reporting of company </w:t>
      </w:r>
      <w:r w:rsidR="00A97E0B" w:rsidRPr="00EB7A0C">
        <w:rPr>
          <w:rFonts w:cs="Arial"/>
          <w:sz w:val="22"/>
          <w:szCs w:val="22"/>
        </w:rPr>
        <w:t xml:space="preserve">policies, performance and </w:t>
      </w:r>
      <w:r w:rsidR="00A97E0B">
        <w:rPr>
          <w:rFonts w:cs="Arial"/>
          <w:sz w:val="22"/>
          <w:szCs w:val="22"/>
        </w:rPr>
        <w:t xml:space="preserve">the </w:t>
      </w:r>
      <w:r w:rsidR="00A97E0B" w:rsidRPr="00EB7A0C">
        <w:rPr>
          <w:rFonts w:cs="Arial"/>
          <w:sz w:val="22"/>
          <w:szCs w:val="22"/>
        </w:rPr>
        <w:t>risk management as</w:t>
      </w:r>
      <w:r w:rsidR="003E185A">
        <w:rPr>
          <w:rFonts w:cs="Arial"/>
          <w:sz w:val="22"/>
          <w:szCs w:val="22"/>
        </w:rPr>
        <w:t>pects of non-financial matters)</w:t>
      </w:r>
      <w:r w:rsidRPr="00EB7A0C">
        <w:rPr>
          <w:rFonts w:cs="Arial"/>
          <w:sz w:val="22"/>
          <w:szCs w:val="22"/>
        </w:rPr>
        <w:t xml:space="preserve">. This will lead to further improvement in the quality of the information disclosed compared to the baseline scenario. </w:t>
      </w:r>
    </w:p>
    <w:p w14:paraId="484DD944" w14:textId="77777777" w:rsidR="003B101A" w:rsidRDefault="003B101A" w:rsidP="007F2E9C">
      <w:pPr>
        <w:spacing w:line="276" w:lineRule="auto"/>
        <w:jc w:val="both"/>
        <w:rPr>
          <w:rFonts w:cs="Arial"/>
          <w:sz w:val="22"/>
          <w:szCs w:val="22"/>
        </w:rPr>
      </w:pPr>
    </w:p>
    <w:p w14:paraId="6D94E60F" w14:textId="77777777" w:rsidR="003B101A" w:rsidRPr="00EB7A0C" w:rsidRDefault="003B101A" w:rsidP="007F2E9C">
      <w:pPr>
        <w:spacing w:line="276" w:lineRule="auto"/>
        <w:jc w:val="both"/>
        <w:rPr>
          <w:rFonts w:cs="Arial"/>
          <w:sz w:val="22"/>
          <w:szCs w:val="22"/>
        </w:rPr>
      </w:pPr>
      <w:r>
        <w:rPr>
          <w:rFonts w:cs="Arial"/>
          <w:sz w:val="22"/>
          <w:szCs w:val="22"/>
        </w:rPr>
        <w:t xml:space="preserve">It is not possible to monetise the benefits. A qualitative assessment is provided below. </w:t>
      </w:r>
    </w:p>
    <w:p w14:paraId="044ABDEC" w14:textId="77777777" w:rsidR="00BD29DF" w:rsidRPr="00EB7A0C" w:rsidRDefault="00BD29DF" w:rsidP="007F2E9C">
      <w:pPr>
        <w:spacing w:line="276" w:lineRule="auto"/>
        <w:jc w:val="both"/>
        <w:rPr>
          <w:rFonts w:cs="Arial"/>
          <w:sz w:val="22"/>
          <w:szCs w:val="22"/>
        </w:rPr>
      </w:pPr>
    </w:p>
    <w:p w14:paraId="4264AC93" w14:textId="77777777" w:rsidR="003E7276" w:rsidRPr="00BA6CA2" w:rsidRDefault="00BD29DF" w:rsidP="007F2E9C">
      <w:pPr>
        <w:keepNext/>
        <w:spacing w:line="276" w:lineRule="auto"/>
        <w:jc w:val="both"/>
        <w:rPr>
          <w:rFonts w:cs="Arial"/>
          <w:b/>
          <w:i/>
          <w:sz w:val="22"/>
          <w:szCs w:val="22"/>
        </w:rPr>
      </w:pPr>
      <w:r w:rsidRPr="00BA6CA2">
        <w:rPr>
          <w:rFonts w:cs="Arial"/>
          <w:b/>
          <w:i/>
          <w:sz w:val="22"/>
          <w:szCs w:val="22"/>
        </w:rPr>
        <w:t>Benefits t</w:t>
      </w:r>
      <w:r w:rsidR="00F22AB2" w:rsidRPr="00BA6CA2">
        <w:rPr>
          <w:rFonts w:cs="Arial"/>
          <w:b/>
          <w:i/>
          <w:sz w:val="22"/>
          <w:szCs w:val="22"/>
        </w:rPr>
        <w:t>o</w:t>
      </w:r>
      <w:r w:rsidR="00D66BB5" w:rsidRPr="00BA6CA2">
        <w:rPr>
          <w:rFonts w:cs="Arial"/>
          <w:b/>
          <w:i/>
          <w:sz w:val="22"/>
          <w:szCs w:val="22"/>
        </w:rPr>
        <w:t xml:space="preserve"> investors</w:t>
      </w:r>
    </w:p>
    <w:p w14:paraId="2B3D52D4" w14:textId="77777777" w:rsidR="003E7276" w:rsidRPr="00BA6CA2" w:rsidRDefault="003E7276" w:rsidP="007F2E9C">
      <w:pPr>
        <w:keepNext/>
        <w:spacing w:line="276" w:lineRule="auto"/>
        <w:jc w:val="both"/>
        <w:rPr>
          <w:rFonts w:cs="Arial"/>
          <w:sz w:val="22"/>
          <w:szCs w:val="22"/>
        </w:rPr>
      </w:pPr>
    </w:p>
    <w:p w14:paraId="6A9F572B" w14:textId="77777777" w:rsidR="00DE37C0" w:rsidRPr="004E09CE" w:rsidRDefault="00DE37C0" w:rsidP="00DE37C0">
      <w:pPr>
        <w:spacing w:line="276" w:lineRule="auto"/>
        <w:jc w:val="both"/>
        <w:rPr>
          <w:rFonts w:cs="Arial"/>
          <w:sz w:val="22"/>
          <w:szCs w:val="22"/>
        </w:rPr>
      </w:pPr>
      <w:r>
        <w:rPr>
          <w:rFonts w:cs="Arial"/>
          <w:sz w:val="22"/>
          <w:szCs w:val="22"/>
        </w:rPr>
        <w:t>Recent studies</w:t>
      </w:r>
      <w:r w:rsidRPr="003415CC">
        <w:rPr>
          <w:rFonts w:cs="Arial"/>
          <w:sz w:val="22"/>
          <w:szCs w:val="22"/>
        </w:rPr>
        <w:t xml:space="preserve"> indicate that investors increasingly incorporate risks relating to environmental social and governance (ESG) matters in</w:t>
      </w:r>
      <w:r>
        <w:rPr>
          <w:rFonts w:cs="Arial"/>
          <w:sz w:val="22"/>
          <w:szCs w:val="22"/>
        </w:rPr>
        <w:t>to</w:t>
      </w:r>
      <w:r w:rsidRPr="003415CC">
        <w:rPr>
          <w:rFonts w:cs="Arial"/>
          <w:sz w:val="22"/>
          <w:szCs w:val="22"/>
        </w:rPr>
        <w:t xml:space="preserve"> their decisions. A global institutional investor survey (done by EY in 2015) shows evidence of a growing reliance on non</w:t>
      </w:r>
      <w:r>
        <w:rPr>
          <w:rFonts w:cs="Arial"/>
          <w:sz w:val="22"/>
          <w:szCs w:val="22"/>
        </w:rPr>
        <w:t>-</w:t>
      </w:r>
      <w:r w:rsidRPr="003415CC">
        <w:rPr>
          <w:rFonts w:cs="Arial"/>
          <w:sz w:val="22"/>
          <w:szCs w:val="22"/>
        </w:rPr>
        <w:t xml:space="preserve">financial information. Investors are using nonfinancial performance to draw conclusions on value </w:t>
      </w:r>
      <w:r>
        <w:rPr>
          <w:rFonts w:cs="Arial"/>
          <w:sz w:val="22"/>
          <w:szCs w:val="22"/>
        </w:rPr>
        <w:t>to</w:t>
      </w:r>
      <w:r w:rsidRPr="003415CC">
        <w:rPr>
          <w:rFonts w:cs="Arial"/>
          <w:sz w:val="22"/>
          <w:szCs w:val="22"/>
        </w:rPr>
        <w:t xml:space="preserve"> inform and underpin their decisions.</w:t>
      </w:r>
      <w:r w:rsidRPr="00D45B85">
        <w:rPr>
          <w:rStyle w:val="FootnoteReference"/>
          <w:rFonts w:cs="Arial"/>
          <w:szCs w:val="22"/>
        </w:rPr>
        <w:footnoteReference w:id="28"/>
      </w:r>
      <w:r w:rsidRPr="00D45B85">
        <w:rPr>
          <w:rFonts w:cs="Arial"/>
          <w:sz w:val="22"/>
          <w:szCs w:val="22"/>
        </w:rPr>
        <w:t xml:space="preserve"> Investors would have such information from a wider range of companies under the </w:t>
      </w:r>
      <w:r>
        <w:rPr>
          <w:rFonts w:cs="Arial"/>
          <w:sz w:val="22"/>
          <w:szCs w:val="22"/>
        </w:rPr>
        <w:t>NFRD</w:t>
      </w:r>
      <w:r w:rsidRPr="00D45B85">
        <w:rPr>
          <w:rFonts w:cs="Arial"/>
          <w:sz w:val="22"/>
          <w:szCs w:val="22"/>
        </w:rPr>
        <w:t>.</w:t>
      </w:r>
    </w:p>
    <w:p w14:paraId="7DE009BF" w14:textId="77777777" w:rsidR="00DE37C0" w:rsidRPr="004E09CE" w:rsidRDefault="00DE37C0" w:rsidP="00DE37C0">
      <w:pPr>
        <w:spacing w:line="276" w:lineRule="auto"/>
        <w:jc w:val="both"/>
        <w:rPr>
          <w:rFonts w:cs="Arial"/>
          <w:sz w:val="22"/>
          <w:szCs w:val="22"/>
        </w:rPr>
      </w:pPr>
    </w:p>
    <w:p w14:paraId="16E2F1A1" w14:textId="77777777" w:rsidR="00DE37C0" w:rsidRPr="00FC03D5" w:rsidRDefault="00DE37C0" w:rsidP="00DE37C0">
      <w:pPr>
        <w:spacing w:line="276" w:lineRule="auto"/>
        <w:jc w:val="both"/>
        <w:rPr>
          <w:rFonts w:cs="Arial"/>
          <w:sz w:val="22"/>
          <w:szCs w:val="22"/>
        </w:rPr>
      </w:pPr>
      <w:r w:rsidRPr="004E09CE">
        <w:rPr>
          <w:rFonts w:cs="Arial"/>
          <w:sz w:val="22"/>
          <w:szCs w:val="22"/>
        </w:rPr>
        <w:t xml:space="preserve">The NFRD would benefit investors’ decisions by adding the requirement to report on anti-bribery matters, which is an important governance issue. </w:t>
      </w:r>
      <w:r>
        <w:rPr>
          <w:rFonts w:cs="Arial"/>
          <w:sz w:val="22"/>
          <w:szCs w:val="22"/>
        </w:rPr>
        <w:t xml:space="preserve">The </w:t>
      </w:r>
      <w:r w:rsidRPr="004E09CE">
        <w:rPr>
          <w:rFonts w:cs="Arial"/>
          <w:sz w:val="22"/>
          <w:szCs w:val="22"/>
        </w:rPr>
        <w:t>Principles of Responsible Investment</w:t>
      </w:r>
      <w:r w:rsidRPr="00266F21">
        <w:rPr>
          <w:rFonts w:cs="Arial"/>
          <w:sz w:val="22"/>
          <w:szCs w:val="22"/>
        </w:rPr>
        <w:t xml:space="preserve"> (PRI)</w:t>
      </w:r>
      <w:r w:rsidRPr="00FC03D5">
        <w:rPr>
          <w:rFonts w:cs="Arial"/>
          <w:sz w:val="22"/>
          <w:szCs w:val="22"/>
        </w:rPr>
        <w:t xml:space="preserve">, </w:t>
      </w:r>
      <w:r>
        <w:rPr>
          <w:rFonts w:cs="Arial"/>
          <w:sz w:val="22"/>
          <w:szCs w:val="22"/>
        </w:rPr>
        <w:t xml:space="preserve">which is </w:t>
      </w:r>
      <w:r w:rsidRPr="00FC03D5">
        <w:rPr>
          <w:rFonts w:cs="Arial"/>
          <w:sz w:val="22"/>
          <w:szCs w:val="22"/>
        </w:rPr>
        <w:t>a global body of investors undert</w:t>
      </w:r>
      <w:r>
        <w:rPr>
          <w:rFonts w:cs="Arial"/>
          <w:sz w:val="22"/>
          <w:szCs w:val="22"/>
        </w:rPr>
        <w:t>ook a</w:t>
      </w:r>
      <w:r w:rsidRPr="00FC03D5">
        <w:rPr>
          <w:rFonts w:cs="Arial"/>
          <w:sz w:val="22"/>
          <w:szCs w:val="22"/>
        </w:rPr>
        <w:t xml:space="preserve"> three year project with companies</w:t>
      </w:r>
      <w:r>
        <w:rPr>
          <w:rFonts w:cs="Arial"/>
          <w:sz w:val="22"/>
          <w:szCs w:val="22"/>
        </w:rPr>
        <w:t>,</w:t>
      </w:r>
      <w:r w:rsidRPr="00FC03D5">
        <w:rPr>
          <w:rFonts w:cs="Arial"/>
          <w:sz w:val="22"/>
          <w:szCs w:val="22"/>
        </w:rPr>
        <w:t xml:space="preserve"> across a range of countries and</w:t>
      </w:r>
      <w:r>
        <w:rPr>
          <w:rFonts w:cs="Arial"/>
          <w:sz w:val="22"/>
          <w:szCs w:val="22"/>
        </w:rPr>
        <w:t xml:space="preserve"> sectors to, among other things,</w:t>
      </w:r>
      <w:r w:rsidRPr="00FC03D5">
        <w:rPr>
          <w:rFonts w:cs="Arial"/>
          <w:sz w:val="22"/>
          <w:szCs w:val="22"/>
        </w:rPr>
        <w:t xml:space="preserve"> </w:t>
      </w:r>
      <w:r>
        <w:rPr>
          <w:rFonts w:cs="Arial"/>
          <w:sz w:val="22"/>
          <w:szCs w:val="22"/>
        </w:rPr>
        <w:t xml:space="preserve">voluntarily </w:t>
      </w:r>
      <w:r w:rsidRPr="00FC03D5">
        <w:rPr>
          <w:rFonts w:cs="Arial"/>
          <w:sz w:val="22"/>
          <w:szCs w:val="22"/>
        </w:rPr>
        <w:t>encourage disclosure on anti-corruption matters in line with international reporting frameworks. The</w:t>
      </w:r>
      <w:r>
        <w:rPr>
          <w:rFonts w:cs="Arial"/>
          <w:sz w:val="22"/>
          <w:szCs w:val="22"/>
        </w:rPr>
        <w:t xml:space="preserve"> intention was</w:t>
      </w:r>
      <w:r w:rsidRPr="00FC03D5">
        <w:rPr>
          <w:rFonts w:cs="Arial"/>
          <w:sz w:val="22"/>
          <w:szCs w:val="22"/>
        </w:rPr>
        <w:t xml:space="preserve"> to ‘enable investors to better assess and manage their exposure to the financial, operational and reputational impacts of corruption risks in their portfolios’.</w:t>
      </w:r>
      <w:r w:rsidRPr="00D45B85">
        <w:rPr>
          <w:rStyle w:val="FootnoteReference"/>
          <w:rFonts w:cs="Arial"/>
          <w:szCs w:val="22"/>
        </w:rPr>
        <w:footnoteReference w:id="29"/>
      </w:r>
      <w:r w:rsidRPr="00D45B85">
        <w:rPr>
          <w:rFonts w:cs="Arial"/>
          <w:sz w:val="22"/>
          <w:szCs w:val="22"/>
        </w:rPr>
        <w:t xml:space="preserve"> The PRI</w:t>
      </w:r>
      <w:r w:rsidRPr="004E09CE">
        <w:rPr>
          <w:rFonts w:cs="Arial"/>
          <w:sz w:val="22"/>
          <w:szCs w:val="22"/>
        </w:rPr>
        <w:t xml:space="preserve"> also provides guidance and practical advice for investors and companies on anti-</w:t>
      </w:r>
      <w:r w:rsidRPr="004E09CE">
        <w:rPr>
          <w:rFonts w:cs="Arial"/>
          <w:sz w:val="22"/>
          <w:szCs w:val="22"/>
        </w:rPr>
        <w:lastRenderedPageBreak/>
        <w:t>bribery and corruption matters – indicating the importance of this matter to investors</w:t>
      </w:r>
      <w:r w:rsidRPr="00266F21">
        <w:rPr>
          <w:rFonts w:cs="Arial"/>
          <w:sz w:val="22"/>
          <w:szCs w:val="22"/>
        </w:rPr>
        <w:t>.</w:t>
      </w:r>
      <w:r>
        <w:rPr>
          <w:rFonts w:cs="Arial"/>
          <w:sz w:val="22"/>
          <w:szCs w:val="22"/>
        </w:rPr>
        <w:t xml:space="preserve"> The NFRD would make reporting on this matter compulsory among large PIEs in the UK (those with more than 500 employees).</w:t>
      </w:r>
    </w:p>
    <w:p w14:paraId="1B5C701A" w14:textId="77777777" w:rsidR="00DE37C0" w:rsidRPr="00FC03D5" w:rsidRDefault="00DE37C0" w:rsidP="00DE37C0">
      <w:pPr>
        <w:spacing w:line="276" w:lineRule="auto"/>
        <w:jc w:val="both"/>
        <w:rPr>
          <w:rFonts w:cs="Arial"/>
          <w:sz w:val="22"/>
          <w:szCs w:val="22"/>
        </w:rPr>
      </w:pPr>
    </w:p>
    <w:p w14:paraId="44455B47" w14:textId="77777777" w:rsidR="003B101A" w:rsidRDefault="00DE37C0" w:rsidP="003B101A">
      <w:pPr>
        <w:spacing w:line="276" w:lineRule="auto"/>
        <w:jc w:val="both"/>
        <w:rPr>
          <w:rFonts w:cs="Arial"/>
          <w:sz w:val="22"/>
          <w:szCs w:val="22"/>
        </w:rPr>
      </w:pPr>
      <w:r w:rsidRPr="00EE0E76">
        <w:rPr>
          <w:rFonts w:cs="Arial"/>
          <w:sz w:val="22"/>
          <w:szCs w:val="22"/>
        </w:rPr>
        <w:t>The requirement to disclose the company’s diversity policy would provide information on corporate culture and governance practices. It would ensure investors and stakeholders in general that the board members</w:t>
      </w:r>
      <w:r w:rsidR="00A214D7">
        <w:rPr>
          <w:rFonts w:cs="Arial"/>
          <w:sz w:val="22"/>
          <w:szCs w:val="22"/>
        </w:rPr>
        <w:t xml:space="preserve"> </w:t>
      </w:r>
      <w:r w:rsidRPr="00EE0E76">
        <w:rPr>
          <w:rFonts w:cs="Arial"/>
          <w:sz w:val="22"/>
          <w:szCs w:val="22"/>
        </w:rPr>
        <w:t>have the right mix of skills and knowledge to govern the company better</w:t>
      </w:r>
      <w:r w:rsidRPr="00D45B85">
        <w:rPr>
          <w:rStyle w:val="FootnoteReference"/>
          <w:rFonts w:cs="Arial"/>
          <w:szCs w:val="22"/>
        </w:rPr>
        <w:footnoteReference w:id="30"/>
      </w:r>
      <w:r w:rsidRPr="00D45B85">
        <w:rPr>
          <w:rFonts w:cs="Arial"/>
          <w:sz w:val="22"/>
          <w:szCs w:val="22"/>
        </w:rPr>
        <w:t>.</w:t>
      </w:r>
    </w:p>
    <w:p w14:paraId="33CB97B9" w14:textId="77777777" w:rsidR="003B101A" w:rsidRDefault="003B101A" w:rsidP="003B101A">
      <w:pPr>
        <w:spacing w:line="276" w:lineRule="auto"/>
        <w:jc w:val="both"/>
        <w:rPr>
          <w:rFonts w:cs="Arial"/>
          <w:sz w:val="22"/>
          <w:szCs w:val="22"/>
        </w:rPr>
      </w:pPr>
    </w:p>
    <w:p w14:paraId="24886163" w14:textId="77777777" w:rsidR="003B101A" w:rsidRDefault="000E4EB7" w:rsidP="003B101A">
      <w:pPr>
        <w:spacing w:line="276" w:lineRule="auto"/>
        <w:jc w:val="both"/>
        <w:rPr>
          <w:rFonts w:cs="Arial"/>
          <w:sz w:val="22"/>
          <w:szCs w:val="22"/>
        </w:rPr>
      </w:pPr>
      <w:r>
        <w:rPr>
          <w:rFonts w:cs="Arial"/>
          <w:sz w:val="22"/>
          <w:szCs w:val="22"/>
        </w:rPr>
        <w:t xml:space="preserve">To inform the consultation stage IA we conducted an online survey of investors. </w:t>
      </w:r>
      <w:r w:rsidR="005F6655" w:rsidRPr="00BA6CA2">
        <w:rPr>
          <w:rFonts w:cs="Arial"/>
          <w:sz w:val="22"/>
          <w:szCs w:val="22"/>
        </w:rPr>
        <w:t>W</w:t>
      </w:r>
      <w:r w:rsidR="00D66BB5" w:rsidRPr="00BA6CA2">
        <w:rPr>
          <w:rFonts w:cs="Arial"/>
          <w:sz w:val="22"/>
          <w:szCs w:val="22"/>
        </w:rPr>
        <w:t xml:space="preserve">e received 20 responses. 13 investors (65% of the 20 respondents) </w:t>
      </w:r>
      <w:r w:rsidR="009E7BB5" w:rsidRPr="00BA6CA2">
        <w:rPr>
          <w:rFonts w:cs="Arial"/>
          <w:sz w:val="22"/>
          <w:szCs w:val="22"/>
        </w:rPr>
        <w:t>did not anticipate</w:t>
      </w:r>
      <w:r w:rsidR="00D66BB5" w:rsidRPr="00BA6CA2">
        <w:rPr>
          <w:rFonts w:cs="Arial"/>
          <w:sz w:val="22"/>
          <w:szCs w:val="22"/>
        </w:rPr>
        <w:t xml:space="preserve"> using the data that will be made available under the new requirements while 7 investors</w:t>
      </w:r>
      <w:r w:rsidR="009E7BB5" w:rsidRPr="00BA6CA2">
        <w:rPr>
          <w:rFonts w:cs="Arial"/>
          <w:sz w:val="22"/>
          <w:szCs w:val="22"/>
        </w:rPr>
        <w:t xml:space="preserve"> (35% of the 20 respondents) did</w:t>
      </w:r>
      <w:r w:rsidR="00D66BB5" w:rsidRPr="00BA6CA2">
        <w:rPr>
          <w:rFonts w:cs="Arial"/>
          <w:sz w:val="22"/>
          <w:szCs w:val="22"/>
        </w:rPr>
        <w:t xml:space="preserve">. </w:t>
      </w:r>
    </w:p>
    <w:p w14:paraId="1F0CC9E4" w14:textId="77777777" w:rsidR="003B101A" w:rsidRDefault="003B101A" w:rsidP="003B101A">
      <w:pPr>
        <w:spacing w:line="276" w:lineRule="auto"/>
        <w:jc w:val="both"/>
        <w:rPr>
          <w:rFonts w:cs="Arial"/>
          <w:sz w:val="22"/>
          <w:szCs w:val="22"/>
        </w:rPr>
      </w:pPr>
    </w:p>
    <w:p w14:paraId="48A9E8C6" w14:textId="77777777" w:rsidR="003B101A" w:rsidRDefault="0099116B" w:rsidP="003B101A">
      <w:pPr>
        <w:spacing w:line="276" w:lineRule="auto"/>
        <w:jc w:val="both"/>
        <w:rPr>
          <w:rFonts w:cs="Arial"/>
          <w:sz w:val="22"/>
          <w:szCs w:val="22"/>
        </w:rPr>
      </w:pPr>
      <w:r>
        <w:rPr>
          <w:rFonts w:cs="Arial"/>
          <w:sz w:val="22"/>
          <w:szCs w:val="22"/>
        </w:rPr>
        <w:t>Of the 13 that said they would not use the information, s</w:t>
      </w:r>
      <w:r w:rsidR="00D66BB5" w:rsidRPr="00BA6CA2">
        <w:rPr>
          <w:rFonts w:cs="Arial"/>
          <w:sz w:val="22"/>
          <w:szCs w:val="22"/>
        </w:rPr>
        <w:t>ome respondents commented that they</w:t>
      </w:r>
      <w:r w:rsidR="00D66BB5" w:rsidRPr="00467E1C">
        <w:rPr>
          <w:rFonts w:cs="Arial"/>
          <w:sz w:val="22"/>
          <w:szCs w:val="22"/>
        </w:rPr>
        <w:t xml:space="preserve"> will not use these data as the existing report structure in the UK alread</w:t>
      </w:r>
      <w:r>
        <w:rPr>
          <w:rFonts w:cs="Arial"/>
          <w:sz w:val="22"/>
          <w:szCs w:val="22"/>
        </w:rPr>
        <w:t>y provides adequate information. Others</w:t>
      </w:r>
      <w:r w:rsidR="00D66BB5" w:rsidRPr="00467E1C">
        <w:rPr>
          <w:rFonts w:cs="Arial"/>
          <w:sz w:val="22"/>
          <w:szCs w:val="22"/>
        </w:rPr>
        <w:t xml:space="preserve"> commented that this information will be very unlikely to affect the investment case for buying shares in the companies and other investment deci</w:t>
      </w:r>
      <w:r w:rsidR="00D66BB5" w:rsidRPr="003415CC">
        <w:rPr>
          <w:rFonts w:cs="Arial"/>
          <w:sz w:val="22"/>
          <w:szCs w:val="22"/>
        </w:rPr>
        <w:t xml:space="preserve">sions. </w:t>
      </w:r>
      <w:r w:rsidR="00ED12EC">
        <w:rPr>
          <w:rFonts w:cs="Arial"/>
          <w:sz w:val="22"/>
          <w:szCs w:val="22"/>
        </w:rPr>
        <w:t>One</w:t>
      </w:r>
      <w:r w:rsidR="00D66BB5" w:rsidRPr="003415CC">
        <w:rPr>
          <w:rFonts w:cs="Arial"/>
          <w:sz w:val="22"/>
          <w:szCs w:val="22"/>
        </w:rPr>
        <w:t xml:space="preserve"> investor commented that </w:t>
      </w:r>
      <w:r w:rsidR="00A214D7">
        <w:rPr>
          <w:rFonts w:cs="Arial"/>
          <w:sz w:val="22"/>
          <w:szCs w:val="22"/>
        </w:rPr>
        <w:t xml:space="preserve">information required by the NFRD </w:t>
      </w:r>
      <w:r w:rsidR="00D66BB5" w:rsidRPr="003415CC">
        <w:rPr>
          <w:rFonts w:cs="Arial"/>
          <w:sz w:val="22"/>
          <w:szCs w:val="22"/>
        </w:rPr>
        <w:t>will only increase costs for companies for negligible benefits</w:t>
      </w:r>
      <w:r w:rsidR="00ED12EC">
        <w:rPr>
          <w:rFonts w:cs="Arial"/>
          <w:sz w:val="22"/>
          <w:szCs w:val="22"/>
        </w:rPr>
        <w:t xml:space="preserve"> and two others suggested it would not result in meaningful information (</w:t>
      </w:r>
      <w:r w:rsidR="00D66BB5" w:rsidRPr="003415CC">
        <w:rPr>
          <w:rFonts w:cs="Arial"/>
          <w:sz w:val="22"/>
          <w:szCs w:val="22"/>
        </w:rPr>
        <w:t>as for instance, companies involved in paying certain commissions will hardly admit bribery and corruption</w:t>
      </w:r>
      <w:r w:rsidR="00ED12EC">
        <w:rPr>
          <w:rFonts w:cs="Arial"/>
          <w:sz w:val="22"/>
          <w:szCs w:val="22"/>
        </w:rPr>
        <w:t>)</w:t>
      </w:r>
      <w:r w:rsidR="00D66BB5" w:rsidRPr="003415CC">
        <w:rPr>
          <w:rFonts w:cs="Arial"/>
          <w:sz w:val="22"/>
          <w:szCs w:val="22"/>
        </w:rPr>
        <w:t xml:space="preserve">. </w:t>
      </w:r>
    </w:p>
    <w:p w14:paraId="3953CF91" w14:textId="77777777" w:rsidR="003B101A" w:rsidRDefault="003B101A" w:rsidP="003B101A">
      <w:pPr>
        <w:spacing w:line="276" w:lineRule="auto"/>
        <w:jc w:val="both"/>
        <w:rPr>
          <w:rFonts w:cs="Arial"/>
          <w:sz w:val="22"/>
          <w:szCs w:val="22"/>
        </w:rPr>
      </w:pPr>
    </w:p>
    <w:p w14:paraId="5F4ECD22" w14:textId="77777777" w:rsidR="00D66BB5" w:rsidRPr="003415CC" w:rsidRDefault="00A214D7" w:rsidP="003B101A">
      <w:pPr>
        <w:spacing w:line="276" w:lineRule="auto"/>
        <w:jc w:val="both"/>
        <w:rPr>
          <w:rFonts w:cs="Arial"/>
          <w:sz w:val="22"/>
          <w:szCs w:val="22"/>
        </w:rPr>
      </w:pPr>
      <w:r>
        <w:rPr>
          <w:rFonts w:cs="Arial"/>
          <w:sz w:val="22"/>
          <w:szCs w:val="22"/>
        </w:rPr>
        <w:t xml:space="preserve">However 7 respondents said that </w:t>
      </w:r>
      <w:r w:rsidR="0099116B">
        <w:rPr>
          <w:rFonts w:cs="Arial"/>
          <w:sz w:val="22"/>
          <w:szCs w:val="22"/>
        </w:rPr>
        <w:t xml:space="preserve">they would use the data </w:t>
      </w:r>
      <w:r w:rsidR="00D66BB5" w:rsidRPr="003415CC">
        <w:rPr>
          <w:rFonts w:cs="Arial"/>
          <w:sz w:val="22"/>
          <w:szCs w:val="22"/>
        </w:rPr>
        <w:t>said the new data wi</w:t>
      </w:r>
      <w:r w:rsidR="0099116B">
        <w:rPr>
          <w:rFonts w:cs="Arial"/>
          <w:sz w:val="22"/>
          <w:szCs w:val="22"/>
        </w:rPr>
        <w:t xml:space="preserve">ll inform investment strategies. </w:t>
      </w:r>
      <w:r w:rsidR="00D66BB5" w:rsidRPr="003415CC">
        <w:rPr>
          <w:rFonts w:cs="Arial"/>
          <w:sz w:val="22"/>
          <w:szCs w:val="22"/>
        </w:rPr>
        <w:t xml:space="preserve">5 </w:t>
      </w:r>
      <w:r w:rsidR="0099116B">
        <w:rPr>
          <w:rFonts w:cs="Arial"/>
          <w:sz w:val="22"/>
          <w:szCs w:val="22"/>
        </w:rPr>
        <w:t>added that it would</w:t>
      </w:r>
      <w:r w:rsidR="00D66BB5" w:rsidRPr="003415CC">
        <w:rPr>
          <w:rFonts w:cs="Arial"/>
          <w:sz w:val="22"/>
          <w:szCs w:val="22"/>
        </w:rPr>
        <w:t xml:space="preserve"> inform voting at the Annual General Meeting (AGM) and 3 respondents said it will inform discussion at the AGM. Finally, 1 investor said these requirements will provide a better insight of the company and how it operates. As for benefits, 1 investor does not expect any, 1 investor is expecting better informed investment strategies, one improved monitoring of company activity, 1 more informed discussion at the AGM, 1 more informed voting at the AGM and no one suggested increased awareness of company activities. No respondent was able to quantify any benefits.</w:t>
      </w:r>
    </w:p>
    <w:p w14:paraId="6D207AEC" w14:textId="77777777" w:rsidR="009E7BB5" w:rsidRPr="003415CC" w:rsidRDefault="009E7BB5" w:rsidP="007F2E9C">
      <w:pPr>
        <w:spacing w:line="276" w:lineRule="auto"/>
        <w:jc w:val="both"/>
        <w:rPr>
          <w:rFonts w:cs="Arial"/>
          <w:sz w:val="22"/>
          <w:szCs w:val="22"/>
        </w:rPr>
      </w:pPr>
    </w:p>
    <w:p w14:paraId="1218AD51" w14:textId="77777777" w:rsidR="00AA37C2" w:rsidRPr="003415CC" w:rsidRDefault="003227FD" w:rsidP="007F2E9C">
      <w:pPr>
        <w:spacing w:line="276" w:lineRule="auto"/>
        <w:jc w:val="both"/>
        <w:rPr>
          <w:rFonts w:cs="Arial"/>
          <w:sz w:val="22"/>
          <w:szCs w:val="22"/>
        </w:rPr>
      </w:pPr>
      <w:r>
        <w:rPr>
          <w:rFonts w:cs="Arial"/>
          <w:sz w:val="22"/>
          <w:szCs w:val="22"/>
        </w:rPr>
        <w:t>T</w:t>
      </w:r>
      <w:r w:rsidR="001350C7" w:rsidRPr="003415CC">
        <w:rPr>
          <w:rFonts w:cs="Arial"/>
          <w:sz w:val="22"/>
          <w:szCs w:val="22"/>
        </w:rPr>
        <w:t>he</w:t>
      </w:r>
      <w:r>
        <w:rPr>
          <w:rFonts w:cs="Arial"/>
          <w:sz w:val="22"/>
          <w:szCs w:val="22"/>
        </w:rPr>
        <w:t xml:space="preserve"> subsequent</w:t>
      </w:r>
      <w:r w:rsidR="001350C7" w:rsidRPr="003415CC">
        <w:rPr>
          <w:rFonts w:cs="Arial"/>
          <w:sz w:val="22"/>
          <w:szCs w:val="22"/>
        </w:rPr>
        <w:t xml:space="preserve"> consultation did not </w:t>
      </w:r>
      <w:r>
        <w:rPr>
          <w:rFonts w:cs="Arial"/>
          <w:sz w:val="22"/>
          <w:szCs w:val="22"/>
        </w:rPr>
        <w:t xml:space="preserve">elicit </w:t>
      </w:r>
      <w:r w:rsidR="001350C7" w:rsidRPr="003415CC">
        <w:rPr>
          <w:rFonts w:cs="Arial"/>
          <w:sz w:val="22"/>
          <w:szCs w:val="22"/>
        </w:rPr>
        <w:t>further information</w:t>
      </w:r>
      <w:r>
        <w:rPr>
          <w:rFonts w:cs="Arial"/>
          <w:sz w:val="22"/>
          <w:szCs w:val="22"/>
        </w:rPr>
        <w:t xml:space="preserve"> from</w:t>
      </w:r>
      <w:r w:rsidR="007A5FEA">
        <w:rPr>
          <w:rFonts w:cs="Arial"/>
          <w:sz w:val="22"/>
          <w:szCs w:val="22"/>
        </w:rPr>
        <w:t xml:space="preserve"> </w:t>
      </w:r>
      <w:r w:rsidR="009E7BB5" w:rsidRPr="003415CC">
        <w:rPr>
          <w:rFonts w:cs="Arial"/>
          <w:sz w:val="22"/>
          <w:szCs w:val="22"/>
        </w:rPr>
        <w:t xml:space="preserve">investors on </w:t>
      </w:r>
      <w:r>
        <w:rPr>
          <w:rFonts w:cs="Arial"/>
          <w:sz w:val="22"/>
          <w:szCs w:val="22"/>
        </w:rPr>
        <w:t>the specific</w:t>
      </w:r>
      <w:r w:rsidR="002E4E68">
        <w:rPr>
          <w:rFonts w:cs="Arial"/>
          <w:sz w:val="22"/>
          <w:szCs w:val="22"/>
        </w:rPr>
        <w:t xml:space="preserve"> changes</w:t>
      </w:r>
      <w:r w:rsidR="009E7BB5" w:rsidRPr="003415CC">
        <w:rPr>
          <w:rFonts w:cs="Arial"/>
          <w:sz w:val="22"/>
          <w:szCs w:val="22"/>
        </w:rPr>
        <w:t xml:space="preserve">. </w:t>
      </w:r>
      <w:r w:rsidR="00DF5806">
        <w:rPr>
          <w:rFonts w:cs="Arial"/>
          <w:sz w:val="22"/>
          <w:szCs w:val="22"/>
        </w:rPr>
        <w:t>However the overall view of</w:t>
      </w:r>
      <w:r w:rsidR="00DF5806" w:rsidRPr="003415CC">
        <w:rPr>
          <w:rFonts w:cs="Arial"/>
          <w:sz w:val="22"/>
          <w:szCs w:val="22"/>
        </w:rPr>
        <w:t xml:space="preserve"> </w:t>
      </w:r>
      <w:r w:rsidR="009E7BB5" w:rsidRPr="003415CC">
        <w:rPr>
          <w:rFonts w:cs="Arial"/>
          <w:sz w:val="22"/>
          <w:szCs w:val="22"/>
        </w:rPr>
        <w:t>investors w</w:t>
      </w:r>
      <w:r w:rsidR="00DF5806">
        <w:rPr>
          <w:rFonts w:cs="Arial"/>
          <w:sz w:val="22"/>
          <w:szCs w:val="22"/>
        </w:rPr>
        <w:t>as</w:t>
      </w:r>
      <w:r w:rsidR="009E7BB5" w:rsidRPr="003415CC">
        <w:rPr>
          <w:rFonts w:cs="Arial"/>
          <w:sz w:val="22"/>
          <w:szCs w:val="22"/>
        </w:rPr>
        <w:t xml:space="preserve"> that the benefits of the additional changes </w:t>
      </w:r>
      <w:r w:rsidR="002E4E68">
        <w:rPr>
          <w:rFonts w:cs="Arial"/>
          <w:sz w:val="22"/>
          <w:szCs w:val="22"/>
        </w:rPr>
        <w:t>were</w:t>
      </w:r>
      <w:r w:rsidR="002E4E68" w:rsidRPr="003415CC">
        <w:rPr>
          <w:rFonts w:cs="Arial"/>
          <w:sz w:val="22"/>
          <w:szCs w:val="22"/>
        </w:rPr>
        <w:t xml:space="preserve"> </w:t>
      </w:r>
      <w:r w:rsidR="009E7BB5" w:rsidRPr="003415CC">
        <w:rPr>
          <w:rFonts w:cs="Arial"/>
          <w:sz w:val="22"/>
          <w:szCs w:val="22"/>
        </w:rPr>
        <w:t>likely to outweigh the costs.</w:t>
      </w:r>
    </w:p>
    <w:p w14:paraId="57BDC062" w14:textId="77777777" w:rsidR="00E37A68" w:rsidRPr="004E09CE" w:rsidRDefault="00E37A68" w:rsidP="007F2E9C">
      <w:pPr>
        <w:spacing w:line="276" w:lineRule="auto"/>
        <w:jc w:val="both"/>
        <w:rPr>
          <w:rFonts w:cs="Arial"/>
          <w:sz w:val="22"/>
          <w:szCs w:val="22"/>
        </w:rPr>
      </w:pPr>
    </w:p>
    <w:p w14:paraId="258A6624" w14:textId="77777777" w:rsidR="00D66BB5" w:rsidRPr="007F2E9C" w:rsidRDefault="00543348" w:rsidP="007F2E9C">
      <w:pPr>
        <w:spacing w:line="276" w:lineRule="auto"/>
        <w:jc w:val="both"/>
        <w:rPr>
          <w:rFonts w:cs="Arial"/>
          <w:b/>
          <w:i/>
          <w:sz w:val="22"/>
          <w:szCs w:val="22"/>
        </w:rPr>
      </w:pPr>
      <w:r w:rsidRPr="007F2E9C">
        <w:rPr>
          <w:rFonts w:cs="Arial"/>
          <w:b/>
          <w:i/>
          <w:sz w:val="22"/>
          <w:szCs w:val="22"/>
        </w:rPr>
        <w:t>Benefits to o</w:t>
      </w:r>
      <w:r w:rsidR="00D66BB5" w:rsidRPr="007F2E9C">
        <w:rPr>
          <w:rFonts w:cs="Arial"/>
          <w:b/>
          <w:i/>
          <w:sz w:val="22"/>
          <w:szCs w:val="22"/>
        </w:rPr>
        <w:t xml:space="preserve">ther </w:t>
      </w:r>
      <w:r w:rsidRPr="007F2E9C">
        <w:rPr>
          <w:rFonts w:cs="Arial"/>
          <w:b/>
          <w:i/>
          <w:sz w:val="22"/>
          <w:szCs w:val="22"/>
        </w:rPr>
        <w:t>s</w:t>
      </w:r>
      <w:r w:rsidR="00D66BB5" w:rsidRPr="007F2E9C">
        <w:rPr>
          <w:rFonts w:cs="Arial"/>
          <w:b/>
          <w:i/>
          <w:sz w:val="22"/>
          <w:szCs w:val="22"/>
        </w:rPr>
        <w:t>takeholders</w:t>
      </w:r>
    </w:p>
    <w:p w14:paraId="497D3431" w14:textId="77777777" w:rsidR="00BD29DF" w:rsidRPr="004E09CE" w:rsidRDefault="00BD29DF" w:rsidP="007F2E9C">
      <w:pPr>
        <w:spacing w:line="276" w:lineRule="auto"/>
        <w:jc w:val="both"/>
        <w:rPr>
          <w:rFonts w:cs="Arial"/>
          <w:sz w:val="22"/>
          <w:szCs w:val="22"/>
        </w:rPr>
      </w:pPr>
    </w:p>
    <w:p w14:paraId="63480FB8" w14:textId="77777777" w:rsidR="00BD29DF" w:rsidRPr="00FC03D5" w:rsidRDefault="001C4733" w:rsidP="007F2E9C">
      <w:pPr>
        <w:spacing w:line="276" w:lineRule="auto"/>
        <w:jc w:val="both"/>
        <w:rPr>
          <w:rFonts w:cs="Arial"/>
          <w:sz w:val="22"/>
          <w:szCs w:val="22"/>
        </w:rPr>
      </w:pPr>
      <w:r w:rsidRPr="004E09CE">
        <w:rPr>
          <w:rFonts w:cs="Arial"/>
          <w:sz w:val="22"/>
          <w:szCs w:val="22"/>
        </w:rPr>
        <w:t xml:space="preserve">NGOs use non-financial data to monitor company activity/behaviour and to increase engagement with companies. </w:t>
      </w:r>
      <w:r w:rsidR="00BD29DF" w:rsidRPr="004E09CE">
        <w:rPr>
          <w:rFonts w:cs="Arial"/>
          <w:sz w:val="22"/>
          <w:szCs w:val="22"/>
        </w:rPr>
        <w:t>The increased transparency of non-fin</w:t>
      </w:r>
      <w:r w:rsidR="008F0E8C" w:rsidRPr="004E09CE">
        <w:rPr>
          <w:rFonts w:cs="Arial"/>
          <w:sz w:val="22"/>
          <w:szCs w:val="22"/>
        </w:rPr>
        <w:t>ancial information will benefit specific stakeholder</w:t>
      </w:r>
      <w:r w:rsidR="00BD29DF" w:rsidRPr="00266F21">
        <w:rPr>
          <w:rFonts w:cs="Arial"/>
          <w:sz w:val="22"/>
          <w:szCs w:val="22"/>
        </w:rPr>
        <w:t xml:space="preserve"> groups such as NGOs and other civil society organisations. NGOs with a range of different missions will be expected to benefit - </w:t>
      </w:r>
      <w:r w:rsidR="00BD29DF" w:rsidRPr="00FC03D5">
        <w:rPr>
          <w:rFonts w:cs="Arial"/>
          <w:sz w:val="22"/>
          <w:szCs w:val="22"/>
        </w:rPr>
        <w:t xml:space="preserve">those concerned with the environment (e.g. Greenpeace and Friends of the Earth); and NGOs active in the field of human rights (e.g. Amnesty International and SHIFT). In addition the information on employees and diversity will be of interest to Trade Unions. </w:t>
      </w:r>
    </w:p>
    <w:p w14:paraId="5E8FF077" w14:textId="77777777" w:rsidR="00E37A68" w:rsidRPr="00EE0E76" w:rsidRDefault="00E37A68" w:rsidP="007F2E9C">
      <w:pPr>
        <w:spacing w:line="276" w:lineRule="auto"/>
        <w:jc w:val="both"/>
        <w:rPr>
          <w:rFonts w:cs="Arial"/>
          <w:sz w:val="22"/>
          <w:szCs w:val="22"/>
        </w:rPr>
      </w:pPr>
    </w:p>
    <w:p w14:paraId="5308F147" w14:textId="77777777" w:rsidR="009E2E26" w:rsidRPr="001236C8" w:rsidRDefault="00513E1D" w:rsidP="009E2E26">
      <w:pPr>
        <w:spacing w:line="276" w:lineRule="auto"/>
        <w:jc w:val="both"/>
        <w:rPr>
          <w:rFonts w:cs="Arial"/>
          <w:sz w:val="22"/>
          <w:szCs w:val="22"/>
        </w:rPr>
      </w:pPr>
      <w:r w:rsidRPr="00EE0E76">
        <w:rPr>
          <w:rFonts w:cs="Arial"/>
          <w:sz w:val="22"/>
          <w:szCs w:val="22"/>
        </w:rPr>
        <w:t>Evidence gathered for the consultation stage IA included survey responses from two</w:t>
      </w:r>
      <w:r w:rsidR="00E37A68" w:rsidRPr="00EE0E76">
        <w:rPr>
          <w:rFonts w:cs="Arial"/>
          <w:sz w:val="22"/>
          <w:szCs w:val="22"/>
        </w:rPr>
        <w:t xml:space="preserve"> NGOs </w:t>
      </w:r>
      <w:r w:rsidRPr="00EE0E76">
        <w:rPr>
          <w:rFonts w:cs="Arial"/>
          <w:sz w:val="22"/>
          <w:szCs w:val="22"/>
        </w:rPr>
        <w:t>both of which</w:t>
      </w:r>
      <w:r w:rsidR="00E37A68" w:rsidRPr="00EE0E76">
        <w:rPr>
          <w:rFonts w:cs="Arial"/>
          <w:sz w:val="22"/>
          <w:szCs w:val="22"/>
        </w:rPr>
        <w:t xml:space="preserve"> said that they anticipate using the data that will be made available under the new requirements. Both organisations </w:t>
      </w:r>
      <w:r w:rsidRPr="00EE0E76">
        <w:rPr>
          <w:rFonts w:cs="Arial"/>
          <w:sz w:val="22"/>
          <w:szCs w:val="22"/>
        </w:rPr>
        <w:t>planned</w:t>
      </w:r>
      <w:r w:rsidR="00E37A68" w:rsidRPr="009D5978">
        <w:rPr>
          <w:rFonts w:cs="Arial"/>
          <w:sz w:val="22"/>
          <w:szCs w:val="22"/>
        </w:rPr>
        <w:t xml:space="preserve"> to use the data to monitor</w:t>
      </w:r>
      <w:r w:rsidR="00E37A68" w:rsidRPr="00FB3819">
        <w:rPr>
          <w:rFonts w:cs="Arial"/>
          <w:sz w:val="22"/>
          <w:szCs w:val="22"/>
        </w:rPr>
        <w:t xml:space="preserve"> company activity. In addition to that, one will use it to inform campaigns and another to inform engagement with businesses to tackle problems identified. Both organisations think that the new requirements will increase engagement with companies and will lead to better informed campaigns. One </w:t>
      </w:r>
      <w:r w:rsidR="009E2E26">
        <w:rPr>
          <w:rFonts w:cs="Arial"/>
          <w:sz w:val="22"/>
          <w:szCs w:val="22"/>
        </w:rPr>
        <w:t xml:space="preserve">of these </w:t>
      </w:r>
      <w:r w:rsidR="00E37A68" w:rsidRPr="00FB3819">
        <w:rPr>
          <w:rFonts w:cs="Arial"/>
          <w:sz w:val="22"/>
          <w:szCs w:val="22"/>
        </w:rPr>
        <w:t>organisation</w:t>
      </w:r>
      <w:r w:rsidR="009E2E26">
        <w:rPr>
          <w:rFonts w:cs="Arial"/>
          <w:sz w:val="22"/>
          <w:szCs w:val="22"/>
        </w:rPr>
        <w:t>s</w:t>
      </w:r>
      <w:r w:rsidR="00E37A68" w:rsidRPr="00FB3819">
        <w:rPr>
          <w:rFonts w:cs="Arial"/>
          <w:sz w:val="22"/>
          <w:szCs w:val="22"/>
        </w:rPr>
        <w:t xml:space="preserve"> envisages improved monitoring of company behaviours. One estimated £500 p</w:t>
      </w:r>
      <w:r w:rsidR="000820F5">
        <w:rPr>
          <w:rFonts w:cs="Arial"/>
          <w:sz w:val="22"/>
          <w:szCs w:val="22"/>
        </w:rPr>
        <w:t>er annum</w:t>
      </w:r>
      <w:r w:rsidR="00E37A68" w:rsidRPr="00FB3819">
        <w:rPr>
          <w:rFonts w:cs="Arial"/>
          <w:sz w:val="22"/>
          <w:szCs w:val="22"/>
        </w:rPr>
        <w:t xml:space="preserve"> benefits as a result of increased engagement with companies, £1000 p</w:t>
      </w:r>
      <w:r w:rsidR="000820F5">
        <w:rPr>
          <w:rFonts w:cs="Arial"/>
          <w:sz w:val="22"/>
          <w:szCs w:val="22"/>
        </w:rPr>
        <w:t>er annum</w:t>
      </w:r>
      <w:r w:rsidR="00E37A68" w:rsidRPr="00FB3819">
        <w:rPr>
          <w:rFonts w:cs="Arial"/>
          <w:sz w:val="22"/>
          <w:szCs w:val="22"/>
        </w:rPr>
        <w:t xml:space="preserve"> benefits as a result of better informed campaigns and £1,</w:t>
      </w:r>
      <w:r w:rsidR="00E37A68" w:rsidRPr="00672163">
        <w:rPr>
          <w:rFonts w:cs="Arial"/>
          <w:sz w:val="22"/>
          <w:szCs w:val="22"/>
        </w:rPr>
        <w:t>000 p</w:t>
      </w:r>
      <w:r w:rsidR="000820F5">
        <w:rPr>
          <w:rFonts w:cs="Arial"/>
          <w:sz w:val="22"/>
          <w:szCs w:val="22"/>
        </w:rPr>
        <w:t>er annum</w:t>
      </w:r>
      <w:r w:rsidR="00E37A68" w:rsidRPr="00672163">
        <w:rPr>
          <w:rFonts w:cs="Arial"/>
          <w:sz w:val="22"/>
          <w:szCs w:val="22"/>
        </w:rPr>
        <w:t xml:space="preserve"> </w:t>
      </w:r>
      <w:r w:rsidR="00E37A68" w:rsidRPr="00672163">
        <w:rPr>
          <w:rFonts w:cs="Arial"/>
          <w:sz w:val="22"/>
          <w:szCs w:val="22"/>
        </w:rPr>
        <w:lastRenderedPageBreak/>
        <w:t>benefits thanks to improved monitoring of company behaviours. This organisation explained that it calculated the benefits assuming that staff time will be saved because information that previously required time and effort to uncover will now be reported routinely. The benefits have been assessed as relatively small as they do not have corporate focussed campaigns planned at present, they perceive loopholes in the legislation, and important information still will not be published, whilst recognising that it is a worthwhile improvement on previous legislation.</w:t>
      </w:r>
      <w:r w:rsidR="009E2E26">
        <w:rPr>
          <w:rFonts w:cs="Arial"/>
          <w:sz w:val="22"/>
          <w:szCs w:val="22"/>
        </w:rPr>
        <w:t xml:space="preserve">  We treat this NGO’s estimates as indicative rather than precise – and therefore we do not extrapolate them in order to quantify the potential benefits arising from the option to the wider population of NGOs.</w:t>
      </w:r>
    </w:p>
    <w:p w14:paraId="191D07CA" w14:textId="77777777" w:rsidR="00E37A68" w:rsidRPr="00CF0B89" w:rsidRDefault="00E37A68" w:rsidP="00D64638">
      <w:pPr>
        <w:spacing w:line="276" w:lineRule="auto"/>
        <w:jc w:val="both"/>
        <w:rPr>
          <w:rFonts w:cs="Arial"/>
          <w:sz w:val="22"/>
          <w:szCs w:val="22"/>
        </w:rPr>
      </w:pPr>
    </w:p>
    <w:p w14:paraId="09C07F71" w14:textId="77777777" w:rsidR="00F60F47" w:rsidRPr="009145EC" w:rsidRDefault="00F60F47" w:rsidP="00D64638">
      <w:pPr>
        <w:spacing w:line="276" w:lineRule="auto"/>
        <w:jc w:val="both"/>
        <w:rPr>
          <w:rFonts w:cs="Arial"/>
          <w:sz w:val="22"/>
          <w:szCs w:val="22"/>
        </w:rPr>
      </w:pPr>
      <w:r w:rsidRPr="009B17B7">
        <w:rPr>
          <w:rFonts w:cs="Arial"/>
          <w:sz w:val="22"/>
          <w:szCs w:val="22"/>
        </w:rPr>
        <w:t xml:space="preserve">Consultation responses </w:t>
      </w:r>
      <w:r w:rsidR="0099118E" w:rsidRPr="009D463F">
        <w:rPr>
          <w:rFonts w:cs="Arial"/>
          <w:sz w:val="22"/>
          <w:szCs w:val="22"/>
        </w:rPr>
        <w:t xml:space="preserve">also </w:t>
      </w:r>
      <w:r w:rsidRPr="009D463F">
        <w:rPr>
          <w:rFonts w:cs="Arial"/>
          <w:sz w:val="22"/>
          <w:szCs w:val="22"/>
        </w:rPr>
        <w:t>indicated that NGOs attached value to the changes. There were 26 NGO respondents,</w:t>
      </w:r>
      <w:r w:rsidR="00513E1D" w:rsidRPr="009D463F">
        <w:rPr>
          <w:rFonts w:cs="Arial"/>
          <w:sz w:val="22"/>
          <w:szCs w:val="22"/>
        </w:rPr>
        <w:t xml:space="preserve"> all of whom supported the NFRD.</w:t>
      </w:r>
      <w:r w:rsidRPr="009D463F">
        <w:rPr>
          <w:rFonts w:cs="Arial"/>
          <w:sz w:val="22"/>
          <w:szCs w:val="22"/>
        </w:rPr>
        <w:t xml:space="preserve"> </w:t>
      </w:r>
      <w:r w:rsidR="0099118E" w:rsidRPr="009D463F">
        <w:rPr>
          <w:rFonts w:cs="Arial"/>
          <w:sz w:val="22"/>
          <w:szCs w:val="22"/>
        </w:rPr>
        <w:t xml:space="preserve">9 of </w:t>
      </w:r>
      <w:r w:rsidR="00513E1D" w:rsidRPr="004B5F0F">
        <w:rPr>
          <w:rFonts w:cs="Arial"/>
          <w:sz w:val="22"/>
          <w:szCs w:val="22"/>
        </w:rPr>
        <w:t>these</w:t>
      </w:r>
      <w:r w:rsidR="0099118E" w:rsidRPr="004B5F0F">
        <w:rPr>
          <w:rFonts w:cs="Arial"/>
          <w:sz w:val="22"/>
          <w:szCs w:val="22"/>
        </w:rPr>
        <w:t xml:space="preserve"> made general comments that the changes would have valuable benefits. </w:t>
      </w:r>
      <w:r w:rsidR="00513E1D" w:rsidRPr="0063153B">
        <w:rPr>
          <w:rFonts w:cs="Arial"/>
          <w:sz w:val="22"/>
          <w:szCs w:val="22"/>
        </w:rPr>
        <w:t>One NGO stated that ‘</w:t>
      </w:r>
      <w:r w:rsidRPr="0063153B">
        <w:rPr>
          <w:rFonts w:cs="Arial"/>
          <w:sz w:val="22"/>
          <w:szCs w:val="22"/>
        </w:rPr>
        <w:t>There are clear advantages to investors, businesses, employees and broader society if senior managers within a company have a better understanding of its activities, impacts and risks in relation to enviro</w:t>
      </w:r>
      <w:r w:rsidRPr="00BF773B">
        <w:rPr>
          <w:rFonts w:cs="Arial"/>
          <w:sz w:val="22"/>
          <w:szCs w:val="22"/>
        </w:rPr>
        <w:t>nmental, social and employee matters, respect for human rights, anti-corruption and bribery matters, and the outcomes of its policies for these areas.</w:t>
      </w:r>
      <w:r w:rsidR="00513E1D" w:rsidRPr="00BF773B">
        <w:rPr>
          <w:rFonts w:cs="Arial"/>
          <w:sz w:val="22"/>
          <w:szCs w:val="22"/>
        </w:rPr>
        <w:t>’</w:t>
      </w:r>
      <w:r w:rsidR="0099118E" w:rsidRPr="006A2772">
        <w:rPr>
          <w:rFonts w:cs="Arial"/>
          <w:sz w:val="22"/>
          <w:szCs w:val="22"/>
        </w:rPr>
        <w:t xml:space="preserve"> This view was reiterated at </w:t>
      </w:r>
      <w:r w:rsidR="00551A14" w:rsidRPr="006A2772">
        <w:rPr>
          <w:rFonts w:cs="Arial"/>
          <w:sz w:val="22"/>
          <w:szCs w:val="22"/>
        </w:rPr>
        <w:t xml:space="preserve">our </w:t>
      </w:r>
      <w:r w:rsidR="0099118E" w:rsidRPr="006A2772">
        <w:rPr>
          <w:rFonts w:cs="Arial"/>
          <w:sz w:val="22"/>
          <w:szCs w:val="22"/>
        </w:rPr>
        <w:t xml:space="preserve">stakeholder meetings. </w:t>
      </w:r>
    </w:p>
    <w:p w14:paraId="38E5C83A" w14:textId="77777777" w:rsidR="00F60F47" w:rsidRPr="00BE0BD9" w:rsidRDefault="00F60F47" w:rsidP="00D64638">
      <w:pPr>
        <w:spacing w:line="276" w:lineRule="auto"/>
        <w:jc w:val="both"/>
        <w:rPr>
          <w:rFonts w:cs="Arial"/>
          <w:sz w:val="22"/>
          <w:szCs w:val="22"/>
        </w:rPr>
      </w:pPr>
    </w:p>
    <w:p w14:paraId="623F190F" w14:textId="77777777" w:rsidR="00BD29DF" w:rsidRPr="00D45B85" w:rsidRDefault="00BD29DF" w:rsidP="00D64638">
      <w:pPr>
        <w:spacing w:line="276" w:lineRule="auto"/>
        <w:jc w:val="both"/>
        <w:rPr>
          <w:rFonts w:cs="Arial"/>
          <w:sz w:val="22"/>
          <w:szCs w:val="22"/>
        </w:rPr>
      </w:pPr>
      <w:r w:rsidRPr="006753F0">
        <w:rPr>
          <w:rFonts w:cs="Arial"/>
          <w:sz w:val="22"/>
          <w:szCs w:val="22"/>
        </w:rPr>
        <w:t>The new requirement may also have an impact on the level of consumer</w:t>
      </w:r>
      <w:r w:rsidR="00551A14" w:rsidRPr="006753F0">
        <w:rPr>
          <w:rFonts w:cs="Arial"/>
          <w:sz w:val="22"/>
          <w:szCs w:val="22"/>
        </w:rPr>
        <w:t xml:space="preserve"> and employee</w:t>
      </w:r>
      <w:r w:rsidRPr="006753F0">
        <w:rPr>
          <w:rFonts w:cs="Arial"/>
          <w:sz w:val="22"/>
          <w:szCs w:val="22"/>
        </w:rPr>
        <w:t xml:space="preserve"> trust in companies, as consumers may question, for instance, whether suppliers of products and services respect applicable rules and regulations, and whether consumer protection considerations are effectively taken into account in a company’s strategy</w:t>
      </w:r>
      <w:r w:rsidRPr="00D45B85">
        <w:rPr>
          <w:rStyle w:val="FootnoteReference"/>
          <w:rFonts w:cs="Arial"/>
          <w:szCs w:val="22"/>
        </w:rPr>
        <w:footnoteReference w:id="31"/>
      </w:r>
      <w:r w:rsidRPr="00D45B85">
        <w:rPr>
          <w:rFonts w:cs="Arial"/>
          <w:sz w:val="22"/>
          <w:szCs w:val="22"/>
        </w:rPr>
        <w:t xml:space="preserve">. </w:t>
      </w:r>
    </w:p>
    <w:p w14:paraId="29B132EF" w14:textId="77777777" w:rsidR="00BD29DF" w:rsidRPr="004E09CE" w:rsidRDefault="00BD29DF" w:rsidP="00D64638">
      <w:pPr>
        <w:spacing w:line="276" w:lineRule="auto"/>
        <w:jc w:val="both"/>
        <w:rPr>
          <w:rFonts w:cs="Arial"/>
          <w:sz w:val="22"/>
          <w:szCs w:val="22"/>
        </w:rPr>
      </w:pPr>
    </w:p>
    <w:p w14:paraId="0DFBD68A" w14:textId="77777777" w:rsidR="001C4733" w:rsidRPr="004E09CE" w:rsidRDefault="001C4733" w:rsidP="00DE37C0">
      <w:pPr>
        <w:keepNext/>
        <w:spacing w:line="276" w:lineRule="auto"/>
        <w:jc w:val="both"/>
        <w:rPr>
          <w:rFonts w:cs="Arial"/>
          <w:b/>
          <w:i/>
          <w:sz w:val="22"/>
          <w:szCs w:val="22"/>
        </w:rPr>
      </w:pPr>
      <w:r w:rsidRPr="004E09CE">
        <w:rPr>
          <w:rFonts w:cs="Arial"/>
          <w:b/>
          <w:i/>
          <w:sz w:val="22"/>
          <w:szCs w:val="22"/>
        </w:rPr>
        <w:t>Benefits to companies</w:t>
      </w:r>
    </w:p>
    <w:p w14:paraId="11622C33" w14:textId="77777777" w:rsidR="001C4733" w:rsidRPr="004E09CE" w:rsidRDefault="001C4733" w:rsidP="00DE37C0">
      <w:pPr>
        <w:keepNext/>
        <w:spacing w:line="276" w:lineRule="auto"/>
        <w:jc w:val="both"/>
        <w:rPr>
          <w:rFonts w:cs="Arial"/>
          <w:sz w:val="22"/>
          <w:szCs w:val="22"/>
        </w:rPr>
      </w:pPr>
    </w:p>
    <w:p w14:paraId="7E465F9D" w14:textId="77777777" w:rsidR="00157CF4" w:rsidRPr="009F7CD7" w:rsidRDefault="00F22AB2" w:rsidP="00D64638">
      <w:pPr>
        <w:spacing w:line="276" w:lineRule="auto"/>
        <w:jc w:val="both"/>
        <w:rPr>
          <w:rFonts w:cs="Arial"/>
          <w:sz w:val="22"/>
          <w:szCs w:val="22"/>
        </w:rPr>
      </w:pPr>
      <w:r w:rsidRPr="004E09CE">
        <w:rPr>
          <w:rFonts w:cs="Arial"/>
          <w:sz w:val="22"/>
          <w:szCs w:val="22"/>
        </w:rPr>
        <w:t xml:space="preserve">By focusing on policies, including risks and opportunities, companies will be more likely to integrate non-financial risks into their strategies and business models. This information, when presented to the board and shareholders, will allow them a more integrated and thorough view of the company and make them </w:t>
      </w:r>
      <w:r w:rsidRPr="009F7CD7">
        <w:rPr>
          <w:rFonts w:cs="Arial"/>
          <w:sz w:val="22"/>
          <w:szCs w:val="22"/>
        </w:rPr>
        <w:t xml:space="preserve">better equipped to be active stewards of the companies. Furthermore, especially for companies new to non-financial reporting, it may optimise processes and systems related to the collection and analysis of non-financial information. EU </w:t>
      </w:r>
      <w:r w:rsidR="0025657D" w:rsidRPr="009F7CD7">
        <w:rPr>
          <w:rFonts w:cs="Arial"/>
          <w:sz w:val="22"/>
          <w:szCs w:val="22"/>
        </w:rPr>
        <w:t>e</w:t>
      </w:r>
      <w:r w:rsidRPr="009F7CD7">
        <w:rPr>
          <w:rFonts w:cs="Arial"/>
          <w:sz w:val="22"/>
          <w:szCs w:val="22"/>
        </w:rPr>
        <w:t>vidence</w:t>
      </w:r>
      <w:r w:rsidRPr="009F7CD7">
        <w:rPr>
          <w:rStyle w:val="FootnoteReference"/>
          <w:rFonts w:cs="Arial"/>
          <w:szCs w:val="22"/>
        </w:rPr>
        <w:footnoteReference w:id="32"/>
      </w:r>
      <w:r w:rsidRPr="009F7CD7">
        <w:rPr>
          <w:rFonts w:cs="Arial"/>
          <w:sz w:val="22"/>
          <w:szCs w:val="22"/>
        </w:rPr>
        <w:t xml:space="preserve"> suggests that improving the quantity and comparability of non-financial disclosures has a positive impact on company performance in the medium and long term. For instance, companies that report on corporate social responsibility (CSR) can have higher rates of employee retention, attraction and motivation; and greater consumer loyalty. </w:t>
      </w:r>
    </w:p>
    <w:p w14:paraId="6CCF07FD" w14:textId="77777777" w:rsidR="00157CF4" w:rsidRPr="009F7CD7" w:rsidRDefault="00157CF4" w:rsidP="00D64638">
      <w:pPr>
        <w:spacing w:line="276" w:lineRule="auto"/>
        <w:jc w:val="both"/>
        <w:rPr>
          <w:rFonts w:cs="Arial"/>
          <w:sz w:val="22"/>
          <w:szCs w:val="22"/>
        </w:rPr>
      </w:pPr>
    </w:p>
    <w:p w14:paraId="5D725BC9" w14:textId="77777777" w:rsidR="00D61DDF" w:rsidRPr="009F7CD7" w:rsidRDefault="003E7276" w:rsidP="00D64638">
      <w:pPr>
        <w:spacing w:line="276" w:lineRule="auto"/>
        <w:jc w:val="both"/>
        <w:rPr>
          <w:rFonts w:cs="Arial"/>
          <w:sz w:val="22"/>
          <w:szCs w:val="22"/>
        </w:rPr>
      </w:pPr>
      <w:r w:rsidRPr="009F7CD7">
        <w:rPr>
          <w:rFonts w:cs="Arial"/>
          <w:sz w:val="22"/>
          <w:szCs w:val="22"/>
        </w:rPr>
        <w:t>Finally, the requirement to disclose the company’s diversity policy could encourage companies to take account of the need for a more diverse range of views in the boardroom to provide robust challenge to the company’s management.</w:t>
      </w:r>
      <w:r w:rsidR="00157CF4" w:rsidRPr="009F7CD7">
        <w:rPr>
          <w:rStyle w:val="FootnoteReference"/>
          <w:rFonts w:cs="Arial"/>
          <w:szCs w:val="22"/>
        </w:rPr>
        <w:footnoteReference w:id="33"/>
      </w:r>
      <w:r w:rsidR="00157CF4" w:rsidRPr="009F7CD7">
        <w:rPr>
          <w:rFonts w:cs="Arial"/>
          <w:sz w:val="22"/>
          <w:szCs w:val="22"/>
        </w:rPr>
        <w:t xml:space="preserve"> </w:t>
      </w:r>
      <w:r w:rsidR="009F7CD7">
        <w:rPr>
          <w:rFonts w:cs="Arial"/>
          <w:sz w:val="22"/>
          <w:szCs w:val="22"/>
        </w:rPr>
        <w:t>Evidence suggests that g</w:t>
      </w:r>
      <w:r w:rsidR="00157CF4" w:rsidRPr="009F7CD7">
        <w:rPr>
          <w:rFonts w:cs="Arial"/>
          <w:sz w:val="22"/>
          <w:szCs w:val="22"/>
        </w:rPr>
        <w:t>roups that are more diverse can also be more creative, have a greater range of perspectives and provide a better range of solutions to problems</w:t>
      </w:r>
      <w:r w:rsidR="00157CF4" w:rsidRPr="009F7CD7">
        <w:rPr>
          <w:rStyle w:val="FootnoteReference"/>
          <w:rFonts w:cs="Arial"/>
          <w:szCs w:val="22"/>
        </w:rPr>
        <w:footnoteReference w:id="34"/>
      </w:r>
      <w:r w:rsidR="00157CF4" w:rsidRPr="009F7CD7">
        <w:rPr>
          <w:rFonts w:cs="Arial"/>
          <w:sz w:val="22"/>
          <w:szCs w:val="22"/>
        </w:rPr>
        <w:t>. For example, directors from diverse ethnic or cultural backgrounds might ask questions that would not normally occur to directors with backgrounds that have been more typical in boardrooms historically</w:t>
      </w:r>
      <w:r w:rsidR="00157CF4" w:rsidRPr="009F7CD7">
        <w:rPr>
          <w:rStyle w:val="FootnoteReference"/>
          <w:rFonts w:cs="Arial"/>
          <w:szCs w:val="22"/>
        </w:rPr>
        <w:footnoteReference w:id="35"/>
      </w:r>
      <w:r w:rsidR="009F7CD7" w:rsidRPr="009F7CD7">
        <w:rPr>
          <w:rFonts w:cs="Arial"/>
          <w:sz w:val="22"/>
          <w:szCs w:val="22"/>
        </w:rPr>
        <w:t>.</w:t>
      </w:r>
      <w:r w:rsidR="009F7CD7" w:rsidRPr="009F7CD7">
        <w:rPr>
          <w:rFonts w:cs="Arial"/>
        </w:rPr>
        <w:t xml:space="preserve"> </w:t>
      </w:r>
    </w:p>
    <w:p w14:paraId="073816FF" w14:textId="77777777" w:rsidR="0089655D" w:rsidRDefault="0089655D" w:rsidP="00D64638">
      <w:pPr>
        <w:pStyle w:val="EBBullet"/>
        <w:keepNext/>
        <w:numPr>
          <w:ilvl w:val="0"/>
          <w:numId w:val="0"/>
        </w:numPr>
        <w:spacing w:line="276" w:lineRule="auto"/>
        <w:jc w:val="both"/>
      </w:pPr>
    </w:p>
    <w:p w14:paraId="0DD6FA79" w14:textId="77777777" w:rsidR="00D61DDF" w:rsidRPr="00EE0E76" w:rsidRDefault="00755917" w:rsidP="00D64638">
      <w:pPr>
        <w:pStyle w:val="EBBullet"/>
        <w:keepNext/>
        <w:numPr>
          <w:ilvl w:val="0"/>
          <w:numId w:val="0"/>
        </w:numPr>
        <w:spacing w:line="276" w:lineRule="auto"/>
        <w:jc w:val="both"/>
      </w:pPr>
      <w:r>
        <w:t xml:space="preserve">Further evidence of the benefits to companies from the disclosure requirements on them is provided by the interim findings of our </w:t>
      </w:r>
      <w:r w:rsidR="000262F4">
        <w:t xml:space="preserve">current </w:t>
      </w:r>
      <w:r>
        <w:t>research project.</w:t>
      </w:r>
      <w:r>
        <w:rPr>
          <w:rStyle w:val="FootnoteReference"/>
        </w:rPr>
        <w:footnoteReference w:id="36"/>
      </w:r>
      <w:r>
        <w:t xml:space="preserve"> The survey asked companies about the impacts of current non-financial reporting (NFR) requirements on them. I</w:t>
      </w:r>
      <w:r w:rsidR="00E36E3A" w:rsidRPr="004E09CE">
        <w:t xml:space="preserve">nterim results </w:t>
      </w:r>
      <w:r w:rsidR="000262F4">
        <w:t xml:space="preserve">show </w:t>
      </w:r>
      <w:r w:rsidR="009D39D7" w:rsidRPr="00FC03D5">
        <w:t xml:space="preserve">evidence of impact of </w:t>
      </w:r>
      <w:r w:rsidR="009D39D7" w:rsidRPr="00FC03D5">
        <w:lastRenderedPageBreak/>
        <w:t>NFR on company policies and approach.</w:t>
      </w:r>
      <w:r w:rsidR="00743475" w:rsidRPr="00FC03D5">
        <w:t xml:space="preserve"> Out of responses from 60 quoted companies</w:t>
      </w:r>
      <w:r w:rsidR="000262F4">
        <w:t xml:space="preserve"> (which have been subject to the UK’s enhanced NFR requirements since the 2013 reforms)</w:t>
      </w:r>
      <w:r w:rsidR="00743475" w:rsidRPr="00FC03D5">
        <w:t>, survey results showed that</w:t>
      </w:r>
      <w:r w:rsidR="00E66F35">
        <w:t>:</w:t>
      </w:r>
    </w:p>
    <w:p w14:paraId="0B53B287" w14:textId="77777777" w:rsidR="00E36E3A" w:rsidRPr="00EE0E76" w:rsidRDefault="00E36E3A" w:rsidP="00D64638">
      <w:pPr>
        <w:pStyle w:val="EBBullet"/>
        <w:keepNext/>
        <w:numPr>
          <w:ilvl w:val="0"/>
          <w:numId w:val="41"/>
        </w:numPr>
        <w:spacing w:line="276" w:lineRule="auto"/>
        <w:jc w:val="both"/>
      </w:pPr>
      <w:r w:rsidRPr="00EE0E76">
        <w:t xml:space="preserve">15% of companies experienced a change to </w:t>
      </w:r>
      <w:r w:rsidR="004F2D5C" w:rsidRPr="00EE0E76">
        <w:rPr>
          <w:rFonts w:eastAsiaTheme="minorEastAsia"/>
          <w:color w:val="000000" w:themeColor="text1"/>
          <w:kern w:val="24"/>
        </w:rPr>
        <w:t>business policies</w:t>
      </w:r>
      <w:r w:rsidRPr="00EE0E76">
        <w:rPr>
          <w:rFonts w:eastAsiaTheme="minorEastAsia"/>
          <w:color w:val="000000" w:themeColor="text1"/>
          <w:kern w:val="24"/>
        </w:rPr>
        <w:t>/approach to employee matters over the last two years, and 44% of these attributed the changes to their NFR</w:t>
      </w:r>
      <w:r w:rsidR="0025657D">
        <w:rPr>
          <w:rFonts w:eastAsiaTheme="minorEastAsia"/>
          <w:color w:val="000000" w:themeColor="text1"/>
          <w:kern w:val="24"/>
        </w:rPr>
        <w:t>.</w:t>
      </w:r>
    </w:p>
    <w:p w14:paraId="24F48BDC" w14:textId="77777777" w:rsidR="00E36E3A" w:rsidRPr="009D463F" w:rsidRDefault="009D39D7" w:rsidP="00D64638">
      <w:pPr>
        <w:pStyle w:val="EBBullet"/>
        <w:keepNext/>
        <w:numPr>
          <w:ilvl w:val="0"/>
          <w:numId w:val="41"/>
        </w:numPr>
        <w:spacing w:line="276" w:lineRule="auto"/>
        <w:jc w:val="both"/>
      </w:pPr>
      <w:r w:rsidRPr="009D5978">
        <w:t>7</w:t>
      </w:r>
      <w:r w:rsidR="00E36E3A" w:rsidRPr="00FB3819">
        <w:t xml:space="preserve">% of companies experienced a change to </w:t>
      </w:r>
      <w:r w:rsidR="004F2D5C" w:rsidRPr="00FB3819">
        <w:rPr>
          <w:rFonts w:eastAsiaTheme="minorEastAsia"/>
          <w:color w:val="000000" w:themeColor="text1"/>
          <w:kern w:val="24"/>
        </w:rPr>
        <w:t>business policies/</w:t>
      </w:r>
      <w:r w:rsidR="00E36E3A" w:rsidRPr="00672163">
        <w:rPr>
          <w:rFonts w:eastAsiaTheme="minorEastAsia"/>
          <w:color w:val="000000" w:themeColor="text1"/>
          <w:kern w:val="24"/>
        </w:rPr>
        <w:t>approach to e</w:t>
      </w:r>
      <w:r w:rsidRPr="00672163">
        <w:rPr>
          <w:rFonts w:eastAsiaTheme="minorEastAsia"/>
          <w:color w:val="000000" w:themeColor="text1"/>
          <w:kern w:val="24"/>
        </w:rPr>
        <w:t>nvironmental</w:t>
      </w:r>
      <w:r w:rsidR="00E36E3A" w:rsidRPr="00672163">
        <w:rPr>
          <w:rFonts w:eastAsiaTheme="minorEastAsia"/>
          <w:color w:val="000000" w:themeColor="text1"/>
          <w:kern w:val="24"/>
        </w:rPr>
        <w:t xml:space="preserve"> matters over the </w:t>
      </w:r>
      <w:r w:rsidR="00E36E3A" w:rsidRPr="001236C8">
        <w:rPr>
          <w:rFonts w:eastAsiaTheme="minorEastAsia"/>
          <w:color w:val="000000" w:themeColor="text1"/>
          <w:kern w:val="24"/>
        </w:rPr>
        <w:t xml:space="preserve">last two years, and </w:t>
      </w:r>
      <w:r w:rsidRPr="00CF0B89">
        <w:rPr>
          <w:rFonts w:eastAsiaTheme="minorEastAsia"/>
          <w:color w:val="000000" w:themeColor="text1"/>
          <w:kern w:val="24"/>
        </w:rPr>
        <w:t>50</w:t>
      </w:r>
      <w:r w:rsidR="00E36E3A" w:rsidRPr="009B17B7">
        <w:rPr>
          <w:rFonts w:eastAsiaTheme="minorEastAsia"/>
          <w:color w:val="000000" w:themeColor="text1"/>
          <w:kern w:val="24"/>
        </w:rPr>
        <w:t>% of these attributed the changes to their NFR</w:t>
      </w:r>
      <w:r w:rsidR="0025657D">
        <w:rPr>
          <w:rFonts w:eastAsiaTheme="minorEastAsia"/>
          <w:color w:val="000000" w:themeColor="text1"/>
          <w:kern w:val="24"/>
        </w:rPr>
        <w:t>.</w:t>
      </w:r>
    </w:p>
    <w:p w14:paraId="54A62DD8" w14:textId="77777777" w:rsidR="00E36E3A" w:rsidRPr="0063153B" w:rsidRDefault="009D39D7" w:rsidP="00D64638">
      <w:pPr>
        <w:pStyle w:val="EBBullet"/>
        <w:keepNext/>
        <w:numPr>
          <w:ilvl w:val="0"/>
          <w:numId w:val="41"/>
        </w:numPr>
        <w:spacing w:line="276" w:lineRule="auto"/>
        <w:jc w:val="both"/>
      </w:pPr>
      <w:r w:rsidRPr="009D463F">
        <w:t>10</w:t>
      </w:r>
      <w:r w:rsidR="00E36E3A" w:rsidRPr="009D463F">
        <w:t xml:space="preserve">% of companies experienced a change to </w:t>
      </w:r>
      <w:r w:rsidR="004F2D5C" w:rsidRPr="009D463F">
        <w:rPr>
          <w:rFonts w:eastAsiaTheme="minorEastAsia"/>
          <w:color w:val="000000" w:themeColor="text1"/>
          <w:kern w:val="24"/>
        </w:rPr>
        <w:t>business policies/</w:t>
      </w:r>
      <w:r w:rsidR="00E36E3A" w:rsidRPr="009D463F">
        <w:rPr>
          <w:rFonts w:eastAsiaTheme="minorEastAsia"/>
          <w:color w:val="000000" w:themeColor="text1"/>
          <w:kern w:val="24"/>
        </w:rPr>
        <w:t xml:space="preserve">approach to </w:t>
      </w:r>
      <w:r w:rsidRPr="004B5F0F">
        <w:rPr>
          <w:rFonts w:eastAsiaTheme="minorEastAsia"/>
          <w:color w:val="000000" w:themeColor="text1"/>
          <w:kern w:val="24"/>
        </w:rPr>
        <w:t>human rights</w:t>
      </w:r>
      <w:r w:rsidR="00E36E3A" w:rsidRPr="004B5F0F">
        <w:rPr>
          <w:rFonts w:eastAsiaTheme="minorEastAsia"/>
          <w:color w:val="000000" w:themeColor="text1"/>
          <w:kern w:val="24"/>
        </w:rPr>
        <w:t xml:space="preserve"> matters over the last two years, and </w:t>
      </w:r>
      <w:r w:rsidRPr="004B5F0F">
        <w:rPr>
          <w:rFonts w:eastAsiaTheme="minorEastAsia"/>
          <w:color w:val="000000" w:themeColor="text1"/>
          <w:kern w:val="24"/>
        </w:rPr>
        <w:t>83</w:t>
      </w:r>
      <w:r w:rsidR="00E36E3A" w:rsidRPr="0063153B">
        <w:rPr>
          <w:rFonts w:eastAsiaTheme="minorEastAsia"/>
          <w:color w:val="000000" w:themeColor="text1"/>
          <w:kern w:val="24"/>
        </w:rPr>
        <w:t>% of these attributed the changes to their NFR</w:t>
      </w:r>
      <w:r w:rsidR="0025657D">
        <w:rPr>
          <w:rFonts w:eastAsiaTheme="minorEastAsia"/>
          <w:color w:val="000000" w:themeColor="text1"/>
          <w:kern w:val="24"/>
        </w:rPr>
        <w:t>.</w:t>
      </w:r>
    </w:p>
    <w:p w14:paraId="063996C8" w14:textId="77777777" w:rsidR="00E36E3A" w:rsidRPr="00426DD2" w:rsidRDefault="009D39D7" w:rsidP="00D64638">
      <w:pPr>
        <w:pStyle w:val="EBBullet"/>
        <w:keepNext/>
        <w:numPr>
          <w:ilvl w:val="0"/>
          <w:numId w:val="41"/>
        </w:numPr>
        <w:spacing w:line="276" w:lineRule="auto"/>
        <w:jc w:val="both"/>
      </w:pPr>
      <w:r w:rsidRPr="00BF773B">
        <w:t>7</w:t>
      </w:r>
      <w:r w:rsidR="00E36E3A" w:rsidRPr="00BF773B">
        <w:t>% of companies e</w:t>
      </w:r>
      <w:r w:rsidR="00E36E3A" w:rsidRPr="006A2772">
        <w:t xml:space="preserve">xperienced a change to </w:t>
      </w:r>
      <w:r w:rsidR="004F2D5C" w:rsidRPr="006A2772">
        <w:rPr>
          <w:rFonts w:eastAsiaTheme="minorEastAsia"/>
          <w:color w:val="000000" w:themeColor="text1"/>
          <w:kern w:val="24"/>
        </w:rPr>
        <w:t>business policies/</w:t>
      </w:r>
      <w:r w:rsidR="00E36E3A" w:rsidRPr="006A2772">
        <w:rPr>
          <w:rFonts w:eastAsiaTheme="minorEastAsia"/>
          <w:color w:val="000000" w:themeColor="text1"/>
          <w:kern w:val="24"/>
        </w:rPr>
        <w:t xml:space="preserve">approach to </w:t>
      </w:r>
      <w:r w:rsidRPr="009145EC">
        <w:rPr>
          <w:rFonts w:eastAsiaTheme="minorEastAsia"/>
          <w:color w:val="000000" w:themeColor="text1"/>
          <w:kern w:val="24"/>
        </w:rPr>
        <w:t>social and community matters</w:t>
      </w:r>
      <w:r w:rsidR="00E36E3A" w:rsidRPr="009145EC">
        <w:rPr>
          <w:rFonts w:eastAsiaTheme="minorEastAsia"/>
          <w:color w:val="000000" w:themeColor="text1"/>
          <w:kern w:val="24"/>
        </w:rPr>
        <w:t xml:space="preserve"> over the last two years, and </w:t>
      </w:r>
      <w:r w:rsidRPr="00303289">
        <w:rPr>
          <w:rFonts w:eastAsiaTheme="minorEastAsia"/>
          <w:color w:val="000000" w:themeColor="text1"/>
          <w:kern w:val="24"/>
        </w:rPr>
        <w:t>67</w:t>
      </w:r>
      <w:r w:rsidR="00E36E3A" w:rsidRPr="00BE0BD9">
        <w:rPr>
          <w:rFonts w:eastAsiaTheme="minorEastAsia"/>
          <w:color w:val="000000" w:themeColor="text1"/>
          <w:kern w:val="24"/>
        </w:rPr>
        <w:t>% of these attributed the changes to their NFR</w:t>
      </w:r>
      <w:r w:rsidR="0025657D">
        <w:rPr>
          <w:rFonts w:eastAsiaTheme="minorEastAsia"/>
          <w:color w:val="000000" w:themeColor="text1"/>
          <w:kern w:val="24"/>
        </w:rPr>
        <w:t>.</w:t>
      </w:r>
    </w:p>
    <w:p w14:paraId="6A5A2BEE" w14:textId="77777777" w:rsidR="00E36E3A" w:rsidRPr="006753F0" w:rsidRDefault="009D39D7" w:rsidP="00D64638">
      <w:pPr>
        <w:pStyle w:val="EBBullet"/>
        <w:keepNext/>
        <w:numPr>
          <w:ilvl w:val="0"/>
          <w:numId w:val="41"/>
        </w:numPr>
        <w:spacing w:line="276" w:lineRule="auto"/>
        <w:jc w:val="both"/>
      </w:pPr>
      <w:r w:rsidRPr="006753F0">
        <w:t xml:space="preserve">12% of companies experienced a change to </w:t>
      </w:r>
      <w:r w:rsidR="004F2D5C" w:rsidRPr="006753F0">
        <w:rPr>
          <w:rFonts w:eastAsiaTheme="minorEastAsia"/>
          <w:color w:val="000000" w:themeColor="text1"/>
          <w:kern w:val="24"/>
        </w:rPr>
        <w:t>business policies/</w:t>
      </w:r>
      <w:r w:rsidRPr="006753F0">
        <w:rPr>
          <w:rFonts w:eastAsiaTheme="minorEastAsia"/>
          <w:color w:val="000000" w:themeColor="text1"/>
          <w:kern w:val="24"/>
        </w:rPr>
        <w:t>approach to gender distribution of staff over the last two years, and 86% of these attributed the changes to their NFR</w:t>
      </w:r>
      <w:r w:rsidR="0025657D">
        <w:rPr>
          <w:rFonts w:eastAsiaTheme="minorEastAsia"/>
          <w:color w:val="000000" w:themeColor="text1"/>
          <w:kern w:val="24"/>
        </w:rPr>
        <w:t>.</w:t>
      </w:r>
    </w:p>
    <w:p w14:paraId="205428EC" w14:textId="77777777" w:rsidR="00743475" w:rsidRPr="00BA6CA2" w:rsidRDefault="004F2D5C" w:rsidP="00D64638">
      <w:pPr>
        <w:pStyle w:val="NormalWeb"/>
        <w:spacing w:before="0" w:beforeAutospacing="0" w:after="0" w:afterAutospacing="0" w:line="276" w:lineRule="auto"/>
        <w:jc w:val="both"/>
        <w:rPr>
          <w:rFonts w:ascii="Arial" w:hAnsi="Arial" w:cs="Arial"/>
          <w:sz w:val="22"/>
          <w:szCs w:val="22"/>
        </w:rPr>
      </w:pPr>
      <w:r w:rsidRPr="006753F0">
        <w:rPr>
          <w:rFonts w:ascii="Arial" w:hAnsi="Arial" w:cs="Arial"/>
          <w:sz w:val="22"/>
          <w:szCs w:val="22"/>
        </w:rPr>
        <w:t>76% of</w:t>
      </w:r>
      <w:r w:rsidR="00743475" w:rsidRPr="00EB7A0C">
        <w:rPr>
          <w:rFonts w:ascii="Arial" w:hAnsi="Arial" w:cs="Arial"/>
          <w:sz w:val="22"/>
          <w:szCs w:val="22"/>
        </w:rPr>
        <w:t xml:space="preserve"> companies tended to agree or strongly agreed that </w:t>
      </w:r>
      <w:r w:rsidR="00743475" w:rsidRPr="00EB7A0C">
        <w:rPr>
          <w:rFonts w:ascii="Arial" w:eastAsiaTheme="minorEastAsia" w:hAnsi="Arial" w:cs="Arial"/>
          <w:kern w:val="24"/>
          <w:sz w:val="22"/>
          <w:szCs w:val="22"/>
        </w:rPr>
        <w:t xml:space="preserve">NFR encourages companies to consider </w:t>
      </w:r>
      <w:r w:rsidR="009E2E26">
        <w:rPr>
          <w:rFonts w:ascii="Arial" w:eastAsiaTheme="minorEastAsia" w:hAnsi="Arial" w:cs="Arial"/>
          <w:kern w:val="24"/>
          <w:sz w:val="22"/>
          <w:szCs w:val="22"/>
        </w:rPr>
        <w:t>n</w:t>
      </w:r>
      <w:r w:rsidR="00743475" w:rsidRPr="00EB7A0C">
        <w:rPr>
          <w:rFonts w:ascii="Arial" w:eastAsiaTheme="minorEastAsia" w:hAnsi="Arial" w:cs="Arial"/>
          <w:kern w:val="24"/>
          <w:sz w:val="22"/>
          <w:szCs w:val="22"/>
        </w:rPr>
        <w:t>on-</w:t>
      </w:r>
      <w:r w:rsidR="009E2E26">
        <w:rPr>
          <w:rFonts w:ascii="Arial" w:eastAsiaTheme="minorEastAsia" w:hAnsi="Arial" w:cs="Arial"/>
          <w:kern w:val="24"/>
          <w:sz w:val="22"/>
          <w:szCs w:val="22"/>
        </w:rPr>
        <w:t>f</w:t>
      </w:r>
      <w:r w:rsidR="00743475" w:rsidRPr="00EB7A0C">
        <w:rPr>
          <w:rFonts w:ascii="Arial" w:eastAsiaTheme="minorEastAsia" w:hAnsi="Arial" w:cs="Arial"/>
          <w:kern w:val="24"/>
          <w:sz w:val="22"/>
          <w:szCs w:val="22"/>
        </w:rPr>
        <w:t xml:space="preserve">inancial matters in the course of their business. 83% </w:t>
      </w:r>
      <w:r w:rsidRPr="00EB7A0C">
        <w:rPr>
          <w:rFonts w:ascii="Arial" w:eastAsiaTheme="minorEastAsia" w:hAnsi="Arial" w:cs="Arial"/>
          <w:kern w:val="24"/>
          <w:sz w:val="22"/>
          <w:szCs w:val="22"/>
        </w:rPr>
        <w:t xml:space="preserve">said </w:t>
      </w:r>
      <w:r w:rsidR="00743475" w:rsidRPr="00BA6CA2">
        <w:rPr>
          <w:rFonts w:ascii="Arial" w:eastAsiaTheme="minorEastAsia" w:hAnsi="Arial" w:cs="Arial"/>
          <w:kern w:val="24"/>
          <w:sz w:val="22"/>
          <w:szCs w:val="22"/>
        </w:rPr>
        <w:t>NFR increa</w:t>
      </w:r>
      <w:r w:rsidRPr="00BA6CA2">
        <w:rPr>
          <w:rFonts w:ascii="Arial" w:eastAsiaTheme="minorEastAsia" w:hAnsi="Arial" w:cs="Arial"/>
          <w:kern w:val="24"/>
          <w:sz w:val="22"/>
          <w:szCs w:val="22"/>
        </w:rPr>
        <w:t>ses awareness among the board on</w:t>
      </w:r>
      <w:r w:rsidR="00743475" w:rsidRPr="00BA6CA2">
        <w:rPr>
          <w:rFonts w:ascii="Arial" w:eastAsiaTheme="minorEastAsia" w:hAnsi="Arial" w:cs="Arial"/>
          <w:kern w:val="24"/>
          <w:sz w:val="22"/>
          <w:szCs w:val="22"/>
        </w:rPr>
        <w:t xml:space="preserve"> specified</w:t>
      </w:r>
      <w:r w:rsidRPr="00BA6CA2">
        <w:rPr>
          <w:rFonts w:ascii="Arial" w:eastAsiaTheme="minorEastAsia" w:hAnsi="Arial" w:cs="Arial"/>
          <w:kern w:val="24"/>
          <w:sz w:val="22"/>
          <w:szCs w:val="22"/>
        </w:rPr>
        <w:t xml:space="preserve"> non-financial </w:t>
      </w:r>
      <w:r w:rsidR="00743475" w:rsidRPr="00BA6CA2">
        <w:rPr>
          <w:rFonts w:ascii="Arial" w:eastAsiaTheme="minorEastAsia" w:hAnsi="Arial" w:cs="Arial"/>
          <w:kern w:val="24"/>
          <w:sz w:val="22"/>
          <w:szCs w:val="22"/>
        </w:rPr>
        <w:t>matters to some extent.</w:t>
      </w:r>
    </w:p>
    <w:p w14:paraId="57B2A8F2" w14:textId="77777777" w:rsidR="00E11DF3" w:rsidRPr="00BA6CA2" w:rsidRDefault="00E11DF3" w:rsidP="00D64638">
      <w:pPr>
        <w:pStyle w:val="EBBullet"/>
        <w:keepNext/>
        <w:numPr>
          <w:ilvl w:val="0"/>
          <w:numId w:val="0"/>
        </w:numPr>
        <w:spacing w:line="276" w:lineRule="auto"/>
        <w:jc w:val="both"/>
      </w:pPr>
    </w:p>
    <w:p w14:paraId="7C082321" w14:textId="77777777" w:rsidR="00FE1E8D" w:rsidRPr="00D64638" w:rsidRDefault="00FE1E8D" w:rsidP="00D64638">
      <w:pPr>
        <w:pStyle w:val="EBBullet"/>
        <w:keepNext/>
        <w:numPr>
          <w:ilvl w:val="0"/>
          <w:numId w:val="0"/>
        </w:numPr>
        <w:spacing w:line="276" w:lineRule="auto"/>
        <w:rPr>
          <w:b/>
          <w:u w:val="single"/>
        </w:rPr>
      </w:pPr>
      <w:r w:rsidRPr="00D64638">
        <w:rPr>
          <w:b/>
          <w:u w:val="single"/>
        </w:rPr>
        <w:t>Option 3</w:t>
      </w:r>
      <w:r w:rsidR="00CE7C37">
        <w:rPr>
          <w:b/>
          <w:u w:val="single"/>
        </w:rPr>
        <w:t>: Extend EU Requirements to All Quoted Companies</w:t>
      </w:r>
    </w:p>
    <w:p w14:paraId="5F38934F" w14:textId="77777777" w:rsidR="00FE1E8D" w:rsidRPr="006753F0" w:rsidRDefault="00FE1E8D" w:rsidP="00D64638">
      <w:pPr>
        <w:spacing w:line="276" w:lineRule="auto"/>
        <w:jc w:val="both"/>
        <w:rPr>
          <w:rFonts w:cs="Arial"/>
          <w:sz w:val="22"/>
          <w:szCs w:val="22"/>
        </w:rPr>
      </w:pPr>
      <w:r w:rsidRPr="006753F0">
        <w:rPr>
          <w:rFonts w:cs="Arial"/>
          <w:sz w:val="22"/>
          <w:szCs w:val="22"/>
        </w:rPr>
        <w:t>This would have all the benefits of Option 2</w:t>
      </w:r>
      <w:r w:rsidR="00CE7C37">
        <w:rPr>
          <w:rFonts w:cs="Arial"/>
          <w:sz w:val="22"/>
          <w:szCs w:val="22"/>
        </w:rPr>
        <w:t xml:space="preserve"> (minimum implementation)</w:t>
      </w:r>
      <w:r w:rsidRPr="006753F0">
        <w:rPr>
          <w:rFonts w:cs="Arial"/>
          <w:sz w:val="22"/>
          <w:szCs w:val="22"/>
        </w:rPr>
        <w:t>.</w:t>
      </w:r>
    </w:p>
    <w:p w14:paraId="18783450" w14:textId="77777777" w:rsidR="00D1007B" w:rsidRPr="006753F0" w:rsidRDefault="00D1007B" w:rsidP="00D64638">
      <w:pPr>
        <w:spacing w:line="276" w:lineRule="auto"/>
        <w:jc w:val="both"/>
        <w:rPr>
          <w:rFonts w:cs="Arial"/>
          <w:sz w:val="22"/>
          <w:szCs w:val="22"/>
        </w:rPr>
      </w:pPr>
    </w:p>
    <w:p w14:paraId="567BA924" w14:textId="77777777" w:rsidR="00FE1E8D" w:rsidRPr="006753F0" w:rsidRDefault="00D1007B" w:rsidP="00D64638">
      <w:pPr>
        <w:spacing w:line="276" w:lineRule="auto"/>
        <w:jc w:val="both"/>
        <w:rPr>
          <w:rFonts w:cs="Arial"/>
          <w:sz w:val="22"/>
          <w:szCs w:val="22"/>
        </w:rPr>
      </w:pPr>
      <w:r w:rsidRPr="006753F0">
        <w:rPr>
          <w:rFonts w:cs="Arial"/>
          <w:sz w:val="22"/>
          <w:szCs w:val="22"/>
        </w:rPr>
        <w:t xml:space="preserve">It would also have the added benefits of </w:t>
      </w:r>
      <w:r w:rsidR="00390FD2">
        <w:rPr>
          <w:rFonts w:cs="Arial"/>
          <w:sz w:val="22"/>
          <w:szCs w:val="22"/>
        </w:rPr>
        <w:t xml:space="preserve">requiring </w:t>
      </w:r>
      <w:r w:rsidRPr="006753F0">
        <w:rPr>
          <w:rFonts w:cs="Arial"/>
          <w:sz w:val="22"/>
          <w:szCs w:val="22"/>
        </w:rPr>
        <w:t>information disclosures on anti-bribery and corruption matters and diversity policies by smaller quoted companies.</w:t>
      </w:r>
      <w:r w:rsidR="000262F4">
        <w:rPr>
          <w:rFonts w:cs="Arial"/>
          <w:sz w:val="22"/>
          <w:szCs w:val="22"/>
        </w:rPr>
        <w:t xml:space="preserve"> These are companies with equity traded on an EU regulated exchange</w:t>
      </w:r>
      <w:r w:rsidR="003E0BA9">
        <w:rPr>
          <w:rFonts w:cs="Arial"/>
          <w:sz w:val="22"/>
          <w:szCs w:val="22"/>
        </w:rPr>
        <w:t xml:space="preserve"> but</w:t>
      </w:r>
      <w:r w:rsidR="000262F4">
        <w:rPr>
          <w:rFonts w:cs="Arial"/>
          <w:sz w:val="22"/>
          <w:szCs w:val="22"/>
        </w:rPr>
        <w:t xml:space="preserve"> who have fewer than 500 employees</w:t>
      </w:r>
      <w:r w:rsidR="003E0BA9">
        <w:rPr>
          <w:rFonts w:cs="Arial"/>
          <w:sz w:val="22"/>
          <w:szCs w:val="22"/>
        </w:rPr>
        <w:t xml:space="preserve"> and as a result of this are excluded from the scope of the NFRD.</w:t>
      </w:r>
    </w:p>
    <w:p w14:paraId="6114C03D" w14:textId="77777777" w:rsidR="00D1007B" w:rsidRPr="006753F0" w:rsidRDefault="00D1007B" w:rsidP="00D64638">
      <w:pPr>
        <w:spacing w:line="276" w:lineRule="auto"/>
        <w:jc w:val="both"/>
        <w:rPr>
          <w:rFonts w:cs="Arial"/>
          <w:sz w:val="22"/>
          <w:szCs w:val="22"/>
        </w:rPr>
      </w:pPr>
    </w:p>
    <w:p w14:paraId="741FCF28" w14:textId="77777777" w:rsidR="003B3AC1" w:rsidRPr="00BA6CA2" w:rsidRDefault="00D1007B" w:rsidP="00D64638">
      <w:pPr>
        <w:spacing w:line="276" w:lineRule="auto"/>
        <w:jc w:val="both"/>
        <w:rPr>
          <w:rFonts w:eastAsiaTheme="minorHAnsi" w:cs="Arial"/>
          <w:sz w:val="22"/>
          <w:szCs w:val="22"/>
        </w:rPr>
      </w:pPr>
      <w:r w:rsidRPr="00EB7A0C">
        <w:rPr>
          <w:rFonts w:eastAsiaTheme="minorHAnsi" w:cs="Arial"/>
          <w:sz w:val="22"/>
          <w:szCs w:val="22"/>
        </w:rPr>
        <w:t>Furthermore, t</w:t>
      </w:r>
      <w:r w:rsidR="003B3AC1" w:rsidRPr="00EB7A0C">
        <w:rPr>
          <w:rFonts w:eastAsiaTheme="minorHAnsi" w:cs="Arial"/>
          <w:sz w:val="22"/>
          <w:szCs w:val="22"/>
        </w:rPr>
        <w:t xml:space="preserve">his option </w:t>
      </w:r>
      <w:r w:rsidR="003B101A">
        <w:rPr>
          <w:rFonts w:eastAsiaTheme="minorHAnsi" w:cs="Arial"/>
          <w:sz w:val="22"/>
          <w:szCs w:val="22"/>
        </w:rPr>
        <w:t>maintains</w:t>
      </w:r>
      <w:r w:rsidR="003B3AC1" w:rsidRPr="00EB7A0C">
        <w:rPr>
          <w:rFonts w:eastAsiaTheme="minorHAnsi" w:cs="Arial"/>
          <w:sz w:val="22"/>
          <w:szCs w:val="22"/>
        </w:rPr>
        <w:t xml:space="preserve"> comparability between the annual reports of different </w:t>
      </w:r>
      <w:r w:rsidR="003B101A">
        <w:rPr>
          <w:rFonts w:eastAsiaTheme="minorHAnsi" w:cs="Arial"/>
          <w:sz w:val="22"/>
          <w:szCs w:val="22"/>
        </w:rPr>
        <w:t>sizes of</w:t>
      </w:r>
      <w:r w:rsidR="00BC0541">
        <w:rPr>
          <w:rFonts w:eastAsiaTheme="minorHAnsi" w:cs="Arial"/>
          <w:sz w:val="22"/>
          <w:szCs w:val="22"/>
        </w:rPr>
        <w:t xml:space="preserve"> </w:t>
      </w:r>
      <w:r w:rsidRPr="00EB7A0C">
        <w:rPr>
          <w:rFonts w:eastAsiaTheme="minorHAnsi" w:cs="Arial"/>
          <w:sz w:val="22"/>
          <w:szCs w:val="22"/>
        </w:rPr>
        <w:t xml:space="preserve">quoted </w:t>
      </w:r>
      <w:r w:rsidR="003B3AC1" w:rsidRPr="00BA6CA2">
        <w:rPr>
          <w:rFonts w:eastAsiaTheme="minorHAnsi" w:cs="Arial"/>
          <w:sz w:val="22"/>
          <w:szCs w:val="22"/>
        </w:rPr>
        <w:t xml:space="preserve">companies in the UK which </w:t>
      </w:r>
      <w:r w:rsidR="00390FD2">
        <w:rPr>
          <w:rFonts w:eastAsiaTheme="minorHAnsi" w:cs="Arial"/>
          <w:sz w:val="22"/>
          <w:szCs w:val="22"/>
        </w:rPr>
        <w:t xml:space="preserve">would be </w:t>
      </w:r>
      <w:r w:rsidR="003B3AC1" w:rsidRPr="00BA6CA2">
        <w:rPr>
          <w:rFonts w:eastAsiaTheme="minorHAnsi" w:cs="Arial"/>
          <w:sz w:val="22"/>
          <w:szCs w:val="22"/>
        </w:rPr>
        <w:t xml:space="preserve">beneficial for users of the financial statements. </w:t>
      </w:r>
    </w:p>
    <w:p w14:paraId="035B1A0F" w14:textId="77777777" w:rsidR="003B3AC1" w:rsidRPr="00BA6CA2" w:rsidRDefault="003B3AC1" w:rsidP="00D64638">
      <w:pPr>
        <w:spacing w:line="276" w:lineRule="auto"/>
        <w:jc w:val="both"/>
        <w:rPr>
          <w:rFonts w:eastAsiaTheme="minorHAnsi" w:cs="Arial"/>
          <w:sz w:val="22"/>
          <w:szCs w:val="22"/>
        </w:rPr>
      </w:pPr>
    </w:p>
    <w:p w14:paraId="590373E9" w14:textId="77777777" w:rsidR="00AA0807" w:rsidRPr="00467E1C" w:rsidRDefault="00AA0807" w:rsidP="00D64638">
      <w:pPr>
        <w:spacing w:line="276" w:lineRule="auto"/>
        <w:jc w:val="both"/>
        <w:rPr>
          <w:rFonts w:eastAsiaTheme="minorHAnsi" w:cs="Arial"/>
          <w:sz w:val="22"/>
          <w:szCs w:val="22"/>
        </w:rPr>
      </w:pPr>
      <w:r w:rsidRPr="00BA6CA2">
        <w:rPr>
          <w:rFonts w:eastAsiaTheme="minorHAnsi" w:cs="Arial"/>
          <w:sz w:val="22"/>
          <w:szCs w:val="22"/>
        </w:rPr>
        <w:t xml:space="preserve">29 </w:t>
      </w:r>
      <w:r w:rsidR="004A03D2" w:rsidRPr="00BA6CA2">
        <w:rPr>
          <w:rFonts w:eastAsiaTheme="minorHAnsi" w:cs="Arial"/>
          <w:sz w:val="22"/>
          <w:szCs w:val="22"/>
        </w:rPr>
        <w:t xml:space="preserve">of the 76 </w:t>
      </w:r>
      <w:r w:rsidRPr="00BA6CA2">
        <w:rPr>
          <w:rFonts w:eastAsiaTheme="minorHAnsi" w:cs="Arial"/>
          <w:sz w:val="22"/>
          <w:szCs w:val="22"/>
        </w:rPr>
        <w:t xml:space="preserve">respondents to the consultation </w:t>
      </w:r>
      <w:r w:rsidR="00D4105E">
        <w:rPr>
          <w:rFonts w:eastAsiaTheme="minorHAnsi" w:cs="Arial"/>
          <w:sz w:val="22"/>
          <w:szCs w:val="22"/>
        </w:rPr>
        <w:t>expressed the view</w:t>
      </w:r>
      <w:r w:rsidRPr="00BA6CA2">
        <w:rPr>
          <w:rFonts w:eastAsiaTheme="minorHAnsi" w:cs="Arial"/>
          <w:sz w:val="22"/>
          <w:szCs w:val="22"/>
        </w:rPr>
        <w:t xml:space="preserve"> that the additional benefits of extending the requirements to smaller quoted companies would </w:t>
      </w:r>
      <w:r w:rsidR="00275B54" w:rsidRPr="00BA6CA2">
        <w:rPr>
          <w:rFonts w:eastAsiaTheme="minorHAnsi" w:cs="Arial"/>
          <w:sz w:val="22"/>
          <w:szCs w:val="22"/>
        </w:rPr>
        <w:t>outweigh the costs.</w:t>
      </w:r>
      <w:r w:rsidR="00D05E1D" w:rsidRPr="00BA6CA2">
        <w:rPr>
          <w:rFonts w:cs="Arial"/>
          <w:color w:val="0000FF"/>
          <w:sz w:val="22"/>
          <w:szCs w:val="22"/>
        </w:rPr>
        <w:t> </w:t>
      </w:r>
    </w:p>
    <w:p w14:paraId="74828FE7" w14:textId="77777777" w:rsidR="006E37D4" w:rsidRPr="000E7E9F" w:rsidRDefault="006E37D4" w:rsidP="00D64638">
      <w:pPr>
        <w:spacing w:line="276" w:lineRule="auto"/>
        <w:rPr>
          <w:rFonts w:eastAsiaTheme="minorHAnsi" w:cs="Arial"/>
          <w:sz w:val="22"/>
          <w:szCs w:val="22"/>
        </w:rPr>
      </w:pPr>
    </w:p>
    <w:p w14:paraId="4FD77E16" w14:textId="77777777" w:rsidR="006E37D4" w:rsidRPr="00D64638" w:rsidRDefault="006E37D4" w:rsidP="00D64638">
      <w:pPr>
        <w:spacing w:line="276" w:lineRule="auto"/>
        <w:rPr>
          <w:rFonts w:eastAsiaTheme="minorHAnsi" w:cs="Arial"/>
          <w:b/>
          <w:sz w:val="22"/>
          <w:szCs w:val="22"/>
          <w:u w:val="single"/>
        </w:rPr>
      </w:pPr>
      <w:r w:rsidRPr="00D64638">
        <w:rPr>
          <w:rFonts w:eastAsiaTheme="minorHAnsi" w:cs="Arial"/>
          <w:b/>
          <w:sz w:val="22"/>
          <w:szCs w:val="22"/>
          <w:u w:val="single"/>
        </w:rPr>
        <w:t>Option 4</w:t>
      </w:r>
      <w:r w:rsidR="00CE7C37">
        <w:rPr>
          <w:rFonts w:eastAsiaTheme="minorHAnsi" w:cs="Arial"/>
          <w:b/>
          <w:sz w:val="22"/>
          <w:szCs w:val="22"/>
          <w:u w:val="single"/>
        </w:rPr>
        <w:t xml:space="preserve">: Reduce Reporting </w:t>
      </w:r>
      <w:r w:rsidR="006E45FF">
        <w:rPr>
          <w:rFonts w:eastAsiaTheme="minorHAnsi" w:cs="Arial"/>
          <w:b/>
          <w:sz w:val="22"/>
          <w:szCs w:val="22"/>
          <w:u w:val="single"/>
        </w:rPr>
        <w:t>R</w:t>
      </w:r>
      <w:r w:rsidR="00CE7C37">
        <w:rPr>
          <w:rFonts w:eastAsiaTheme="minorHAnsi" w:cs="Arial"/>
          <w:b/>
          <w:sz w:val="22"/>
          <w:szCs w:val="22"/>
          <w:u w:val="single"/>
        </w:rPr>
        <w:t>equirements on Smaller Quoted Companies</w:t>
      </w:r>
    </w:p>
    <w:p w14:paraId="190D04DC" w14:textId="77777777" w:rsidR="006E37D4" w:rsidRPr="006753F0" w:rsidRDefault="006E37D4" w:rsidP="00D64638">
      <w:pPr>
        <w:spacing w:line="276" w:lineRule="auto"/>
        <w:jc w:val="both"/>
        <w:rPr>
          <w:rFonts w:cs="Arial"/>
          <w:bCs/>
          <w:sz w:val="22"/>
          <w:szCs w:val="22"/>
          <w:lang w:eastAsia="en-GB"/>
        </w:rPr>
      </w:pPr>
    </w:p>
    <w:p w14:paraId="238030DC" w14:textId="77777777" w:rsidR="006E37D4" w:rsidRPr="006753F0" w:rsidRDefault="006E37D4" w:rsidP="00D64638">
      <w:pPr>
        <w:spacing w:line="276" w:lineRule="auto"/>
        <w:jc w:val="both"/>
        <w:rPr>
          <w:rFonts w:cs="Arial"/>
          <w:bCs/>
          <w:sz w:val="22"/>
          <w:szCs w:val="22"/>
          <w:lang w:eastAsia="en-GB"/>
        </w:rPr>
      </w:pPr>
      <w:r w:rsidRPr="006753F0">
        <w:rPr>
          <w:rFonts w:cs="Arial"/>
          <w:bCs/>
          <w:sz w:val="22"/>
          <w:szCs w:val="22"/>
          <w:lang w:eastAsia="en-GB"/>
        </w:rPr>
        <w:t xml:space="preserve">This </w:t>
      </w:r>
      <w:r w:rsidR="00390FD2">
        <w:rPr>
          <w:rFonts w:cs="Arial"/>
          <w:bCs/>
          <w:sz w:val="22"/>
          <w:szCs w:val="22"/>
          <w:lang w:eastAsia="en-GB"/>
        </w:rPr>
        <w:t xml:space="preserve">option </w:t>
      </w:r>
      <w:r w:rsidRPr="006753F0">
        <w:rPr>
          <w:rFonts w:cs="Arial"/>
          <w:bCs/>
          <w:sz w:val="22"/>
          <w:szCs w:val="22"/>
          <w:lang w:eastAsia="en-GB"/>
        </w:rPr>
        <w:t>would have</w:t>
      </w:r>
      <w:r w:rsidR="00F24853">
        <w:rPr>
          <w:rFonts w:cs="Arial"/>
          <w:bCs/>
          <w:sz w:val="22"/>
          <w:szCs w:val="22"/>
          <w:lang w:eastAsia="en-GB"/>
        </w:rPr>
        <w:t xml:space="preserve"> part of</w:t>
      </w:r>
      <w:r w:rsidRPr="006753F0">
        <w:rPr>
          <w:rFonts w:cs="Arial"/>
          <w:bCs/>
          <w:sz w:val="22"/>
          <w:szCs w:val="22"/>
          <w:lang w:eastAsia="en-GB"/>
        </w:rPr>
        <w:t xml:space="preserve"> the benefits of Option 2</w:t>
      </w:r>
      <w:r w:rsidR="00CE7C37">
        <w:rPr>
          <w:rFonts w:cs="Arial"/>
          <w:bCs/>
          <w:sz w:val="22"/>
          <w:szCs w:val="22"/>
          <w:lang w:eastAsia="en-GB"/>
        </w:rPr>
        <w:t xml:space="preserve"> (minimum implementation)</w:t>
      </w:r>
      <w:r w:rsidRPr="006753F0">
        <w:rPr>
          <w:rFonts w:cs="Arial"/>
          <w:bCs/>
          <w:sz w:val="22"/>
          <w:szCs w:val="22"/>
          <w:lang w:eastAsia="en-GB"/>
        </w:rPr>
        <w:t xml:space="preserve">. </w:t>
      </w:r>
    </w:p>
    <w:p w14:paraId="07DF1F99" w14:textId="77777777" w:rsidR="00695D4D" w:rsidRPr="006753F0" w:rsidRDefault="00695D4D" w:rsidP="00D64638">
      <w:pPr>
        <w:spacing w:line="276" w:lineRule="auto"/>
        <w:jc w:val="both"/>
        <w:rPr>
          <w:rFonts w:cs="Arial"/>
          <w:bCs/>
          <w:sz w:val="22"/>
          <w:szCs w:val="22"/>
          <w:lang w:eastAsia="en-GB"/>
        </w:rPr>
      </w:pPr>
    </w:p>
    <w:p w14:paraId="15CBE27D" w14:textId="77777777" w:rsidR="00695D4D" w:rsidRPr="00EB7A0C" w:rsidRDefault="00944FC7" w:rsidP="00D64638">
      <w:pPr>
        <w:pStyle w:val="ListParagraph"/>
        <w:spacing w:line="276" w:lineRule="auto"/>
        <w:ind w:left="0"/>
        <w:jc w:val="both"/>
        <w:rPr>
          <w:rFonts w:cs="Arial"/>
          <w:sz w:val="22"/>
          <w:szCs w:val="22"/>
        </w:rPr>
      </w:pPr>
      <w:r w:rsidRPr="006753F0">
        <w:rPr>
          <w:rFonts w:cs="Arial"/>
          <w:sz w:val="22"/>
          <w:szCs w:val="22"/>
        </w:rPr>
        <w:t>Under Option 4, smaller quoted companies</w:t>
      </w:r>
      <w:r w:rsidR="003E0BA9">
        <w:rPr>
          <w:rStyle w:val="FootnoteReference"/>
          <w:rFonts w:cs="Arial"/>
          <w:szCs w:val="22"/>
        </w:rPr>
        <w:footnoteReference w:id="37"/>
      </w:r>
      <w:r w:rsidRPr="006753F0">
        <w:rPr>
          <w:rFonts w:cs="Arial"/>
          <w:sz w:val="22"/>
          <w:szCs w:val="22"/>
        </w:rPr>
        <w:t xml:space="preserve"> would no longer need to meet the requirements of the </w:t>
      </w:r>
      <w:r w:rsidR="00390FD2">
        <w:rPr>
          <w:rFonts w:cs="Arial"/>
          <w:sz w:val="22"/>
          <w:szCs w:val="22"/>
        </w:rPr>
        <w:t>E</w:t>
      </w:r>
      <w:r w:rsidRPr="006753F0">
        <w:rPr>
          <w:rFonts w:cs="Arial"/>
          <w:sz w:val="22"/>
          <w:szCs w:val="22"/>
        </w:rPr>
        <w:t xml:space="preserve">nhanced </w:t>
      </w:r>
      <w:r w:rsidR="00390FD2">
        <w:rPr>
          <w:rFonts w:cs="Arial"/>
          <w:sz w:val="22"/>
          <w:szCs w:val="22"/>
        </w:rPr>
        <w:t>S</w:t>
      </w:r>
      <w:r w:rsidRPr="006753F0">
        <w:rPr>
          <w:rFonts w:cs="Arial"/>
          <w:sz w:val="22"/>
          <w:szCs w:val="22"/>
        </w:rPr>
        <w:t xml:space="preserve">trategic </w:t>
      </w:r>
      <w:r w:rsidR="00390FD2">
        <w:rPr>
          <w:rFonts w:cs="Arial"/>
          <w:sz w:val="22"/>
          <w:szCs w:val="22"/>
        </w:rPr>
        <w:t>R</w:t>
      </w:r>
      <w:r w:rsidRPr="006753F0">
        <w:rPr>
          <w:rFonts w:cs="Arial"/>
          <w:sz w:val="22"/>
          <w:szCs w:val="22"/>
        </w:rPr>
        <w:t>eport that they currently do. Instead they would revert to the meeting the requirements currently met by unquoted companies in the UK. This means they would no longer have to report specifically on environmental matters, employee matters, social and community matters and human rights matters</w:t>
      </w:r>
      <w:r w:rsidR="00695D4D" w:rsidRPr="00EB7A0C">
        <w:rPr>
          <w:rFonts w:cs="Arial"/>
          <w:sz w:val="22"/>
          <w:szCs w:val="22"/>
        </w:rPr>
        <w:t>.</w:t>
      </w:r>
    </w:p>
    <w:p w14:paraId="49BC87D6" w14:textId="77777777" w:rsidR="00695D4D" w:rsidRPr="00EB7A0C" w:rsidRDefault="00695D4D" w:rsidP="00D64638">
      <w:pPr>
        <w:pStyle w:val="ListParagraph"/>
        <w:spacing w:line="276" w:lineRule="auto"/>
        <w:ind w:left="0"/>
        <w:jc w:val="both"/>
        <w:rPr>
          <w:rFonts w:cs="Arial"/>
          <w:sz w:val="22"/>
          <w:szCs w:val="22"/>
        </w:rPr>
      </w:pPr>
    </w:p>
    <w:p w14:paraId="60B3FFF2" w14:textId="77777777" w:rsidR="00390FD2" w:rsidRDefault="00695D4D" w:rsidP="00D64638">
      <w:pPr>
        <w:pStyle w:val="ListParagraph"/>
        <w:spacing w:line="276" w:lineRule="auto"/>
        <w:ind w:left="0"/>
        <w:jc w:val="both"/>
        <w:rPr>
          <w:rFonts w:cs="Arial"/>
          <w:sz w:val="22"/>
          <w:szCs w:val="22"/>
        </w:rPr>
      </w:pPr>
      <w:r w:rsidRPr="00EB7A0C">
        <w:rPr>
          <w:rFonts w:cs="Arial"/>
          <w:sz w:val="22"/>
          <w:szCs w:val="22"/>
        </w:rPr>
        <w:t xml:space="preserve">This would result in a reduction in the benefits compared to </w:t>
      </w:r>
      <w:r w:rsidR="00390FD2">
        <w:rPr>
          <w:rFonts w:cs="Arial"/>
          <w:sz w:val="22"/>
          <w:szCs w:val="22"/>
        </w:rPr>
        <w:t>O</w:t>
      </w:r>
      <w:r w:rsidRPr="00EB7A0C">
        <w:rPr>
          <w:rFonts w:cs="Arial"/>
          <w:sz w:val="22"/>
          <w:szCs w:val="22"/>
        </w:rPr>
        <w:t xml:space="preserve">ption 2, as the information they currently provide would </w:t>
      </w:r>
      <w:r w:rsidR="00390FD2">
        <w:rPr>
          <w:rFonts w:cs="Arial"/>
          <w:sz w:val="22"/>
          <w:szCs w:val="22"/>
        </w:rPr>
        <w:t>not be required – and it is likely that some or all of the companies would no longer report it voluntarily</w:t>
      </w:r>
      <w:r w:rsidRPr="00EB7A0C">
        <w:rPr>
          <w:rFonts w:cs="Arial"/>
          <w:sz w:val="22"/>
          <w:szCs w:val="22"/>
        </w:rPr>
        <w:t xml:space="preserve">. </w:t>
      </w:r>
    </w:p>
    <w:p w14:paraId="746ED3A2" w14:textId="77777777" w:rsidR="00390FD2" w:rsidRDefault="00390FD2" w:rsidP="00D64638">
      <w:pPr>
        <w:pStyle w:val="ListParagraph"/>
        <w:spacing w:line="276" w:lineRule="auto"/>
        <w:ind w:left="0"/>
        <w:jc w:val="both"/>
        <w:rPr>
          <w:rFonts w:cs="Arial"/>
          <w:sz w:val="22"/>
          <w:szCs w:val="22"/>
        </w:rPr>
      </w:pPr>
    </w:p>
    <w:p w14:paraId="5AB9DD32" w14:textId="77777777" w:rsidR="00944FC7" w:rsidRDefault="001E3BE3" w:rsidP="00D64638">
      <w:pPr>
        <w:pStyle w:val="ListParagraph"/>
        <w:spacing w:line="276" w:lineRule="auto"/>
        <w:ind w:left="0"/>
        <w:jc w:val="both"/>
        <w:rPr>
          <w:rFonts w:cs="Arial"/>
          <w:sz w:val="22"/>
          <w:szCs w:val="22"/>
        </w:rPr>
      </w:pPr>
      <w:r>
        <w:rPr>
          <w:rFonts w:cs="Arial"/>
          <w:sz w:val="22"/>
          <w:szCs w:val="22"/>
        </w:rPr>
        <w:lastRenderedPageBreak/>
        <w:t>T</w:t>
      </w:r>
      <w:r w:rsidR="00DB55AC">
        <w:rPr>
          <w:rFonts w:cs="Arial"/>
          <w:sz w:val="22"/>
          <w:szCs w:val="22"/>
        </w:rPr>
        <w:t>his option</w:t>
      </w:r>
      <w:r>
        <w:rPr>
          <w:rFonts w:cs="Arial"/>
          <w:sz w:val="22"/>
          <w:szCs w:val="22"/>
        </w:rPr>
        <w:t xml:space="preserve"> would</w:t>
      </w:r>
      <w:r w:rsidR="00695D4D" w:rsidRPr="00BA6CA2">
        <w:rPr>
          <w:rFonts w:cs="Arial"/>
          <w:sz w:val="22"/>
          <w:szCs w:val="22"/>
        </w:rPr>
        <w:t xml:space="preserve"> </w:t>
      </w:r>
      <w:r w:rsidR="00944FC7" w:rsidRPr="00BA6CA2">
        <w:rPr>
          <w:rFonts w:cs="Arial"/>
          <w:sz w:val="22"/>
          <w:szCs w:val="22"/>
        </w:rPr>
        <w:t>result in cost savings</w:t>
      </w:r>
      <w:r w:rsidR="00695D4D" w:rsidRPr="00BA6CA2">
        <w:rPr>
          <w:rFonts w:cs="Arial"/>
          <w:sz w:val="22"/>
          <w:szCs w:val="22"/>
        </w:rPr>
        <w:t xml:space="preserve"> to these companies and their subsidiaries</w:t>
      </w:r>
      <w:r w:rsidR="00944FC7" w:rsidRPr="00BA6CA2">
        <w:rPr>
          <w:rFonts w:cs="Arial"/>
          <w:sz w:val="22"/>
          <w:szCs w:val="22"/>
        </w:rPr>
        <w:t xml:space="preserve">. These savings are estimated at </w:t>
      </w:r>
      <w:r w:rsidR="00F24853">
        <w:rPr>
          <w:rFonts w:cs="Arial"/>
          <w:b/>
          <w:sz w:val="22"/>
          <w:szCs w:val="22"/>
        </w:rPr>
        <w:t>£1.83</w:t>
      </w:r>
      <w:r w:rsidR="00944FC7" w:rsidRPr="00BA6CA2">
        <w:rPr>
          <w:rFonts w:cs="Arial"/>
          <w:b/>
          <w:sz w:val="22"/>
          <w:szCs w:val="22"/>
        </w:rPr>
        <w:t>m</w:t>
      </w:r>
      <w:r w:rsidR="00944FC7" w:rsidRPr="00BA6CA2">
        <w:rPr>
          <w:rFonts w:cs="Arial"/>
          <w:sz w:val="22"/>
          <w:szCs w:val="22"/>
        </w:rPr>
        <w:t xml:space="preserve"> per year. Calculations are provided and explained in Annex F.</w:t>
      </w:r>
      <w:r w:rsidR="005F3219" w:rsidRPr="005F3219">
        <w:rPr>
          <w:rFonts w:cs="Arial"/>
          <w:sz w:val="22"/>
          <w:szCs w:val="22"/>
        </w:rPr>
        <w:t xml:space="preserve"> </w:t>
      </w:r>
      <w:r>
        <w:rPr>
          <w:rFonts w:cs="Arial"/>
          <w:sz w:val="22"/>
          <w:szCs w:val="22"/>
        </w:rPr>
        <w:t xml:space="preserve">Table </w:t>
      </w:r>
      <w:r w:rsidR="007506AE">
        <w:rPr>
          <w:rFonts w:cs="Arial"/>
          <w:sz w:val="22"/>
          <w:szCs w:val="22"/>
        </w:rPr>
        <w:t>5</w:t>
      </w:r>
      <w:r w:rsidR="005F3219" w:rsidRPr="003415CC">
        <w:rPr>
          <w:rFonts w:cs="Arial"/>
          <w:sz w:val="22"/>
          <w:szCs w:val="22"/>
        </w:rPr>
        <w:t xml:space="preserve"> shows our low, high and best estimates of the savings expected under Option 4.</w:t>
      </w:r>
    </w:p>
    <w:p w14:paraId="27679DDC" w14:textId="77777777" w:rsidR="005F3219" w:rsidRDefault="005F3219" w:rsidP="00D64638">
      <w:pPr>
        <w:pStyle w:val="ListParagraph"/>
        <w:spacing w:line="276" w:lineRule="auto"/>
        <w:ind w:left="0"/>
        <w:jc w:val="both"/>
        <w:rPr>
          <w:rFonts w:cs="Arial"/>
          <w:sz w:val="22"/>
          <w:szCs w:val="22"/>
        </w:rPr>
      </w:pPr>
    </w:p>
    <w:p w14:paraId="4D1FBA77" w14:textId="77777777" w:rsidR="005F3219" w:rsidRDefault="001E3BE3" w:rsidP="005F3219">
      <w:pPr>
        <w:pStyle w:val="ListParagraph"/>
        <w:spacing w:line="276" w:lineRule="auto"/>
        <w:ind w:left="0"/>
        <w:jc w:val="center"/>
        <w:rPr>
          <w:rFonts w:cs="Arial"/>
          <w:sz w:val="22"/>
          <w:szCs w:val="22"/>
        </w:rPr>
      </w:pPr>
      <w:r>
        <w:rPr>
          <w:rFonts w:cs="Arial"/>
          <w:sz w:val="22"/>
          <w:szCs w:val="22"/>
        </w:rPr>
        <w:t xml:space="preserve">Table </w:t>
      </w:r>
      <w:r w:rsidR="007506AE">
        <w:rPr>
          <w:rFonts w:cs="Arial"/>
          <w:sz w:val="22"/>
          <w:szCs w:val="22"/>
        </w:rPr>
        <w:t>5</w:t>
      </w:r>
    </w:p>
    <w:p w14:paraId="55415440" w14:textId="77777777" w:rsidR="005F3219" w:rsidRPr="00BA6CA2" w:rsidRDefault="00F24853" w:rsidP="005F3219">
      <w:pPr>
        <w:pStyle w:val="ListParagraph"/>
        <w:spacing w:line="276" w:lineRule="auto"/>
        <w:ind w:left="0"/>
        <w:jc w:val="center"/>
        <w:rPr>
          <w:rFonts w:cs="Arial"/>
          <w:sz w:val="22"/>
          <w:szCs w:val="22"/>
        </w:rPr>
      </w:pPr>
      <w:r w:rsidRPr="00F24853">
        <w:rPr>
          <w:noProof/>
          <w:lang w:eastAsia="en-GB"/>
        </w:rPr>
        <w:drawing>
          <wp:inline distT="0" distB="0" distL="0" distR="0" wp14:anchorId="789235F1" wp14:editId="1C2C5012">
            <wp:extent cx="1835785" cy="7759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35785" cy="775970"/>
                    </a:xfrm>
                    <a:prstGeom prst="rect">
                      <a:avLst/>
                    </a:prstGeom>
                    <a:noFill/>
                    <a:ln>
                      <a:noFill/>
                    </a:ln>
                  </pic:spPr>
                </pic:pic>
              </a:graphicData>
            </a:graphic>
          </wp:inline>
        </w:drawing>
      </w:r>
    </w:p>
    <w:p w14:paraId="464A001A" w14:textId="77777777" w:rsidR="006E37D4" w:rsidRPr="00BA6CA2" w:rsidRDefault="006E37D4" w:rsidP="00D64638">
      <w:pPr>
        <w:spacing w:line="276" w:lineRule="auto"/>
        <w:rPr>
          <w:rFonts w:eastAsiaTheme="minorHAnsi" w:cs="Arial"/>
          <w:sz w:val="22"/>
          <w:szCs w:val="22"/>
        </w:rPr>
      </w:pPr>
    </w:p>
    <w:p w14:paraId="1FF2D205" w14:textId="77777777" w:rsidR="00944FC7" w:rsidRPr="003E0BA9" w:rsidRDefault="00944FC7" w:rsidP="00D64638">
      <w:pPr>
        <w:spacing w:line="276" w:lineRule="auto"/>
        <w:rPr>
          <w:rFonts w:eastAsiaTheme="minorHAnsi" w:cs="Arial"/>
          <w:b/>
          <w:sz w:val="28"/>
          <w:szCs w:val="28"/>
          <w:u w:val="single"/>
        </w:rPr>
      </w:pPr>
      <w:r w:rsidRPr="003E0BA9">
        <w:rPr>
          <w:rFonts w:eastAsiaTheme="minorHAnsi" w:cs="Arial"/>
          <w:b/>
          <w:sz w:val="28"/>
          <w:szCs w:val="28"/>
          <w:u w:val="single"/>
        </w:rPr>
        <w:t>Costs</w:t>
      </w:r>
    </w:p>
    <w:p w14:paraId="416FC4DC" w14:textId="77777777" w:rsidR="00944FC7" w:rsidRPr="00D64638" w:rsidRDefault="00944FC7" w:rsidP="00D64638">
      <w:pPr>
        <w:spacing w:line="276" w:lineRule="auto"/>
        <w:rPr>
          <w:rFonts w:eastAsiaTheme="minorHAnsi" w:cs="Arial"/>
          <w:sz w:val="22"/>
          <w:szCs w:val="22"/>
        </w:rPr>
      </w:pPr>
    </w:p>
    <w:p w14:paraId="77E00ADA" w14:textId="77777777" w:rsidR="00A3175D" w:rsidRDefault="00553883" w:rsidP="00D64638">
      <w:pPr>
        <w:pStyle w:val="ListParagraph"/>
        <w:spacing w:line="276" w:lineRule="auto"/>
        <w:ind w:left="0"/>
        <w:jc w:val="both"/>
        <w:rPr>
          <w:rFonts w:cs="Arial"/>
          <w:sz w:val="22"/>
          <w:szCs w:val="22"/>
        </w:rPr>
      </w:pPr>
      <w:r w:rsidRPr="00EB7A0C">
        <w:rPr>
          <w:rFonts w:eastAsia="SimSun" w:cs="Arial"/>
          <w:spacing w:val="-5"/>
          <w:sz w:val="22"/>
          <w:szCs w:val="22"/>
          <w:lang w:eastAsia="zh-CN"/>
        </w:rPr>
        <w:t xml:space="preserve">We </w:t>
      </w:r>
      <w:r w:rsidR="00DB55AC">
        <w:rPr>
          <w:rFonts w:eastAsia="SimSun" w:cs="Arial"/>
          <w:spacing w:val="-5"/>
          <w:sz w:val="22"/>
          <w:szCs w:val="22"/>
          <w:lang w:eastAsia="zh-CN"/>
        </w:rPr>
        <w:t xml:space="preserve">have </w:t>
      </w:r>
      <w:r w:rsidRPr="00EB7A0C">
        <w:rPr>
          <w:rFonts w:eastAsia="SimSun" w:cs="Arial"/>
          <w:spacing w:val="-5"/>
          <w:sz w:val="22"/>
          <w:szCs w:val="22"/>
          <w:lang w:eastAsia="zh-CN"/>
        </w:rPr>
        <w:t xml:space="preserve">quantified costs for all PIEs affected by </w:t>
      </w:r>
      <w:r w:rsidR="00DB55AC">
        <w:rPr>
          <w:rFonts w:eastAsia="SimSun" w:cs="Arial"/>
          <w:spacing w:val="-5"/>
          <w:sz w:val="22"/>
          <w:szCs w:val="22"/>
          <w:lang w:eastAsia="zh-CN"/>
        </w:rPr>
        <w:t xml:space="preserve">the options </w:t>
      </w:r>
      <w:r w:rsidRPr="00EB7A0C">
        <w:rPr>
          <w:rFonts w:eastAsia="SimSun" w:cs="Arial"/>
          <w:spacing w:val="-5"/>
          <w:sz w:val="22"/>
          <w:szCs w:val="22"/>
          <w:lang w:eastAsia="zh-CN"/>
        </w:rPr>
        <w:t xml:space="preserve">using responses to </w:t>
      </w:r>
      <w:r w:rsidR="002575C7">
        <w:rPr>
          <w:rFonts w:eastAsia="SimSun" w:cs="Arial"/>
          <w:spacing w:val="-5"/>
          <w:sz w:val="22"/>
          <w:szCs w:val="22"/>
          <w:lang w:eastAsia="zh-CN"/>
        </w:rPr>
        <w:t xml:space="preserve">a survey that is part of </w:t>
      </w:r>
      <w:r w:rsidR="001E3BE3">
        <w:rPr>
          <w:rFonts w:eastAsia="SimSun" w:cs="Arial"/>
          <w:spacing w:val="-5"/>
          <w:sz w:val="22"/>
          <w:szCs w:val="22"/>
          <w:lang w:eastAsia="zh-CN"/>
        </w:rPr>
        <w:t>an</w:t>
      </w:r>
      <w:r w:rsidRPr="00EB7A0C">
        <w:rPr>
          <w:rFonts w:eastAsia="SimSun" w:cs="Arial"/>
          <w:spacing w:val="-5"/>
          <w:sz w:val="22"/>
          <w:szCs w:val="22"/>
          <w:lang w:eastAsia="zh-CN"/>
        </w:rPr>
        <w:t xml:space="preserve"> ongoing research project into the effects non-financial reporting had on company behaviour</w:t>
      </w:r>
      <w:r w:rsidRPr="00EB7A0C">
        <w:rPr>
          <w:rStyle w:val="FootnoteReference"/>
          <w:rFonts w:eastAsia="SimSun" w:cs="Arial"/>
          <w:spacing w:val="-5"/>
          <w:szCs w:val="22"/>
          <w:lang w:eastAsia="zh-CN"/>
        </w:rPr>
        <w:footnoteReference w:id="38"/>
      </w:r>
      <w:r w:rsidRPr="00BA6CA2">
        <w:rPr>
          <w:rFonts w:eastAsia="SimSun" w:cs="Arial"/>
          <w:spacing w:val="-5"/>
          <w:sz w:val="22"/>
          <w:szCs w:val="22"/>
          <w:lang w:eastAsia="zh-CN"/>
        </w:rPr>
        <w:t xml:space="preserve">. </w:t>
      </w:r>
      <w:r w:rsidR="00A3175D" w:rsidRPr="0049623C">
        <w:rPr>
          <w:rFonts w:eastAsia="SimSun" w:cs="Arial"/>
          <w:spacing w:val="-5"/>
          <w:sz w:val="22"/>
          <w:szCs w:val="22"/>
          <w:lang w:eastAsia="zh-CN"/>
        </w:rPr>
        <w:t xml:space="preserve">The research is to be based on 400 </w:t>
      </w:r>
      <w:r w:rsidR="00A3175D" w:rsidRPr="0049623C">
        <w:rPr>
          <w:rFonts w:eastAsiaTheme="minorEastAsia" w:cs="Arial"/>
          <w:kern w:val="24"/>
          <w:sz w:val="22"/>
          <w:szCs w:val="22"/>
        </w:rPr>
        <w:t>computer assisted telephone interviews (</w:t>
      </w:r>
      <w:r w:rsidR="00A3175D" w:rsidRPr="0049623C">
        <w:rPr>
          <w:rFonts w:eastAsia="SimSun" w:cs="Arial"/>
          <w:spacing w:val="-5"/>
          <w:sz w:val="22"/>
          <w:szCs w:val="22"/>
          <w:lang w:eastAsia="zh-CN"/>
        </w:rPr>
        <w:t xml:space="preserve">CATI) of companies including quoted and unquoted PIEs. It is currently in its fieldwork stage but we have been able to draw on the interim findings to inform this IA. </w:t>
      </w:r>
      <w:r w:rsidR="00A3175D" w:rsidRPr="00BA6CA2">
        <w:rPr>
          <w:rFonts w:eastAsia="SimSun" w:cs="Arial"/>
          <w:spacing w:val="-5"/>
          <w:sz w:val="22"/>
          <w:szCs w:val="22"/>
          <w:lang w:eastAsia="zh-CN"/>
        </w:rPr>
        <w:t>Our estimates are based on the</w:t>
      </w:r>
      <w:r w:rsidR="00A3175D" w:rsidRPr="0049623C">
        <w:rPr>
          <w:rFonts w:cs="Arial"/>
          <w:sz w:val="22"/>
          <w:szCs w:val="22"/>
        </w:rPr>
        <w:t xml:space="preserve"> </w:t>
      </w:r>
      <w:r w:rsidR="00A3175D">
        <w:rPr>
          <w:rFonts w:cs="Arial"/>
          <w:sz w:val="22"/>
          <w:szCs w:val="22"/>
        </w:rPr>
        <w:t xml:space="preserve">interim results of the </w:t>
      </w:r>
      <w:r w:rsidR="00A3175D" w:rsidRPr="0049623C">
        <w:rPr>
          <w:rFonts w:cs="Arial"/>
          <w:sz w:val="22"/>
          <w:szCs w:val="22"/>
        </w:rPr>
        <w:t>survey</w:t>
      </w:r>
      <w:r w:rsidR="00A3175D">
        <w:rPr>
          <w:rFonts w:cs="Arial"/>
          <w:sz w:val="22"/>
          <w:szCs w:val="22"/>
        </w:rPr>
        <w:t xml:space="preserve">, which were provided in June 2016 and cover 285 companies, </w:t>
      </w:r>
      <w:r w:rsidR="001E3BE3">
        <w:rPr>
          <w:rFonts w:cs="Arial"/>
          <w:sz w:val="22"/>
          <w:szCs w:val="22"/>
        </w:rPr>
        <w:t xml:space="preserve">54 </w:t>
      </w:r>
      <w:r w:rsidR="00A3175D">
        <w:rPr>
          <w:rFonts w:cs="Arial"/>
          <w:sz w:val="22"/>
          <w:szCs w:val="22"/>
        </w:rPr>
        <w:t xml:space="preserve">of which are </w:t>
      </w:r>
      <w:r w:rsidR="001E3BE3">
        <w:rPr>
          <w:rFonts w:cs="Arial"/>
          <w:sz w:val="22"/>
          <w:szCs w:val="22"/>
        </w:rPr>
        <w:t>PIEs with more than 500 employees</w:t>
      </w:r>
      <w:r w:rsidR="00A3175D">
        <w:rPr>
          <w:rFonts w:cs="Arial"/>
          <w:sz w:val="22"/>
          <w:szCs w:val="22"/>
        </w:rPr>
        <w:t>.</w:t>
      </w:r>
      <w:r w:rsidR="00A3175D" w:rsidRPr="0049623C">
        <w:rPr>
          <w:rFonts w:cs="Arial"/>
          <w:sz w:val="22"/>
          <w:szCs w:val="22"/>
        </w:rPr>
        <w:t xml:space="preserve"> </w:t>
      </w:r>
    </w:p>
    <w:p w14:paraId="690D52B7" w14:textId="77777777" w:rsidR="00A3175D" w:rsidRDefault="00A3175D" w:rsidP="00D64638">
      <w:pPr>
        <w:pStyle w:val="ListParagraph"/>
        <w:spacing w:line="276" w:lineRule="auto"/>
        <w:ind w:left="0"/>
        <w:jc w:val="both"/>
        <w:rPr>
          <w:rFonts w:cs="Arial"/>
          <w:sz w:val="22"/>
          <w:szCs w:val="22"/>
        </w:rPr>
      </w:pPr>
    </w:p>
    <w:p w14:paraId="3F2B2A8B" w14:textId="77777777" w:rsidR="00553883" w:rsidRPr="00BA6CA2" w:rsidRDefault="00553883" w:rsidP="00D64638">
      <w:pPr>
        <w:pStyle w:val="ListParagraph"/>
        <w:spacing w:line="276" w:lineRule="auto"/>
        <w:ind w:left="0"/>
        <w:jc w:val="both"/>
        <w:rPr>
          <w:rFonts w:cs="Arial"/>
          <w:sz w:val="22"/>
          <w:szCs w:val="22"/>
        </w:rPr>
      </w:pPr>
      <w:r w:rsidRPr="00BA6CA2">
        <w:rPr>
          <w:rFonts w:cs="Arial"/>
          <w:sz w:val="22"/>
          <w:szCs w:val="22"/>
        </w:rPr>
        <w:t>Companies were asked about the costs incurred by them in complying with the existing NFR requirements plac</w:t>
      </w:r>
      <w:r w:rsidR="00A3175D">
        <w:rPr>
          <w:rFonts w:cs="Arial"/>
          <w:sz w:val="22"/>
          <w:szCs w:val="22"/>
        </w:rPr>
        <w:t>ed on them under UK law. PIEs were also asked for</w:t>
      </w:r>
      <w:r w:rsidRPr="00BA6CA2">
        <w:rPr>
          <w:rFonts w:cs="Arial"/>
          <w:sz w:val="22"/>
          <w:szCs w:val="22"/>
        </w:rPr>
        <w:t xml:space="preserve"> their views on the potential additional costs of the two main additional requirements of the NFRD: to report on the company’s approach to anti-bribery and corruption matters; to report on company’s Diversity policies.</w:t>
      </w:r>
    </w:p>
    <w:p w14:paraId="760BFE32" w14:textId="77777777" w:rsidR="00553883" w:rsidRPr="00BA6CA2" w:rsidRDefault="00553883" w:rsidP="00D64638">
      <w:pPr>
        <w:pStyle w:val="ListParagraph"/>
        <w:spacing w:line="276" w:lineRule="auto"/>
        <w:ind w:left="0"/>
        <w:jc w:val="both"/>
        <w:rPr>
          <w:rFonts w:cs="Arial"/>
          <w:b/>
          <w:sz w:val="22"/>
          <w:szCs w:val="22"/>
        </w:rPr>
      </w:pPr>
    </w:p>
    <w:p w14:paraId="4523ACFD" w14:textId="77777777" w:rsidR="00553883" w:rsidRPr="00BA6CA2" w:rsidRDefault="00553883" w:rsidP="00D64638">
      <w:pPr>
        <w:pStyle w:val="ListParagraph"/>
        <w:spacing w:line="276" w:lineRule="auto"/>
        <w:ind w:left="0"/>
        <w:jc w:val="both"/>
        <w:rPr>
          <w:rFonts w:cs="Arial"/>
          <w:sz w:val="22"/>
          <w:szCs w:val="22"/>
        </w:rPr>
      </w:pPr>
      <w:r w:rsidRPr="00BA6CA2">
        <w:rPr>
          <w:rFonts w:cs="Arial"/>
          <w:sz w:val="22"/>
          <w:szCs w:val="22"/>
        </w:rPr>
        <w:t>We expect that companies affected will incur familiarisation and implementation costs in the first year.  To quantify these costs, we requested companies to estimate first year costs and subsequent year costs separately. Companies were asked to report the level of staff that would be involved in complying with the additional requirements and the time (in hours) that would be required. Annex A provides the calculations of the costs per quoted company based on survey responses. Annex B shows the costs to unquoted companies. Throughout the Impact Assessment</w:t>
      </w:r>
      <w:r w:rsidR="00DB55AC">
        <w:rPr>
          <w:rFonts w:cs="Arial"/>
          <w:sz w:val="22"/>
          <w:szCs w:val="22"/>
        </w:rPr>
        <w:t xml:space="preserve"> (IA)</w:t>
      </w:r>
      <w:r w:rsidRPr="00BA6CA2">
        <w:rPr>
          <w:rFonts w:cs="Arial"/>
          <w:sz w:val="22"/>
          <w:szCs w:val="22"/>
        </w:rPr>
        <w:t xml:space="preserve">, staff time costs are estimated based on hourly pay provided by the </w:t>
      </w:r>
      <w:r w:rsidR="00DB55AC">
        <w:rPr>
          <w:rFonts w:cs="Arial"/>
          <w:sz w:val="22"/>
          <w:szCs w:val="22"/>
        </w:rPr>
        <w:t xml:space="preserve">2015 </w:t>
      </w:r>
      <w:r w:rsidRPr="00BA6CA2">
        <w:rPr>
          <w:rFonts w:cs="Arial"/>
          <w:sz w:val="22"/>
          <w:szCs w:val="22"/>
        </w:rPr>
        <w:t>Annual Survey of Hours and Earnings. This is further explained in Annex G.</w:t>
      </w:r>
    </w:p>
    <w:p w14:paraId="04B04440" w14:textId="77777777" w:rsidR="00553883" w:rsidRPr="00467E1C" w:rsidRDefault="00553883" w:rsidP="00D64638">
      <w:pPr>
        <w:pStyle w:val="ListParagraph"/>
        <w:spacing w:line="276" w:lineRule="auto"/>
        <w:ind w:left="0"/>
        <w:jc w:val="both"/>
        <w:rPr>
          <w:rFonts w:cs="Arial"/>
          <w:sz w:val="22"/>
          <w:szCs w:val="22"/>
        </w:rPr>
      </w:pPr>
    </w:p>
    <w:p w14:paraId="7936F2A9" w14:textId="77777777" w:rsidR="00AB2198" w:rsidRDefault="00553883" w:rsidP="00D64638">
      <w:pPr>
        <w:pStyle w:val="ListParagraph"/>
        <w:spacing w:line="276" w:lineRule="auto"/>
        <w:ind w:left="0"/>
        <w:jc w:val="both"/>
        <w:rPr>
          <w:rFonts w:cs="Arial"/>
          <w:sz w:val="22"/>
          <w:szCs w:val="22"/>
        </w:rPr>
      </w:pPr>
      <w:r w:rsidRPr="000E7E9F">
        <w:rPr>
          <w:rFonts w:cs="Arial"/>
          <w:sz w:val="22"/>
          <w:szCs w:val="22"/>
        </w:rPr>
        <w:t>We have been unable to estimate the co</w:t>
      </w:r>
      <w:r w:rsidR="00B816C7">
        <w:rPr>
          <w:rFonts w:cs="Arial"/>
          <w:sz w:val="22"/>
          <w:szCs w:val="22"/>
        </w:rPr>
        <w:t>sts to subsidiary firms from this</w:t>
      </w:r>
      <w:r w:rsidRPr="000E7E9F">
        <w:rPr>
          <w:rFonts w:cs="Arial"/>
          <w:sz w:val="22"/>
          <w:szCs w:val="22"/>
        </w:rPr>
        <w:t xml:space="preserve"> survey, as </w:t>
      </w:r>
      <w:r w:rsidR="005A73C3">
        <w:rPr>
          <w:rFonts w:cs="Arial"/>
          <w:sz w:val="22"/>
          <w:szCs w:val="22"/>
        </w:rPr>
        <w:t xml:space="preserve">information from the </w:t>
      </w:r>
      <w:r w:rsidR="005A73C3" w:rsidRPr="00AB2198">
        <w:rPr>
          <w:rFonts w:cs="Arial"/>
          <w:sz w:val="22"/>
          <w:szCs w:val="22"/>
        </w:rPr>
        <w:t>few</w:t>
      </w:r>
      <w:r w:rsidRPr="00AB2198">
        <w:rPr>
          <w:rFonts w:cs="Arial"/>
          <w:sz w:val="22"/>
          <w:szCs w:val="22"/>
        </w:rPr>
        <w:t xml:space="preserve"> subsidiary re</w:t>
      </w:r>
      <w:r w:rsidR="005A73C3" w:rsidRPr="00AB2198">
        <w:rPr>
          <w:rFonts w:cs="Arial"/>
          <w:sz w:val="22"/>
          <w:szCs w:val="22"/>
        </w:rPr>
        <w:t>spondents</w:t>
      </w:r>
      <w:r w:rsidRPr="00AB2198">
        <w:rPr>
          <w:rFonts w:cs="Arial"/>
          <w:sz w:val="22"/>
          <w:szCs w:val="22"/>
        </w:rPr>
        <w:t xml:space="preserve"> was </w:t>
      </w:r>
      <w:r w:rsidR="005A73C3" w:rsidRPr="00AB2198">
        <w:rPr>
          <w:rFonts w:cs="Arial"/>
          <w:sz w:val="22"/>
          <w:szCs w:val="22"/>
        </w:rPr>
        <w:t>not useable without</w:t>
      </w:r>
      <w:r w:rsidRPr="00AB2198">
        <w:rPr>
          <w:rFonts w:cs="Arial"/>
          <w:sz w:val="22"/>
          <w:szCs w:val="22"/>
        </w:rPr>
        <w:t xml:space="preserve"> further clarifications</w:t>
      </w:r>
      <w:r w:rsidR="005A73C3" w:rsidRPr="00AB2198">
        <w:rPr>
          <w:rFonts w:cs="Arial"/>
          <w:sz w:val="22"/>
          <w:szCs w:val="22"/>
        </w:rPr>
        <w:t xml:space="preserve"> and had to be disregarded</w:t>
      </w:r>
      <w:r w:rsidRPr="00AB2198">
        <w:rPr>
          <w:rFonts w:cs="Arial"/>
          <w:sz w:val="22"/>
          <w:szCs w:val="22"/>
        </w:rPr>
        <w:t xml:space="preserve">. </w:t>
      </w:r>
      <w:r w:rsidR="005A73C3" w:rsidRPr="00AB2198">
        <w:rPr>
          <w:rFonts w:cs="Arial"/>
          <w:sz w:val="22"/>
          <w:szCs w:val="22"/>
        </w:rPr>
        <w:t>As s</w:t>
      </w:r>
      <w:r w:rsidRPr="00AB2198">
        <w:rPr>
          <w:rFonts w:cs="Arial"/>
          <w:sz w:val="22"/>
          <w:szCs w:val="22"/>
        </w:rPr>
        <w:t>ubsidiary companies would not have to produce reports</w:t>
      </w:r>
      <w:r w:rsidR="005A73C3" w:rsidRPr="00AB2198">
        <w:rPr>
          <w:rFonts w:cs="Arial"/>
          <w:sz w:val="22"/>
          <w:szCs w:val="22"/>
        </w:rPr>
        <w:t xml:space="preserve">, </w:t>
      </w:r>
      <w:r w:rsidRPr="00AB2198">
        <w:rPr>
          <w:rFonts w:cs="Arial"/>
          <w:sz w:val="22"/>
          <w:szCs w:val="22"/>
        </w:rPr>
        <w:t xml:space="preserve">the changes </w:t>
      </w:r>
      <w:r w:rsidR="005A73C3" w:rsidRPr="00AB2198">
        <w:rPr>
          <w:rFonts w:cs="Arial"/>
          <w:sz w:val="22"/>
          <w:szCs w:val="22"/>
        </w:rPr>
        <w:t>would impose a</w:t>
      </w:r>
      <w:r w:rsidRPr="00AB2198">
        <w:rPr>
          <w:rFonts w:cs="Arial"/>
          <w:sz w:val="22"/>
          <w:szCs w:val="22"/>
        </w:rPr>
        <w:t xml:space="preserve"> relatively minor change in the flow of information from subsidiaries to their parent companies. </w:t>
      </w:r>
      <w:r w:rsidR="00DB55AC" w:rsidRPr="00AB2198">
        <w:rPr>
          <w:rFonts w:cs="Arial"/>
          <w:sz w:val="22"/>
          <w:szCs w:val="22"/>
        </w:rPr>
        <w:t xml:space="preserve">Estimates produced in the </w:t>
      </w:r>
      <w:r w:rsidRPr="00AB2198">
        <w:rPr>
          <w:rFonts w:cs="Arial"/>
          <w:sz w:val="22"/>
          <w:szCs w:val="22"/>
        </w:rPr>
        <w:t xml:space="preserve">Consultation </w:t>
      </w:r>
      <w:r w:rsidR="00DB55AC" w:rsidRPr="00AB2198">
        <w:rPr>
          <w:rFonts w:cs="Arial"/>
          <w:sz w:val="22"/>
          <w:szCs w:val="22"/>
        </w:rPr>
        <w:t xml:space="preserve">Stage </w:t>
      </w:r>
      <w:r w:rsidR="005A73C3" w:rsidRPr="00AB2198">
        <w:rPr>
          <w:rFonts w:cs="Arial"/>
          <w:sz w:val="22"/>
          <w:szCs w:val="22"/>
        </w:rPr>
        <w:t xml:space="preserve">IA </w:t>
      </w:r>
      <w:r w:rsidRPr="00AB2198">
        <w:rPr>
          <w:rFonts w:cs="Arial"/>
          <w:sz w:val="22"/>
          <w:szCs w:val="22"/>
        </w:rPr>
        <w:t xml:space="preserve">indicated that the costs would be low. </w:t>
      </w:r>
      <w:r w:rsidR="00B816C7" w:rsidRPr="00AB2198">
        <w:rPr>
          <w:rFonts w:cs="Arial"/>
          <w:sz w:val="22"/>
          <w:szCs w:val="22"/>
        </w:rPr>
        <w:t xml:space="preserve">However, these estimates were also based on just two responses and implied </w:t>
      </w:r>
      <w:r w:rsidR="00AB2198" w:rsidRPr="00AB2198">
        <w:rPr>
          <w:rFonts w:cs="Arial"/>
          <w:sz w:val="22"/>
          <w:szCs w:val="22"/>
        </w:rPr>
        <w:t xml:space="preserve">a </w:t>
      </w:r>
      <w:r w:rsidR="00B816C7" w:rsidRPr="00AB2198">
        <w:rPr>
          <w:rFonts w:cs="Arial"/>
          <w:sz w:val="22"/>
          <w:szCs w:val="22"/>
        </w:rPr>
        <w:t xml:space="preserve">cost </w:t>
      </w:r>
      <w:r w:rsidR="00AB2198" w:rsidRPr="00AB2198">
        <w:rPr>
          <w:rFonts w:cs="Arial"/>
          <w:sz w:val="22"/>
          <w:szCs w:val="22"/>
        </w:rPr>
        <w:t>of</w:t>
      </w:r>
      <w:r w:rsidR="00B816C7" w:rsidRPr="00AB2198">
        <w:rPr>
          <w:rFonts w:cs="Arial"/>
          <w:sz w:val="22"/>
          <w:szCs w:val="22"/>
        </w:rPr>
        <w:t xml:space="preserve"> just £2.31 - £3.36 per subsidiary per annum</w:t>
      </w:r>
      <w:r w:rsidR="00AB2198" w:rsidRPr="00AB2198">
        <w:rPr>
          <w:rFonts w:cs="Arial"/>
          <w:sz w:val="22"/>
          <w:szCs w:val="22"/>
        </w:rPr>
        <w:t>, which we don’t consider to be</w:t>
      </w:r>
      <w:r w:rsidR="00B816C7" w:rsidRPr="00AB2198">
        <w:rPr>
          <w:rFonts w:cs="Arial"/>
          <w:sz w:val="22"/>
          <w:szCs w:val="22"/>
        </w:rPr>
        <w:t xml:space="preserve"> representative.</w:t>
      </w:r>
      <w:r w:rsidR="00DB55AC" w:rsidRPr="00AB2198">
        <w:rPr>
          <w:rFonts w:cs="Arial"/>
          <w:sz w:val="22"/>
          <w:szCs w:val="22"/>
        </w:rPr>
        <w:t xml:space="preserve"> </w:t>
      </w:r>
    </w:p>
    <w:p w14:paraId="4C082C10" w14:textId="77777777" w:rsidR="00AB2198" w:rsidRDefault="00AB2198" w:rsidP="00D64638">
      <w:pPr>
        <w:pStyle w:val="ListParagraph"/>
        <w:spacing w:line="276" w:lineRule="auto"/>
        <w:ind w:left="0"/>
        <w:jc w:val="both"/>
        <w:rPr>
          <w:rFonts w:cs="Arial"/>
          <w:sz w:val="22"/>
          <w:szCs w:val="22"/>
        </w:rPr>
      </w:pPr>
    </w:p>
    <w:p w14:paraId="708F4697" w14:textId="77777777" w:rsidR="00553883" w:rsidRPr="003415CC" w:rsidRDefault="00553883" w:rsidP="00D64638">
      <w:pPr>
        <w:pStyle w:val="ListParagraph"/>
        <w:spacing w:line="276" w:lineRule="auto"/>
        <w:ind w:left="0"/>
        <w:jc w:val="both"/>
        <w:rPr>
          <w:rFonts w:cs="Arial"/>
          <w:sz w:val="22"/>
          <w:szCs w:val="22"/>
        </w:rPr>
      </w:pPr>
      <w:r w:rsidRPr="00AB2198">
        <w:rPr>
          <w:rFonts w:cs="Arial"/>
          <w:sz w:val="22"/>
          <w:szCs w:val="22"/>
        </w:rPr>
        <w:t>We therefore base cost estimates for subsidiaries on the</w:t>
      </w:r>
      <w:r w:rsidR="00AB2198">
        <w:rPr>
          <w:rFonts w:cs="Arial"/>
          <w:sz w:val="22"/>
          <w:szCs w:val="22"/>
        </w:rPr>
        <w:t xml:space="preserve"> current survey evidence – but on the</w:t>
      </w:r>
      <w:r w:rsidRPr="00AB2198">
        <w:rPr>
          <w:rFonts w:cs="Arial"/>
          <w:sz w:val="22"/>
          <w:szCs w:val="22"/>
        </w:rPr>
        <w:t xml:space="preserve"> assumption that these would be a percentage of the costs to their</w:t>
      </w:r>
      <w:r w:rsidRPr="003415CC">
        <w:rPr>
          <w:rFonts w:cs="Arial"/>
          <w:sz w:val="22"/>
          <w:szCs w:val="22"/>
        </w:rPr>
        <w:t xml:space="preserve"> parent companies. We take 5</w:t>
      </w:r>
      <w:r w:rsidR="00F24853">
        <w:rPr>
          <w:rFonts w:cs="Arial"/>
          <w:sz w:val="22"/>
          <w:szCs w:val="22"/>
        </w:rPr>
        <w:t>0% and 100</w:t>
      </w:r>
      <w:r w:rsidRPr="003415CC">
        <w:rPr>
          <w:rFonts w:cs="Arial"/>
          <w:sz w:val="22"/>
          <w:szCs w:val="22"/>
        </w:rPr>
        <w:t>% of costs to parents as the l</w:t>
      </w:r>
      <w:r w:rsidR="00F24853">
        <w:rPr>
          <w:rFonts w:cs="Arial"/>
          <w:sz w:val="22"/>
          <w:szCs w:val="22"/>
        </w:rPr>
        <w:t>ower and upper bounds and use 75</w:t>
      </w:r>
      <w:r w:rsidRPr="003415CC">
        <w:rPr>
          <w:rFonts w:cs="Arial"/>
          <w:sz w:val="22"/>
          <w:szCs w:val="22"/>
        </w:rPr>
        <w:t>% as our best estimate. The resulting estimated costs to subsidiary companies are provided in Annex C.</w:t>
      </w:r>
    </w:p>
    <w:p w14:paraId="4393F475" w14:textId="77777777" w:rsidR="00553883" w:rsidRPr="003415CC" w:rsidRDefault="00553883" w:rsidP="00D64638">
      <w:pPr>
        <w:pStyle w:val="ListParagraph"/>
        <w:spacing w:line="276" w:lineRule="auto"/>
        <w:ind w:left="0"/>
        <w:jc w:val="both"/>
        <w:rPr>
          <w:rFonts w:cs="Arial"/>
          <w:sz w:val="22"/>
          <w:szCs w:val="22"/>
        </w:rPr>
      </w:pPr>
    </w:p>
    <w:p w14:paraId="1E161209" w14:textId="77777777" w:rsidR="00DB55AC" w:rsidRPr="003415CC" w:rsidRDefault="00553883" w:rsidP="00DB55AC">
      <w:pPr>
        <w:pStyle w:val="ListParagraph"/>
        <w:spacing w:line="276" w:lineRule="auto"/>
        <w:ind w:left="0"/>
        <w:jc w:val="both"/>
        <w:rPr>
          <w:rFonts w:cs="Arial"/>
          <w:sz w:val="22"/>
          <w:szCs w:val="22"/>
        </w:rPr>
      </w:pPr>
      <w:r w:rsidRPr="003415CC">
        <w:rPr>
          <w:rFonts w:cs="Arial"/>
          <w:sz w:val="22"/>
          <w:szCs w:val="22"/>
        </w:rPr>
        <w:t xml:space="preserve">Annex D shows the </w:t>
      </w:r>
      <w:r w:rsidR="00DB55AC">
        <w:rPr>
          <w:rFonts w:cs="Arial"/>
          <w:sz w:val="22"/>
          <w:szCs w:val="22"/>
        </w:rPr>
        <w:t xml:space="preserve">results of our </w:t>
      </w:r>
      <w:r w:rsidRPr="003415CC">
        <w:rPr>
          <w:rFonts w:cs="Arial"/>
          <w:sz w:val="22"/>
          <w:szCs w:val="22"/>
        </w:rPr>
        <w:t>calculations of low, high and best estimates of overall costs to companies in scope and affected by the changes under the different options.</w:t>
      </w:r>
      <w:r w:rsidR="00DB55AC">
        <w:rPr>
          <w:rFonts w:cs="Arial"/>
          <w:sz w:val="22"/>
          <w:szCs w:val="22"/>
        </w:rPr>
        <w:t xml:space="preserve">  This involves multiplying </w:t>
      </w:r>
      <w:r w:rsidR="00DB55AC">
        <w:rPr>
          <w:rFonts w:cs="Arial"/>
          <w:sz w:val="22"/>
          <w:szCs w:val="22"/>
        </w:rPr>
        <w:lastRenderedPageBreak/>
        <w:t>expected average first year and ongoing cost per company</w:t>
      </w:r>
      <w:r w:rsidR="00DB55AC" w:rsidRPr="003415CC">
        <w:rPr>
          <w:rFonts w:cs="Arial"/>
          <w:sz w:val="22"/>
          <w:szCs w:val="22"/>
        </w:rPr>
        <w:t xml:space="preserve"> </w:t>
      </w:r>
      <w:r w:rsidR="00DB55AC">
        <w:rPr>
          <w:rFonts w:cs="Arial"/>
          <w:sz w:val="22"/>
          <w:szCs w:val="22"/>
        </w:rPr>
        <w:t xml:space="preserve">by the number of companies in scope, and then summing to arrive at total first year and ongoing costs. </w:t>
      </w:r>
    </w:p>
    <w:p w14:paraId="4FBE9B77" w14:textId="77777777" w:rsidR="00553883" w:rsidRPr="003415CC" w:rsidRDefault="00553883" w:rsidP="00D64638">
      <w:pPr>
        <w:pStyle w:val="ListParagraph"/>
        <w:spacing w:line="276" w:lineRule="auto"/>
        <w:ind w:left="0"/>
        <w:jc w:val="both"/>
        <w:rPr>
          <w:rFonts w:cs="Arial"/>
          <w:sz w:val="22"/>
          <w:szCs w:val="22"/>
        </w:rPr>
      </w:pPr>
    </w:p>
    <w:p w14:paraId="5E5F06E9" w14:textId="77777777" w:rsidR="00553883" w:rsidRPr="003415CC" w:rsidRDefault="00553883" w:rsidP="00D64638">
      <w:pPr>
        <w:pStyle w:val="ListParagraph"/>
        <w:spacing w:line="276" w:lineRule="auto"/>
        <w:ind w:left="0"/>
        <w:jc w:val="both"/>
        <w:rPr>
          <w:rFonts w:cs="Arial"/>
          <w:sz w:val="22"/>
          <w:szCs w:val="22"/>
        </w:rPr>
      </w:pPr>
      <w:r w:rsidRPr="003415CC">
        <w:rPr>
          <w:rFonts w:cs="Arial"/>
          <w:sz w:val="22"/>
          <w:szCs w:val="22"/>
        </w:rPr>
        <w:t>In addition to this, we assume companies that are in scope but already reporting on the required matters would</w:t>
      </w:r>
      <w:r w:rsidR="00EE3008">
        <w:rPr>
          <w:rFonts w:cs="Arial"/>
          <w:sz w:val="22"/>
          <w:szCs w:val="22"/>
        </w:rPr>
        <w:t xml:space="preserve"> also</w:t>
      </w:r>
      <w:r w:rsidRPr="003415CC">
        <w:rPr>
          <w:rFonts w:cs="Arial"/>
          <w:sz w:val="22"/>
          <w:szCs w:val="22"/>
        </w:rPr>
        <w:t xml:space="preserve"> still incur the familiarisation costs </w:t>
      </w:r>
      <w:r w:rsidR="00EE3008">
        <w:rPr>
          <w:rFonts w:cs="Arial"/>
          <w:sz w:val="22"/>
          <w:szCs w:val="22"/>
        </w:rPr>
        <w:t xml:space="preserve">of </w:t>
      </w:r>
      <w:r w:rsidR="00DB55AC">
        <w:rPr>
          <w:rFonts w:cs="Arial"/>
          <w:sz w:val="22"/>
          <w:szCs w:val="22"/>
        </w:rPr>
        <w:t xml:space="preserve">getting up to speed </w:t>
      </w:r>
      <w:r w:rsidRPr="003415CC">
        <w:rPr>
          <w:rFonts w:cs="Arial"/>
          <w:sz w:val="22"/>
          <w:szCs w:val="22"/>
        </w:rPr>
        <w:t>with the new obligations</w:t>
      </w:r>
      <w:r w:rsidR="00EE3008">
        <w:rPr>
          <w:rFonts w:cs="Arial"/>
          <w:sz w:val="22"/>
          <w:szCs w:val="22"/>
        </w:rPr>
        <w:t xml:space="preserve"> and reporting formats</w:t>
      </w:r>
      <w:r w:rsidRPr="003415CC">
        <w:rPr>
          <w:rFonts w:cs="Arial"/>
          <w:sz w:val="22"/>
          <w:szCs w:val="22"/>
        </w:rPr>
        <w:t xml:space="preserve">. These are provided in Annex E. Table </w:t>
      </w:r>
      <w:r w:rsidR="007506AE">
        <w:rPr>
          <w:rFonts w:cs="Arial"/>
          <w:sz w:val="22"/>
          <w:szCs w:val="22"/>
        </w:rPr>
        <w:t>6</w:t>
      </w:r>
      <w:r w:rsidRPr="003415CC">
        <w:rPr>
          <w:rFonts w:cs="Arial"/>
          <w:sz w:val="22"/>
          <w:szCs w:val="22"/>
        </w:rPr>
        <w:t xml:space="preserve"> below summarises and explains the impact of the various options and provides the components of our best estimates of the costs and savings under each.</w:t>
      </w:r>
    </w:p>
    <w:p w14:paraId="7E98FAF2" w14:textId="77777777" w:rsidR="00553883" w:rsidRPr="003415CC" w:rsidRDefault="00553883" w:rsidP="00D64638">
      <w:pPr>
        <w:pStyle w:val="ListParagraph"/>
        <w:spacing w:line="276" w:lineRule="auto"/>
        <w:ind w:left="0"/>
        <w:jc w:val="both"/>
        <w:rPr>
          <w:rFonts w:cs="Arial"/>
          <w:sz w:val="22"/>
          <w:szCs w:val="22"/>
        </w:rPr>
      </w:pPr>
    </w:p>
    <w:p w14:paraId="4DE0221B" w14:textId="77777777" w:rsidR="00553883" w:rsidRPr="003415CC" w:rsidRDefault="00EE0965" w:rsidP="00D64638">
      <w:pPr>
        <w:pStyle w:val="ListParagraph"/>
        <w:keepNext/>
        <w:spacing w:line="276" w:lineRule="auto"/>
        <w:ind w:left="0"/>
        <w:jc w:val="center"/>
        <w:rPr>
          <w:rFonts w:cs="Arial"/>
          <w:b/>
          <w:sz w:val="20"/>
          <w:szCs w:val="20"/>
        </w:rPr>
      </w:pPr>
      <w:r w:rsidRPr="003415CC">
        <w:rPr>
          <w:rFonts w:cs="Arial"/>
          <w:b/>
          <w:sz w:val="20"/>
          <w:szCs w:val="20"/>
        </w:rPr>
        <w:t>T</w:t>
      </w:r>
      <w:r w:rsidR="002D1020">
        <w:rPr>
          <w:rFonts w:cs="Arial"/>
          <w:b/>
          <w:sz w:val="20"/>
          <w:szCs w:val="20"/>
        </w:rPr>
        <w:t xml:space="preserve">able </w:t>
      </w:r>
      <w:r w:rsidR="007506AE">
        <w:rPr>
          <w:rFonts w:cs="Arial"/>
          <w:b/>
          <w:sz w:val="20"/>
          <w:szCs w:val="20"/>
        </w:rPr>
        <w:t>6</w:t>
      </w:r>
      <w:r w:rsidR="00553883" w:rsidRPr="003415CC">
        <w:rPr>
          <w:rFonts w:cs="Arial"/>
          <w:b/>
          <w:sz w:val="20"/>
          <w:szCs w:val="20"/>
        </w:rPr>
        <w:t xml:space="preserve">: Costs of the different </w:t>
      </w:r>
      <w:r w:rsidR="006E45FF">
        <w:rPr>
          <w:rFonts w:cs="Arial"/>
          <w:b/>
          <w:sz w:val="20"/>
          <w:szCs w:val="20"/>
        </w:rPr>
        <w:t>o</w:t>
      </w:r>
      <w:r w:rsidR="00553883" w:rsidRPr="003415CC">
        <w:rPr>
          <w:rFonts w:cs="Arial"/>
          <w:b/>
          <w:sz w:val="20"/>
          <w:szCs w:val="20"/>
        </w:rPr>
        <w:t>ptions</w:t>
      </w:r>
    </w:p>
    <w:tbl>
      <w:tblPr>
        <w:tblStyle w:val="TableGrid"/>
        <w:tblW w:w="0" w:type="auto"/>
        <w:tblLook w:val="04A0" w:firstRow="1" w:lastRow="0" w:firstColumn="1" w:lastColumn="0" w:noHBand="0" w:noVBand="1"/>
      </w:tblPr>
      <w:tblGrid>
        <w:gridCol w:w="1694"/>
        <w:gridCol w:w="4677"/>
        <w:gridCol w:w="3464"/>
      </w:tblGrid>
      <w:tr w:rsidR="00553883" w:rsidRPr="003415CC" w14:paraId="27BF5A82" w14:textId="77777777" w:rsidTr="00DF1385">
        <w:tc>
          <w:tcPr>
            <w:tcW w:w="1101" w:type="dxa"/>
            <w:vAlign w:val="center"/>
          </w:tcPr>
          <w:p w14:paraId="2A8939F4" w14:textId="77777777" w:rsidR="00553883" w:rsidRPr="003415CC" w:rsidRDefault="00553883" w:rsidP="00D64638">
            <w:pPr>
              <w:pStyle w:val="ListParagraph"/>
              <w:keepNext/>
              <w:spacing w:line="276" w:lineRule="auto"/>
              <w:ind w:left="0"/>
              <w:jc w:val="both"/>
              <w:rPr>
                <w:rFonts w:cs="Arial"/>
                <w:b/>
                <w:sz w:val="20"/>
                <w:szCs w:val="20"/>
              </w:rPr>
            </w:pPr>
            <w:r w:rsidRPr="003415CC">
              <w:rPr>
                <w:rFonts w:cs="Arial"/>
                <w:b/>
                <w:sz w:val="20"/>
                <w:szCs w:val="20"/>
              </w:rPr>
              <w:t>Option</w:t>
            </w:r>
          </w:p>
        </w:tc>
        <w:tc>
          <w:tcPr>
            <w:tcW w:w="4677" w:type="dxa"/>
            <w:vAlign w:val="center"/>
          </w:tcPr>
          <w:p w14:paraId="6D811ECE" w14:textId="77777777" w:rsidR="00553883" w:rsidRPr="003415CC" w:rsidRDefault="00553883" w:rsidP="00D64638">
            <w:pPr>
              <w:pStyle w:val="ListParagraph"/>
              <w:keepNext/>
              <w:spacing w:line="276" w:lineRule="auto"/>
              <w:ind w:left="0"/>
              <w:jc w:val="both"/>
              <w:rPr>
                <w:rFonts w:cs="Arial"/>
                <w:b/>
                <w:sz w:val="20"/>
                <w:szCs w:val="20"/>
              </w:rPr>
            </w:pPr>
            <w:r w:rsidRPr="003415CC">
              <w:rPr>
                <w:rFonts w:cs="Arial"/>
                <w:b/>
                <w:sz w:val="20"/>
                <w:szCs w:val="20"/>
              </w:rPr>
              <w:t>Description of impact</w:t>
            </w:r>
          </w:p>
        </w:tc>
        <w:tc>
          <w:tcPr>
            <w:tcW w:w="3464" w:type="dxa"/>
            <w:vAlign w:val="center"/>
          </w:tcPr>
          <w:p w14:paraId="0D87A486" w14:textId="77777777" w:rsidR="00553883" w:rsidRPr="003415CC" w:rsidRDefault="00553883" w:rsidP="00D64638">
            <w:pPr>
              <w:pStyle w:val="ListParagraph"/>
              <w:keepNext/>
              <w:spacing w:line="276" w:lineRule="auto"/>
              <w:ind w:left="0"/>
              <w:jc w:val="both"/>
              <w:rPr>
                <w:rFonts w:cs="Arial"/>
                <w:b/>
                <w:sz w:val="20"/>
                <w:szCs w:val="20"/>
              </w:rPr>
            </w:pPr>
            <w:r w:rsidRPr="003415CC">
              <w:rPr>
                <w:rFonts w:cs="Arial"/>
                <w:b/>
                <w:sz w:val="20"/>
                <w:szCs w:val="20"/>
              </w:rPr>
              <w:t>Best Estimates o</w:t>
            </w:r>
            <w:r w:rsidR="00990BFC">
              <w:rPr>
                <w:rFonts w:cs="Arial"/>
                <w:b/>
                <w:sz w:val="20"/>
                <w:szCs w:val="20"/>
              </w:rPr>
              <w:t>f costs</w:t>
            </w:r>
          </w:p>
        </w:tc>
      </w:tr>
      <w:tr w:rsidR="00553883" w:rsidRPr="003415CC" w14:paraId="31DE4FFC" w14:textId="77777777" w:rsidTr="00DF1385">
        <w:tc>
          <w:tcPr>
            <w:tcW w:w="1101" w:type="dxa"/>
            <w:vAlign w:val="center"/>
          </w:tcPr>
          <w:p w14:paraId="72FFFF0C" w14:textId="77777777" w:rsidR="007A7049" w:rsidRDefault="00553883" w:rsidP="00D64638">
            <w:pPr>
              <w:pStyle w:val="ListParagraph"/>
              <w:keepNext/>
              <w:spacing w:line="276" w:lineRule="auto"/>
              <w:ind w:left="0"/>
              <w:jc w:val="both"/>
              <w:rPr>
                <w:rFonts w:cs="Arial"/>
                <w:b/>
                <w:sz w:val="20"/>
                <w:szCs w:val="20"/>
              </w:rPr>
            </w:pPr>
            <w:r w:rsidRPr="003415CC">
              <w:rPr>
                <w:rFonts w:cs="Arial"/>
                <w:b/>
                <w:sz w:val="20"/>
                <w:szCs w:val="20"/>
              </w:rPr>
              <w:t>Option 1</w:t>
            </w:r>
            <w:r w:rsidR="007A7049">
              <w:rPr>
                <w:rFonts w:cs="Arial"/>
                <w:b/>
                <w:sz w:val="20"/>
                <w:szCs w:val="20"/>
              </w:rPr>
              <w:t xml:space="preserve">: </w:t>
            </w:r>
          </w:p>
          <w:p w14:paraId="61E856AF" w14:textId="77777777" w:rsidR="00553883" w:rsidRPr="003415CC" w:rsidRDefault="007A7049" w:rsidP="00D64638">
            <w:pPr>
              <w:pStyle w:val="ListParagraph"/>
              <w:keepNext/>
              <w:spacing w:line="276" w:lineRule="auto"/>
              <w:ind w:left="0"/>
              <w:jc w:val="both"/>
              <w:rPr>
                <w:rFonts w:cs="Arial"/>
                <w:b/>
                <w:sz w:val="20"/>
                <w:szCs w:val="20"/>
              </w:rPr>
            </w:pPr>
            <w:r>
              <w:rPr>
                <w:rFonts w:cs="Arial"/>
                <w:b/>
                <w:sz w:val="20"/>
                <w:szCs w:val="20"/>
              </w:rPr>
              <w:t>Do Nothing</w:t>
            </w:r>
          </w:p>
        </w:tc>
        <w:tc>
          <w:tcPr>
            <w:tcW w:w="4677" w:type="dxa"/>
          </w:tcPr>
          <w:p w14:paraId="295263FF" w14:textId="77777777" w:rsidR="00553883" w:rsidRPr="003415CC" w:rsidRDefault="00EE3008" w:rsidP="00D64638">
            <w:pPr>
              <w:pStyle w:val="ListParagraph"/>
              <w:keepNext/>
              <w:spacing w:line="276" w:lineRule="auto"/>
              <w:ind w:left="0"/>
              <w:jc w:val="both"/>
              <w:rPr>
                <w:rFonts w:cs="Arial"/>
                <w:sz w:val="20"/>
                <w:szCs w:val="20"/>
              </w:rPr>
            </w:pPr>
            <w:r>
              <w:rPr>
                <w:rFonts w:cs="Arial"/>
                <w:sz w:val="20"/>
                <w:szCs w:val="20"/>
              </w:rPr>
              <w:t>None</w:t>
            </w:r>
          </w:p>
        </w:tc>
        <w:tc>
          <w:tcPr>
            <w:tcW w:w="3464" w:type="dxa"/>
          </w:tcPr>
          <w:p w14:paraId="58D3011B" w14:textId="77777777" w:rsidR="00553883" w:rsidRPr="003415CC" w:rsidRDefault="00EE3008" w:rsidP="00D64638">
            <w:pPr>
              <w:pStyle w:val="ListParagraph"/>
              <w:keepNext/>
              <w:numPr>
                <w:ilvl w:val="0"/>
                <w:numId w:val="43"/>
              </w:numPr>
              <w:spacing w:line="276" w:lineRule="auto"/>
              <w:jc w:val="both"/>
              <w:rPr>
                <w:rFonts w:cs="Arial"/>
                <w:sz w:val="20"/>
                <w:szCs w:val="20"/>
              </w:rPr>
            </w:pPr>
            <w:r>
              <w:rPr>
                <w:rFonts w:cs="Arial"/>
                <w:sz w:val="20"/>
                <w:szCs w:val="20"/>
              </w:rPr>
              <w:t xml:space="preserve">No costs </w:t>
            </w:r>
          </w:p>
        </w:tc>
      </w:tr>
      <w:tr w:rsidR="00553883" w:rsidRPr="003415CC" w14:paraId="444E73B9" w14:textId="77777777" w:rsidTr="00DF1385">
        <w:tc>
          <w:tcPr>
            <w:tcW w:w="1101" w:type="dxa"/>
            <w:vAlign w:val="center"/>
          </w:tcPr>
          <w:p w14:paraId="38AF54F5" w14:textId="77777777" w:rsidR="00553883" w:rsidRDefault="00553883" w:rsidP="00D64638">
            <w:pPr>
              <w:pStyle w:val="ListParagraph"/>
              <w:keepNext/>
              <w:spacing w:line="276" w:lineRule="auto"/>
              <w:ind w:left="0"/>
              <w:jc w:val="both"/>
              <w:rPr>
                <w:rFonts w:cs="Arial"/>
                <w:b/>
                <w:sz w:val="20"/>
                <w:szCs w:val="20"/>
              </w:rPr>
            </w:pPr>
            <w:r w:rsidRPr="003415CC">
              <w:rPr>
                <w:rFonts w:cs="Arial"/>
                <w:b/>
                <w:sz w:val="20"/>
                <w:szCs w:val="20"/>
              </w:rPr>
              <w:t>Option 2</w:t>
            </w:r>
            <w:r w:rsidR="00B13DDB">
              <w:rPr>
                <w:rFonts w:cs="Arial"/>
                <w:b/>
                <w:sz w:val="20"/>
                <w:szCs w:val="20"/>
              </w:rPr>
              <w:t>:</w:t>
            </w:r>
          </w:p>
          <w:p w14:paraId="395B0FC0" w14:textId="77777777" w:rsidR="00B13DDB" w:rsidRPr="003415CC" w:rsidRDefault="00B13DDB" w:rsidP="00D64638">
            <w:pPr>
              <w:pStyle w:val="ListParagraph"/>
              <w:keepNext/>
              <w:spacing w:line="276" w:lineRule="auto"/>
              <w:ind w:left="0"/>
              <w:jc w:val="both"/>
              <w:rPr>
                <w:rFonts w:cs="Arial"/>
                <w:b/>
                <w:sz w:val="20"/>
                <w:szCs w:val="20"/>
              </w:rPr>
            </w:pPr>
            <w:r>
              <w:rPr>
                <w:rFonts w:cs="Arial"/>
                <w:b/>
                <w:sz w:val="20"/>
                <w:szCs w:val="20"/>
              </w:rPr>
              <w:t>Minimum Implementation</w:t>
            </w:r>
          </w:p>
        </w:tc>
        <w:tc>
          <w:tcPr>
            <w:tcW w:w="4677" w:type="dxa"/>
          </w:tcPr>
          <w:p w14:paraId="7577FCEF" w14:textId="77777777" w:rsidR="00553883" w:rsidRPr="003415CC" w:rsidRDefault="00553883" w:rsidP="00D64638">
            <w:pPr>
              <w:pStyle w:val="ListParagraph"/>
              <w:keepNext/>
              <w:numPr>
                <w:ilvl w:val="0"/>
                <w:numId w:val="42"/>
              </w:numPr>
              <w:spacing w:line="276" w:lineRule="auto"/>
              <w:jc w:val="both"/>
              <w:rPr>
                <w:rFonts w:cs="Arial"/>
                <w:sz w:val="20"/>
                <w:szCs w:val="20"/>
              </w:rPr>
            </w:pPr>
            <w:r w:rsidRPr="003415CC">
              <w:rPr>
                <w:rFonts w:cs="Arial"/>
                <w:sz w:val="20"/>
                <w:szCs w:val="20"/>
              </w:rPr>
              <w:t>Costs to large quoted companies (with more than 500 employees)</w:t>
            </w:r>
            <w:r w:rsidR="008334E8">
              <w:rPr>
                <w:rFonts w:cs="Arial"/>
                <w:sz w:val="20"/>
                <w:szCs w:val="20"/>
              </w:rPr>
              <w:t xml:space="preserve"> and their subsidiaries</w:t>
            </w:r>
            <w:r w:rsidRPr="003415CC">
              <w:rPr>
                <w:rFonts w:cs="Arial"/>
                <w:sz w:val="20"/>
                <w:szCs w:val="20"/>
              </w:rPr>
              <w:t xml:space="preserve"> of meeting the two additional reporting requirements of the NFRD </w:t>
            </w:r>
            <w:proofErr w:type="gramStart"/>
            <w:r w:rsidRPr="003415CC">
              <w:rPr>
                <w:rFonts w:cs="Arial"/>
                <w:sz w:val="20"/>
                <w:szCs w:val="20"/>
              </w:rPr>
              <w:t>that are</w:t>
            </w:r>
            <w:proofErr w:type="gramEnd"/>
            <w:r w:rsidRPr="003415CC">
              <w:rPr>
                <w:rFonts w:cs="Arial"/>
                <w:sz w:val="20"/>
                <w:szCs w:val="20"/>
              </w:rPr>
              <w:t xml:space="preserve"> over and above those of the UK </w:t>
            </w:r>
            <w:r w:rsidR="00390FD2">
              <w:rPr>
                <w:rFonts w:cs="Arial"/>
                <w:sz w:val="20"/>
                <w:szCs w:val="20"/>
              </w:rPr>
              <w:t>E</w:t>
            </w:r>
            <w:r w:rsidRPr="003415CC">
              <w:rPr>
                <w:rFonts w:cs="Arial"/>
                <w:sz w:val="20"/>
                <w:szCs w:val="20"/>
              </w:rPr>
              <w:t xml:space="preserve">nhanced Strategic </w:t>
            </w:r>
            <w:r w:rsidR="00390FD2">
              <w:rPr>
                <w:rFonts w:cs="Arial"/>
                <w:sz w:val="20"/>
                <w:szCs w:val="20"/>
              </w:rPr>
              <w:t>R</w:t>
            </w:r>
            <w:r w:rsidRPr="003415CC">
              <w:rPr>
                <w:rFonts w:cs="Arial"/>
                <w:sz w:val="20"/>
                <w:szCs w:val="20"/>
              </w:rPr>
              <w:t>eport, which they already meet.</w:t>
            </w:r>
          </w:p>
          <w:p w14:paraId="172F41E8" w14:textId="77777777" w:rsidR="00553883" w:rsidRPr="003415CC" w:rsidRDefault="00553883" w:rsidP="00D64638">
            <w:pPr>
              <w:pStyle w:val="ListParagraph"/>
              <w:keepNext/>
              <w:numPr>
                <w:ilvl w:val="0"/>
                <w:numId w:val="42"/>
              </w:numPr>
              <w:spacing w:line="276" w:lineRule="auto"/>
              <w:jc w:val="both"/>
              <w:rPr>
                <w:rFonts w:cs="Arial"/>
                <w:sz w:val="20"/>
                <w:szCs w:val="20"/>
              </w:rPr>
            </w:pPr>
            <w:r w:rsidRPr="003415CC">
              <w:rPr>
                <w:rFonts w:cs="Arial"/>
                <w:sz w:val="20"/>
                <w:szCs w:val="20"/>
              </w:rPr>
              <w:t>Costs to large unquoted PIEs (with more than 500 employees)</w:t>
            </w:r>
            <w:r w:rsidR="006A6199">
              <w:rPr>
                <w:rFonts w:cs="Arial"/>
                <w:sz w:val="20"/>
                <w:szCs w:val="20"/>
              </w:rPr>
              <w:t xml:space="preserve"> and their subsidiaries</w:t>
            </w:r>
            <w:r w:rsidRPr="003415CC">
              <w:rPr>
                <w:rFonts w:cs="Arial"/>
                <w:sz w:val="20"/>
                <w:szCs w:val="20"/>
              </w:rPr>
              <w:t xml:space="preserve"> in meeting the additional requirements of the NFRD that they do not meet currently as they do not meet the requirements of the </w:t>
            </w:r>
            <w:r w:rsidR="00390FD2">
              <w:rPr>
                <w:rFonts w:cs="Arial"/>
                <w:sz w:val="20"/>
                <w:szCs w:val="20"/>
              </w:rPr>
              <w:t>E</w:t>
            </w:r>
            <w:r w:rsidRPr="003415CC">
              <w:rPr>
                <w:rFonts w:cs="Arial"/>
                <w:sz w:val="20"/>
                <w:szCs w:val="20"/>
              </w:rPr>
              <w:t xml:space="preserve">nhanced </w:t>
            </w:r>
            <w:r w:rsidR="00390FD2">
              <w:rPr>
                <w:rFonts w:cs="Arial"/>
                <w:sz w:val="20"/>
                <w:szCs w:val="20"/>
              </w:rPr>
              <w:t>S</w:t>
            </w:r>
            <w:r w:rsidRPr="003415CC">
              <w:rPr>
                <w:rFonts w:cs="Arial"/>
                <w:sz w:val="20"/>
                <w:szCs w:val="20"/>
              </w:rPr>
              <w:t xml:space="preserve">trategic </w:t>
            </w:r>
            <w:r w:rsidR="00390FD2">
              <w:rPr>
                <w:rFonts w:cs="Arial"/>
                <w:sz w:val="20"/>
                <w:szCs w:val="20"/>
              </w:rPr>
              <w:t>R</w:t>
            </w:r>
            <w:r w:rsidRPr="003415CC">
              <w:rPr>
                <w:rFonts w:cs="Arial"/>
                <w:sz w:val="20"/>
                <w:szCs w:val="20"/>
              </w:rPr>
              <w:t>eport.</w:t>
            </w:r>
          </w:p>
          <w:p w14:paraId="0B00161C" w14:textId="77777777" w:rsidR="00553883" w:rsidRPr="003415CC" w:rsidRDefault="00553883" w:rsidP="00D64638">
            <w:pPr>
              <w:pStyle w:val="ListParagraph"/>
              <w:keepNext/>
              <w:numPr>
                <w:ilvl w:val="0"/>
                <w:numId w:val="42"/>
              </w:numPr>
              <w:spacing w:line="276" w:lineRule="auto"/>
              <w:jc w:val="both"/>
              <w:rPr>
                <w:rFonts w:cs="Arial"/>
                <w:sz w:val="20"/>
                <w:szCs w:val="20"/>
              </w:rPr>
            </w:pPr>
            <w:r w:rsidRPr="003415CC">
              <w:rPr>
                <w:rFonts w:cs="Arial"/>
                <w:sz w:val="20"/>
                <w:szCs w:val="20"/>
              </w:rPr>
              <w:t>Costs to large unquoted PIEs (with more than 500 employees)</w:t>
            </w:r>
            <w:r w:rsidR="006A6199">
              <w:rPr>
                <w:rFonts w:cs="Arial"/>
                <w:sz w:val="20"/>
                <w:szCs w:val="20"/>
              </w:rPr>
              <w:t xml:space="preserve"> and their subsidiaries</w:t>
            </w:r>
            <w:r w:rsidRPr="003415CC">
              <w:rPr>
                <w:rFonts w:cs="Arial"/>
                <w:sz w:val="20"/>
                <w:szCs w:val="20"/>
              </w:rPr>
              <w:t xml:space="preserve"> in meeting the additional</w:t>
            </w:r>
            <w:r w:rsidR="00DF5806">
              <w:rPr>
                <w:rFonts w:cs="Arial"/>
                <w:sz w:val="20"/>
                <w:szCs w:val="20"/>
              </w:rPr>
              <w:t xml:space="preserve"> anti-bribery</w:t>
            </w:r>
            <w:r w:rsidRPr="003415CC">
              <w:rPr>
                <w:rFonts w:cs="Arial"/>
                <w:sz w:val="20"/>
                <w:szCs w:val="20"/>
              </w:rPr>
              <w:t xml:space="preserve"> reporting requirements</w:t>
            </w:r>
            <w:r w:rsidR="00DF5806">
              <w:rPr>
                <w:rFonts w:cs="Arial"/>
                <w:sz w:val="20"/>
                <w:szCs w:val="20"/>
              </w:rPr>
              <w:t xml:space="preserve"> of the NFRD</w:t>
            </w:r>
            <w:r w:rsidRPr="003415CC">
              <w:rPr>
                <w:rFonts w:cs="Arial"/>
                <w:sz w:val="20"/>
                <w:szCs w:val="20"/>
              </w:rPr>
              <w:t>.</w:t>
            </w:r>
          </w:p>
          <w:p w14:paraId="1D5CE5D3" w14:textId="77777777" w:rsidR="00553883" w:rsidRPr="003415CC" w:rsidRDefault="00553883" w:rsidP="006A6199">
            <w:pPr>
              <w:pStyle w:val="ListParagraph"/>
              <w:keepNext/>
              <w:numPr>
                <w:ilvl w:val="0"/>
                <w:numId w:val="42"/>
              </w:numPr>
              <w:spacing w:line="276" w:lineRule="auto"/>
              <w:jc w:val="both"/>
              <w:rPr>
                <w:rFonts w:cs="Arial"/>
                <w:sz w:val="20"/>
                <w:szCs w:val="20"/>
              </w:rPr>
            </w:pPr>
            <w:r w:rsidRPr="003415CC">
              <w:rPr>
                <w:rFonts w:cs="Arial"/>
                <w:sz w:val="20"/>
                <w:szCs w:val="20"/>
              </w:rPr>
              <w:t xml:space="preserve">Familiarisation costs to </w:t>
            </w:r>
            <w:r w:rsidR="006A6199">
              <w:rPr>
                <w:rFonts w:cs="Arial"/>
                <w:sz w:val="20"/>
                <w:szCs w:val="20"/>
              </w:rPr>
              <w:t>quoted and unquoted PIEs</w:t>
            </w:r>
            <w:r w:rsidRPr="003415CC">
              <w:rPr>
                <w:rFonts w:cs="Arial"/>
                <w:sz w:val="20"/>
                <w:szCs w:val="20"/>
              </w:rPr>
              <w:t xml:space="preserve"> that are</w:t>
            </w:r>
            <w:r w:rsidR="006A6199">
              <w:rPr>
                <w:rFonts w:cs="Arial"/>
                <w:sz w:val="20"/>
                <w:szCs w:val="20"/>
              </w:rPr>
              <w:t xml:space="preserve"> in scope but are</w:t>
            </w:r>
            <w:r w:rsidRPr="003415CC">
              <w:rPr>
                <w:rFonts w:cs="Arial"/>
                <w:sz w:val="20"/>
                <w:szCs w:val="20"/>
              </w:rPr>
              <w:t xml:space="preserve"> already reporting on </w:t>
            </w:r>
            <w:r w:rsidR="006A6199">
              <w:rPr>
                <w:rFonts w:cs="Arial"/>
                <w:sz w:val="20"/>
                <w:szCs w:val="20"/>
              </w:rPr>
              <w:t xml:space="preserve">additional matters in the </w:t>
            </w:r>
            <w:r w:rsidRPr="003415CC">
              <w:rPr>
                <w:rFonts w:cs="Arial"/>
                <w:sz w:val="20"/>
                <w:szCs w:val="20"/>
              </w:rPr>
              <w:t>new requirements</w:t>
            </w:r>
          </w:p>
        </w:tc>
        <w:tc>
          <w:tcPr>
            <w:tcW w:w="3464" w:type="dxa"/>
          </w:tcPr>
          <w:p w14:paraId="0FE9853B" w14:textId="77777777" w:rsidR="00553883" w:rsidRPr="003415CC" w:rsidRDefault="00553883" w:rsidP="00D64638">
            <w:pPr>
              <w:pStyle w:val="ListParagraph"/>
              <w:keepNext/>
              <w:numPr>
                <w:ilvl w:val="0"/>
                <w:numId w:val="42"/>
              </w:numPr>
              <w:spacing w:line="276" w:lineRule="auto"/>
              <w:jc w:val="both"/>
              <w:rPr>
                <w:rFonts w:cs="Arial"/>
                <w:sz w:val="20"/>
                <w:szCs w:val="20"/>
              </w:rPr>
            </w:pPr>
            <w:r w:rsidRPr="003415CC">
              <w:rPr>
                <w:rFonts w:cs="Arial"/>
                <w:sz w:val="20"/>
                <w:szCs w:val="20"/>
              </w:rPr>
              <w:t xml:space="preserve">Total </w:t>
            </w:r>
            <w:r w:rsidR="00DF1385">
              <w:rPr>
                <w:rFonts w:cs="Arial"/>
                <w:sz w:val="20"/>
                <w:szCs w:val="20"/>
              </w:rPr>
              <w:t>familiarisation</w:t>
            </w:r>
            <w:r w:rsidRPr="003415CC">
              <w:rPr>
                <w:rFonts w:cs="Arial"/>
                <w:sz w:val="20"/>
                <w:szCs w:val="20"/>
              </w:rPr>
              <w:t xml:space="preserve"> costs to companies in scope and affected by changes of </w:t>
            </w:r>
            <w:r w:rsidRPr="00AD63C5">
              <w:rPr>
                <w:rFonts w:cs="Arial"/>
                <w:b/>
                <w:sz w:val="20"/>
                <w:szCs w:val="20"/>
              </w:rPr>
              <w:t>£</w:t>
            </w:r>
            <w:r w:rsidR="00A37515">
              <w:rPr>
                <w:rFonts w:cs="Arial"/>
                <w:b/>
                <w:sz w:val="20"/>
                <w:szCs w:val="20"/>
              </w:rPr>
              <w:t>7.64</w:t>
            </w:r>
            <w:r w:rsidRPr="003415CC">
              <w:rPr>
                <w:rFonts w:cs="Arial"/>
                <w:b/>
                <w:sz w:val="20"/>
                <w:szCs w:val="20"/>
              </w:rPr>
              <w:t>m</w:t>
            </w:r>
            <w:r w:rsidR="006A6199">
              <w:rPr>
                <w:rFonts w:cs="Arial"/>
                <w:b/>
                <w:sz w:val="20"/>
                <w:szCs w:val="20"/>
              </w:rPr>
              <w:t xml:space="preserve">. </w:t>
            </w:r>
          </w:p>
          <w:p w14:paraId="0CA8D70B" w14:textId="77777777" w:rsidR="00553883" w:rsidRPr="00A86340" w:rsidRDefault="00553883" w:rsidP="00A86340">
            <w:pPr>
              <w:pStyle w:val="ListParagraph"/>
              <w:keepNext/>
              <w:numPr>
                <w:ilvl w:val="0"/>
                <w:numId w:val="42"/>
              </w:numPr>
              <w:spacing w:line="276" w:lineRule="auto"/>
              <w:jc w:val="both"/>
              <w:rPr>
                <w:rFonts w:cs="Arial"/>
                <w:sz w:val="20"/>
                <w:szCs w:val="20"/>
              </w:rPr>
            </w:pPr>
            <w:r w:rsidRPr="003415CC">
              <w:rPr>
                <w:rFonts w:cs="Arial"/>
                <w:sz w:val="20"/>
                <w:szCs w:val="20"/>
              </w:rPr>
              <w:t xml:space="preserve">Total ongoing annual costs to companies in scope and affected by changes of </w:t>
            </w:r>
            <w:r w:rsidR="00A37515">
              <w:rPr>
                <w:rFonts w:cs="Arial"/>
                <w:b/>
                <w:sz w:val="20"/>
                <w:szCs w:val="20"/>
              </w:rPr>
              <w:t>£11.69</w:t>
            </w:r>
            <w:r w:rsidRPr="003415CC">
              <w:rPr>
                <w:rFonts w:cs="Arial"/>
                <w:b/>
                <w:sz w:val="20"/>
                <w:szCs w:val="20"/>
              </w:rPr>
              <w:t xml:space="preserve">m </w:t>
            </w:r>
          </w:p>
        </w:tc>
      </w:tr>
      <w:tr w:rsidR="00553883" w:rsidRPr="003415CC" w14:paraId="7C8DFE06" w14:textId="77777777" w:rsidTr="00DF1385">
        <w:tc>
          <w:tcPr>
            <w:tcW w:w="1101" w:type="dxa"/>
            <w:vAlign w:val="center"/>
          </w:tcPr>
          <w:p w14:paraId="10BA58ED" w14:textId="77777777" w:rsidR="00B13DDB" w:rsidRDefault="00553883" w:rsidP="00B13DDB">
            <w:pPr>
              <w:pStyle w:val="ListParagraph"/>
              <w:keepNext/>
              <w:spacing w:line="276" w:lineRule="auto"/>
              <w:ind w:left="0"/>
              <w:rPr>
                <w:rFonts w:cs="Arial"/>
                <w:b/>
                <w:sz w:val="20"/>
                <w:szCs w:val="20"/>
              </w:rPr>
            </w:pPr>
            <w:r w:rsidRPr="003415CC">
              <w:rPr>
                <w:rFonts w:cs="Arial"/>
                <w:b/>
                <w:sz w:val="20"/>
                <w:szCs w:val="20"/>
              </w:rPr>
              <w:t>Option 3</w:t>
            </w:r>
            <w:r w:rsidR="00B13DDB">
              <w:rPr>
                <w:rFonts w:cs="Arial"/>
                <w:b/>
                <w:sz w:val="20"/>
                <w:szCs w:val="20"/>
              </w:rPr>
              <w:t xml:space="preserve">: </w:t>
            </w:r>
          </w:p>
          <w:p w14:paraId="57F231F8" w14:textId="77777777" w:rsidR="00553883" w:rsidRPr="003415CC" w:rsidRDefault="00B13DDB" w:rsidP="00B13DDB">
            <w:pPr>
              <w:pStyle w:val="ListParagraph"/>
              <w:keepNext/>
              <w:spacing w:line="276" w:lineRule="auto"/>
              <w:ind w:left="0"/>
              <w:rPr>
                <w:rFonts w:cs="Arial"/>
                <w:b/>
                <w:sz w:val="20"/>
                <w:szCs w:val="20"/>
              </w:rPr>
            </w:pPr>
            <w:r>
              <w:rPr>
                <w:rFonts w:cs="Arial"/>
                <w:b/>
                <w:sz w:val="20"/>
                <w:szCs w:val="20"/>
              </w:rPr>
              <w:t>Extend</w:t>
            </w:r>
            <w:r w:rsidR="007A7049">
              <w:rPr>
                <w:rFonts w:cs="Arial"/>
                <w:b/>
                <w:sz w:val="20"/>
                <w:szCs w:val="20"/>
              </w:rPr>
              <w:t xml:space="preserve"> EU requirements to small q</w:t>
            </w:r>
            <w:r>
              <w:rPr>
                <w:rFonts w:cs="Arial"/>
                <w:b/>
                <w:sz w:val="20"/>
                <w:szCs w:val="20"/>
              </w:rPr>
              <w:t>uo</w:t>
            </w:r>
            <w:r w:rsidR="007A7049">
              <w:rPr>
                <w:rFonts w:cs="Arial"/>
                <w:b/>
                <w:sz w:val="20"/>
                <w:szCs w:val="20"/>
              </w:rPr>
              <w:t>ted c</w:t>
            </w:r>
            <w:r>
              <w:rPr>
                <w:rFonts w:cs="Arial"/>
                <w:b/>
                <w:sz w:val="20"/>
                <w:szCs w:val="20"/>
              </w:rPr>
              <w:t>ompanies</w:t>
            </w:r>
          </w:p>
        </w:tc>
        <w:tc>
          <w:tcPr>
            <w:tcW w:w="4677" w:type="dxa"/>
          </w:tcPr>
          <w:p w14:paraId="0173E7F1" w14:textId="77777777" w:rsidR="00553883" w:rsidRPr="003415CC" w:rsidRDefault="00553883" w:rsidP="00D64638">
            <w:pPr>
              <w:pStyle w:val="ListParagraph"/>
              <w:keepNext/>
              <w:numPr>
                <w:ilvl w:val="0"/>
                <w:numId w:val="42"/>
              </w:numPr>
              <w:spacing w:line="276" w:lineRule="auto"/>
              <w:jc w:val="both"/>
              <w:rPr>
                <w:rFonts w:cs="Arial"/>
                <w:sz w:val="20"/>
                <w:szCs w:val="20"/>
              </w:rPr>
            </w:pPr>
            <w:r w:rsidRPr="003415CC">
              <w:rPr>
                <w:rFonts w:cs="Arial"/>
                <w:sz w:val="20"/>
                <w:szCs w:val="20"/>
              </w:rPr>
              <w:t xml:space="preserve">All the costs arising under Option 2 will also </w:t>
            </w:r>
            <w:r w:rsidR="00A86340">
              <w:rPr>
                <w:rFonts w:cs="Arial"/>
                <w:sz w:val="20"/>
                <w:szCs w:val="20"/>
              </w:rPr>
              <w:t>be incurred</w:t>
            </w:r>
            <w:r w:rsidRPr="003415CC">
              <w:rPr>
                <w:rFonts w:cs="Arial"/>
                <w:sz w:val="20"/>
                <w:szCs w:val="20"/>
              </w:rPr>
              <w:t xml:space="preserve"> under Option 3.</w:t>
            </w:r>
          </w:p>
          <w:p w14:paraId="5695AACB" w14:textId="77777777" w:rsidR="00553883" w:rsidRPr="00F45A6F" w:rsidRDefault="00553883" w:rsidP="00F45A6F">
            <w:pPr>
              <w:pStyle w:val="ListParagraph"/>
              <w:keepNext/>
              <w:numPr>
                <w:ilvl w:val="0"/>
                <w:numId w:val="42"/>
              </w:numPr>
              <w:spacing w:line="276" w:lineRule="auto"/>
              <w:jc w:val="both"/>
              <w:rPr>
                <w:rFonts w:cs="Arial"/>
                <w:sz w:val="20"/>
                <w:szCs w:val="20"/>
              </w:rPr>
            </w:pPr>
            <w:r w:rsidRPr="003415CC">
              <w:rPr>
                <w:rFonts w:cs="Arial"/>
                <w:sz w:val="20"/>
                <w:szCs w:val="20"/>
              </w:rPr>
              <w:t>Additional costs to smaller quoted companies (those with less than 500 employees)</w:t>
            </w:r>
            <w:r w:rsidR="00F45A6F">
              <w:rPr>
                <w:rFonts w:cs="Arial"/>
                <w:sz w:val="20"/>
                <w:szCs w:val="20"/>
              </w:rPr>
              <w:t xml:space="preserve"> and their subsidiaries</w:t>
            </w:r>
            <w:r w:rsidRPr="003415CC">
              <w:rPr>
                <w:rFonts w:cs="Arial"/>
                <w:sz w:val="20"/>
                <w:szCs w:val="20"/>
              </w:rPr>
              <w:t xml:space="preserve"> of meeting the two main additional reporting requirements of the NFRD (the anti-bribery and diversity statements) that are over and above those of the UK </w:t>
            </w:r>
            <w:r w:rsidR="00390FD2">
              <w:rPr>
                <w:rFonts w:cs="Arial"/>
                <w:sz w:val="20"/>
                <w:szCs w:val="20"/>
              </w:rPr>
              <w:t>E</w:t>
            </w:r>
            <w:r w:rsidRPr="003415CC">
              <w:rPr>
                <w:rFonts w:cs="Arial"/>
                <w:sz w:val="20"/>
                <w:szCs w:val="20"/>
              </w:rPr>
              <w:t xml:space="preserve">nhanced Strategic </w:t>
            </w:r>
            <w:r w:rsidR="00390FD2">
              <w:rPr>
                <w:rFonts w:cs="Arial"/>
                <w:sz w:val="20"/>
                <w:szCs w:val="20"/>
              </w:rPr>
              <w:t>R</w:t>
            </w:r>
            <w:r w:rsidRPr="003415CC">
              <w:rPr>
                <w:rFonts w:cs="Arial"/>
                <w:sz w:val="20"/>
                <w:szCs w:val="20"/>
              </w:rPr>
              <w:t>eport, which they already meet.</w:t>
            </w:r>
          </w:p>
        </w:tc>
        <w:tc>
          <w:tcPr>
            <w:tcW w:w="3464" w:type="dxa"/>
          </w:tcPr>
          <w:p w14:paraId="46C607F6" w14:textId="77777777" w:rsidR="00DF1385" w:rsidRPr="003415CC" w:rsidRDefault="00DF1385" w:rsidP="00DF1385">
            <w:pPr>
              <w:pStyle w:val="ListParagraph"/>
              <w:keepNext/>
              <w:numPr>
                <w:ilvl w:val="0"/>
                <w:numId w:val="42"/>
              </w:numPr>
              <w:spacing w:line="276" w:lineRule="auto"/>
              <w:jc w:val="both"/>
              <w:rPr>
                <w:rFonts w:cs="Arial"/>
                <w:sz w:val="20"/>
                <w:szCs w:val="20"/>
              </w:rPr>
            </w:pPr>
            <w:r w:rsidRPr="003415CC">
              <w:rPr>
                <w:rFonts w:cs="Arial"/>
                <w:sz w:val="20"/>
                <w:szCs w:val="20"/>
              </w:rPr>
              <w:t xml:space="preserve">Total </w:t>
            </w:r>
            <w:r>
              <w:rPr>
                <w:rFonts w:cs="Arial"/>
                <w:sz w:val="20"/>
                <w:szCs w:val="20"/>
              </w:rPr>
              <w:t>familiarisation</w:t>
            </w:r>
            <w:r w:rsidRPr="003415CC">
              <w:rPr>
                <w:rFonts w:cs="Arial"/>
                <w:sz w:val="20"/>
                <w:szCs w:val="20"/>
              </w:rPr>
              <w:t xml:space="preserve"> costs to companies in scope and affected by changes of </w:t>
            </w:r>
            <w:r w:rsidRPr="00A86340">
              <w:rPr>
                <w:rFonts w:cs="Arial"/>
                <w:b/>
                <w:sz w:val="20"/>
                <w:szCs w:val="20"/>
              </w:rPr>
              <w:t>£</w:t>
            </w:r>
            <w:r w:rsidR="00A37515">
              <w:rPr>
                <w:rFonts w:cs="Arial"/>
                <w:b/>
                <w:sz w:val="20"/>
                <w:szCs w:val="20"/>
              </w:rPr>
              <w:t>7.64</w:t>
            </w:r>
            <w:r w:rsidRPr="003415CC">
              <w:rPr>
                <w:rFonts w:cs="Arial"/>
                <w:b/>
                <w:sz w:val="20"/>
                <w:szCs w:val="20"/>
              </w:rPr>
              <w:t>m</w:t>
            </w:r>
            <w:r>
              <w:rPr>
                <w:rFonts w:cs="Arial"/>
                <w:b/>
                <w:sz w:val="20"/>
                <w:szCs w:val="20"/>
              </w:rPr>
              <w:t xml:space="preserve">. </w:t>
            </w:r>
          </w:p>
          <w:p w14:paraId="362C41FB" w14:textId="77777777" w:rsidR="00553883" w:rsidRPr="00A86340" w:rsidRDefault="00DF1385" w:rsidP="00A86340">
            <w:pPr>
              <w:pStyle w:val="ListParagraph"/>
              <w:keepNext/>
              <w:numPr>
                <w:ilvl w:val="0"/>
                <w:numId w:val="42"/>
              </w:numPr>
              <w:spacing w:line="276" w:lineRule="auto"/>
              <w:jc w:val="both"/>
              <w:rPr>
                <w:rFonts w:cs="Arial"/>
                <w:sz w:val="20"/>
                <w:szCs w:val="20"/>
              </w:rPr>
            </w:pPr>
            <w:r w:rsidRPr="003415CC">
              <w:rPr>
                <w:rFonts w:cs="Arial"/>
                <w:sz w:val="20"/>
                <w:szCs w:val="20"/>
              </w:rPr>
              <w:t xml:space="preserve">Total ongoing annual costs to companies in scope and affected by changes of </w:t>
            </w:r>
            <w:r w:rsidR="00A37515">
              <w:rPr>
                <w:rFonts w:cs="Arial"/>
                <w:b/>
                <w:sz w:val="20"/>
                <w:szCs w:val="20"/>
              </w:rPr>
              <w:t>£11.69</w:t>
            </w:r>
            <w:r w:rsidRPr="003415CC">
              <w:rPr>
                <w:rFonts w:cs="Arial"/>
                <w:b/>
                <w:sz w:val="20"/>
                <w:szCs w:val="20"/>
              </w:rPr>
              <w:t xml:space="preserve">m </w:t>
            </w:r>
          </w:p>
          <w:p w14:paraId="5AEC1D50" w14:textId="77777777" w:rsidR="00553883" w:rsidRPr="003415CC" w:rsidRDefault="00F45A6F" w:rsidP="00D64638">
            <w:pPr>
              <w:pStyle w:val="ListParagraph"/>
              <w:keepNext/>
              <w:numPr>
                <w:ilvl w:val="0"/>
                <w:numId w:val="42"/>
              </w:numPr>
              <w:spacing w:line="276" w:lineRule="auto"/>
              <w:jc w:val="both"/>
              <w:rPr>
                <w:rFonts w:cs="Arial"/>
                <w:sz w:val="20"/>
                <w:szCs w:val="20"/>
              </w:rPr>
            </w:pPr>
            <w:r w:rsidRPr="003415CC">
              <w:rPr>
                <w:rFonts w:cs="Arial"/>
                <w:sz w:val="20"/>
                <w:szCs w:val="20"/>
              </w:rPr>
              <w:t xml:space="preserve">Total </w:t>
            </w:r>
            <w:r>
              <w:rPr>
                <w:rFonts w:cs="Arial"/>
                <w:sz w:val="20"/>
                <w:szCs w:val="20"/>
              </w:rPr>
              <w:t>familiarisation</w:t>
            </w:r>
            <w:r w:rsidRPr="003415CC">
              <w:rPr>
                <w:rFonts w:cs="Arial"/>
                <w:sz w:val="20"/>
                <w:szCs w:val="20"/>
              </w:rPr>
              <w:t xml:space="preserve"> costs to</w:t>
            </w:r>
            <w:r w:rsidR="00553883" w:rsidRPr="003415CC">
              <w:rPr>
                <w:rFonts w:cs="Arial"/>
                <w:sz w:val="20"/>
                <w:szCs w:val="20"/>
              </w:rPr>
              <w:t xml:space="preserve"> </w:t>
            </w:r>
            <w:r w:rsidR="00A86340">
              <w:rPr>
                <w:rFonts w:cs="Arial"/>
                <w:sz w:val="20"/>
                <w:szCs w:val="20"/>
              </w:rPr>
              <w:t xml:space="preserve">additional </w:t>
            </w:r>
            <w:r w:rsidR="00553883" w:rsidRPr="003415CC">
              <w:rPr>
                <w:rFonts w:cs="Arial"/>
                <w:sz w:val="20"/>
                <w:szCs w:val="20"/>
              </w:rPr>
              <w:t>companies</w:t>
            </w:r>
            <w:r w:rsidR="00A86340">
              <w:rPr>
                <w:rFonts w:cs="Arial"/>
                <w:sz w:val="20"/>
                <w:szCs w:val="20"/>
              </w:rPr>
              <w:t xml:space="preserve"> in scope under this option of</w:t>
            </w:r>
            <w:r w:rsidR="00553883" w:rsidRPr="003415CC">
              <w:rPr>
                <w:rFonts w:cs="Arial"/>
                <w:sz w:val="20"/>
                <w:szCs w:val="20"/>
              </w:rPr>
              <w:t xml:space="preserve"> </w:t>
            </w:r>
            <w:r w:rsidR="00DF1385">
              <w:rPr>
                <w:rFonts w:cs="Arial"/>
                <w:b/>
                <w:sz w:val="20"/>
                <w:szCs w:val="20"/>
              </w:rPr>
              <w:t>£0.</w:t>
            </w:r>
            <w:r w:rsidR="00A37515">
              <w:rPr>
                <w:rFonts w:cs="Arial"/>
                <w:b/>
                <w:sz w:val="20"/>
                <w:szCs w:val="20"/>
              </w:rPr>
              <w:t>29</w:t>
            </w:r>
            <w:r w:rsidR="00553883" w:rsidRPr="003415CC">
              <w:rPr>
                <w:rFonts w:cs="Arial"/>
                <w:b/>
                <w:sz w:val="20"/>
                <w:szCs w:val="20"/>
              </w:rPr>
              <w:t>m</w:t>
            </w:r>
          </w:p>
          <w:p w14:paraId="2F2D6BD1" w14:textId="77777777" w:rsidR="00553883" w:rsidRPr="003415CC" w:rsidRDefault="00553883" w:rsidP="00A86340">
            <w:pPr>
              <w:pStyle w:val="ListParagraph"/>
              <w:keepNext/>
              <w:numPr>
                <w:ilvl w:val="0"/>
                <w:numId w:val="42"/>
              </w:numPr>
              <w:spacing w:line="276" w:lineRule="auto"/>
              <w:jc w:val="both"/>
              <w:rPr>
                <w:rFonts w:cs="Arial"/>
                <w:sz w:val="20"/>
                <w:szCs w:val="20"/>
              </w:rPr>
            </w:pPr>
            <w:r w:rsidRPr="003415CC">
              <w:rPr>
                <w:rFonts w:cs="Arial"/>
                <w:sz w:val="20"/>
                <w:szCs w:val="20"/>
              </w:rPr>
              <w:t xml:space="preserve">Total ongoing annual costs to </w:t>
            </w:r>
            <w:r w:rsidR="00A86340">
              <w:rPr>
                <w:rFonts w:cs="Arial"/>
                <w:sz w:val="20"/>
                <w:szCs w:val="20"/>
              </w:rPr>
              <w:t>additional companies in scope under this option of</w:t>
            </w:r>
            <w:r w:rsidRPr="003415CC">
              <w:rPr>
                <w:rFonts w:cs="Arial"/>
                <w:sz w:val="20"/>
                <w:szCs w:val="20"/>
              </w:rPr>
              <w:t xml:space="preserve"> </w:t>
            </w:r>
            <w:r w:rsidR="00A37515">
              <w:rPr>
                <w:rFonts w:cs="Arial"/>
                <w:b/>
                <w:sz w:val="20"/>
                <w:szCs w:val="20"/>
              </w:rPr>
              <w:t>£0.25</w:t>
            </w:r>
            <w:r w:rsidRPr="003415CC">
              <w:rPr>
                <w:rFonts w:cs="Arial"/>
                <w:b/>
                <w:sz w:val="20"/>
                <w:szCs w:val="20"/>
              </w:rPr>
              <w:t>m</w:t>
            </w:r>
          </w:p>
        </w:tc>
      </w:tr>
      <w:tr w:rsidR="00553883" w:rsidRPr="003415CC" w14:paraId="5B218DED" w14:textId="77777777" w:rsidTr="00DF1385">
        <w:tc>
          <w:tcPr>
            <w:tcW w:w="1101" w:type="dxa"/>
            <w:vAlign w:val="center"/>
          </w:tcPr>
          <w:p w14:paraId="6E5728DC" w14:textId="77777777" w:rsidR="00553883" w:rsidRPr="007A7049" w:rsidRDefault="00553883" w:rsidP="00B13DDB">
            <w:pPr>
              <w:pStyle w:val="ListParagraph"/>
              <w:keepNext/>
              <w:spacing w:line="276" w:lineRule="auto"/>
              <w:ind w:left="0"/>
              <w:rPr>
                <w:rFonts w:cs="Arial"/>
                <w:b/>
                <w:sz w:val="20"/>
                <w:szCs w:val="20"/>
              </w:rPr>
            </w:pPr>
            <w:r w:rsidRPr="007A7049">
              <w:rPr>
                <w:rFonts w:cs="Arial"/>
                <w:b/>
                <w:sz w:val="20"/>
                <w:szCs w:val="20"/>
              </w:rPr>
              <w:t>Option 4</w:t>
            </w:r>
            <w:r w:rsidR="00B13DDB" w:rsidRPr="007A7049">
              <w:rPr>
                <w:rFonts w:cs="Arial"/>
                <w:b/>
                <w:sz w:val="20"/>
                <w:szCs w:val="20"/>
              </w:rPr>
              <w:t>:</w:t>
            </w:r>
            <w:r w:rsidR="00B13DDB" w:rsidRPr="007A7049">
              <w:rPr>
                <w:rFonts w:eastAsiaTheme="minorHAnsi" w:cs="Arial"/>
                <w:b/>
                <w:sz w:val="20"/>
                <w:szCs w:val="20"/>
              </w:rPr>
              <w:t xml:space="preserve"> Reduce reporting requirements on smaller quoted companies</w:t>
            </w:r>
          </w:p>
        </w:tc>
        <w:tc>
          <w:tcPr>
            <w:tcW w:w="4677" w:type="dxa"/>
          </w:tcPr>
          <w:p w14:paraId="20C7635B" w14:textId="77777777" w:rsidR="00553883" w:rsidRPr="003415CC" w:rsidRDefault="00553883" w:rsidP="00D64638">
            <w:pPr>
              <w:pStyle w:val="ListParagraph"/>
              <w:keepNext/>
              <w:numPr>
                <w:ilvl w:val="0"/>
                <w:numId w:val="42"/>
              </w:numPr>
              <w:spacing w:line="276" w:lineRule="auto"/>
              <w:jc w:val="both"/>
              <w:rPr>
                <w:rFonts w:cs="Arial"/>
                <w:sz w:val="20"/>
                <w:szCs w:val="20"/>
              </w:rPr>
            </w:pPr>
            <w:r w:rsidRPr="003415CC">
              <w:rPr>
                <w:rFonts w:cs="Arial"/>
                <w:sz w:val="20"/>
                <w:szCs w:val="20"/>
              </w:rPr>
              <w:t xml:space="preserve">All the costs arising under Option 2 will also </w:t>
            </w:r>
            <w:r w:rsidR="00A86340">
              <w:rPr>
                <w:rFonts w:cs="Arial"/>
                <w:sz w:val="20"/>
                <w:szCs w:val="20"/>
              </w:rPr>
              <w:t>be incurred</w:t>
            </w:r>
            <w:r w:rsidRPr="003415CC">
              <w:rPr>
                <w:rFonts w:cs="Arial"/>
                <w:sz w:val="20"/>
                <w:szCs w:val="20"/>
              </w:rPr>
              <w:t xml:space="preserve"> under Option </w:t>
            </w:r>
            <w:r w:rsidR="00A86340">
              <w:rPr>
                <w:rFonts w:cs="Arial"/>
                <w:sz w:val="20"/>
                <w:szCs w:val="20"/>
              </w:rPr>
              <w:t>4</w:t>
            </w:r>
            <w:r w:rsidRPr="003415CC">
              <w:rPr>
                <w:rFonts w:cs="Arial"/>
                <w:sz w:val="20"/>
                <w:szCs w:val="20"/>
              </w:rPr>
              <w:t>.</w:t>
            </w:r>
          </w:p>
          <w:p w14:paraId="1C3B4F09" w14:textId="77777777" w:rsidR="00A86340" w:rsidRDefault="00A86340" w:rsidP="00A86340">
            <w:pPr>
              <w:pStyle w:val="ListParagraph"/>
              <w:keepNext/>
              <w:spacing w:line="276" w:lineRule="auto"/>
              <w:ind w:left="360"/>
              <w:jc w:val="both"/>
              <w:rPr>
                <w:rFonts w:cs="Arial"/>
                <w:sz w:val="20"/>
                <w:szCs w:val="20"/>
              </w:rPr>
            </w:pPr>
          </w:p>
          <w:p w14:paraId="2A53CFDB" w14:textId="77777777" w:rsidR="00553883" w:rsidRPr="003415CC" w:rsidRDefault="00A86340" w:rsidP="00A86340">
            <w:pPr>
              <w:pStyle w:val="ListParagraph"/>
              <w:keepNext/>
              <w:spacing w:line="276" w:lineRule="auto"/>
              <w:ind w:left="360"/>
              <w:jc w:val="both"/>
              <w:rPr>
                <w:rFonts w:cs="Arial"/>
                <w:sz w:val="20"/>
                <w:szCs w:val="20"/>
              </w:rPr>
            </w:pPr>
            <w:r>
              <w:rPr>
                <w:rFonts w:cs="Arial"/>
                <w:sz w:val="20"/>
                <w:szCs w:val="20"/>
              </w:rPr>
              <w:t>(There would however, be</w:t>
            </w:r>
            <w:r w:rsidR="00553883" w:rsidRPr="003415CC">
              <w:rPr>
                <w:rFonts w:cs="Arial"/>
                <w:sz w:val="20"/>
                <w:szCs w:val="20"/>
              </w:rPr>
              <w:t xml:space="preserve"> savings to smaller quoted companies of not having to meet the requirements of the Enhanced Strategic Report</w:t>
            </w:r>
            <w:r>
              <w:rPr>
                <w:rFonts w:cs="Arial"/>
                <w:sz w:val="20"/>
                <w:szCs w:val="20"/>
              </w:rPr>
              <w:t>)</w:t>
            </w:r>
          </w:p>
        </w:tc>
        <w:tc>
          <w:tcPr>
            <w:tcW w:w="3464" w:type="dxa"/>
          </w:tcPr>
          <w:p w14:paraId="6C59D840" w14:textId="77777777" w:rsidR="002D1020" w:rsidRPr="003415CC" w:rsidRDefault="002D1020" w:rsidP="002D1020">
            <w:pPr>
              <w:pStyle w:val="ListParagraph"/>
              <w:keepNext/>
              <w:numPr>
                <w:ilvl w:val="0"/>
                <w:numId w:val="42"/>
              </w:numPr>
              <w:spacing w:line="276" w:lineRule="auto"/>
              <w:jc w:val="both"/>
              <w:rPr>
                <w:rFonts w:cs="Arial"/>
                <w:sz w:val="20"/>
                <w:szCs w:val="20"/>
              </w:rPr>
            </w:pPr>
            <w:r w:rsidRPr="003415CC">
              <w:rPr>
                <w:rFonts w:cs="Arial"/>
                <w:sz w:val="20"/>
                <w:szCs w:val="20"/>
              </w:rPr>
              <w:t xml:space="preserve">Total </w:t>
            </w:r>
            <w:r>
              <w:rPr>
                <w:rFonts w:cs="Arial"/>
                <w:sz w:val="20"/>
                <w:szCs w:val="20"/>
              </w:rPr>
              <w:t>familiarisation</w:t>
            </w:r>
            <w:r w:rsidRPr="003415CC">
              <w:rPr>
                <w:rFonts w:cs="Arial"/>
                <w:sz w:val="20"/>
                <w:szCs w:val="20"/>
              </w:rPr>
              <w:t xml:space="preserve"> costs to companies in scope and affected by changes of </w:t>
            </w:r>
            <w:r w:rsidRPr="00AD63C5">
              <w:rPr>
                <w:rFonts w:cs="Arial"/>
                <w:b/>
                <w:sz w:val="20"/>
                <w:szCs w:val="20"/>
              </w:rPr>
              <w:t>£</w:t>
            </w:r>
            <w:r w:rsidR="00A37515">
              <w:rPr>
                <w:rFonts w:cs="Arial"/>
                <w:b/>
                <w:sz w:val="20"/>
                <w:szCs w:val="20"/>
              </w:rPr>
              <w:t>7.64</w:t>
            </w:r>
            <w:r w:rsidRPr="003415CC">
              <w:rPr>
                <w:rFonts w:cs="Arial"/>
                <w:b/>
                <w:sz w:val="20"/>
                <w:szCs w:val="20"/>
              </w:rPr>
              <w:t>m</w:t>
            </w:r>
            <w:r>
              <w:rPr>
                <w:rFonts w:cs="Arial"/>
                <w:b/>
                <w:sz w:val="20"/>
                <w:szCs w:val="20"/>
              </w:rPr>
              <w:t xml:space="preserve">. </w:t>
            </w:r>
          </w:p>
          <w:p w14:paraId="4DCA0B55" w14:textId="77777777" w:rsidR="00553883" w:rsidRPr="00990BFC" w:rsidRDefault="002D1020" w:rsidP="002D1020">
            <w:pPr>
              <w:pStyle w:val="ListParagraph"/>
              <w:keepNext/>
              <w:numPr>
                <w:ilvl w:val="0"/>
                <w:numId w:val="42"/>
              </w:numPr>
              <w:spacing w:line="276" w:lineRule="auto"/>
              <w:jc w:val="both"/>
              <w:rPr>
                <w:rFonts w:cs="Arial"/>
                <w:sz w:val="20"/>
                <w:szCs w:val="20"/>
              </w:rPr>
            </w:pPr>
            <w:r w:rsidRPr="003415CC">
              <w:rPr>
                <w:rFonts w:cs="Arial"/>
                <w:sz w:val="20"/>
                <w:szCs w:val="20"/>
              </w:rPr>
              <w:t xml:space="preserve">Total ongoing annual costs to companies in scope and affected by changes of </w:t>
            </w:r>
            <w:r w:rsidR="00A37515">
              <w:rPr>
                <w:rFonts w:cs="Arial"/>
                <w:b/>
                <w:sz w:val="20"/>
                <w:szCs w:val="20"/>
              </w:rPr>
              <w:t>£11.69</w:t>
            </w:r>
            <w:r w:rsidRPr="003415CC">
              <w:rPr>
                <w:rFonts w:cs="Arial"/>
                <w:b/>
                <w:sz w:val="20"/>
                <w:szCs w:val="20"/>
              </w:rPr>
              <w:t>m</w:t>
            </w:r>
          </w:p>
        </w:tc>
      </w:tr>
    </w:tbl>
    <w:p w14:paraId="314E92F7" w14:textId="77777777" w:rsidR="00553883" w:rsidRPr="003415CC" w:rsidRDefault="00553883" w:rsidP="00D64638">
      <w:pPr>
        <w:pStyle w:val="ListParagraph"/>
        <w:spacing w:line="276" w:lineRule="auto"/>
        <w:ind w:left="0"/>
        <w:jc w:val="both"/>
        <w:rPr>
          <w:rFonts w:cs="Arial"/>
          <w:sz w:val="22"/>
          <w:szCs w:val="22"/>
        </w:rPr>
      </w:pPr>
    </w:p>
    <w:p w14:paraId="2E68EDB7" w14:textId="77777777" w:rsidR="003B3AC1" w:rsidRPr="00D64638" w:rsidRDefault="00E203F9" w:rsidP="00D64638">
      <w:pPr>
        <w:spacing w:line="276" w:lineRule="auto"/>
        <w:jc w:val="both"/>
        <w:rPr>
          <w:rFonts w:cs="Arial"/>
          <w:b/>
          <w:i/>
          <w:sz w:val="28"/>
          <w:szCs w:val="28"/>
        </w:rPr>
      </w:pPr>
      <w:r>
        <w:rPr>
          <w:rFonts w:cs="Arial"/>
          <w:b/>
          <w:i/>
          <w:sz w:val="28"/>
          <w:szCs w:val="28"/>
        </w:rPr>
        <w:t>Non-monetised</w:t>
      </w:r>
      <w:r w:rsidR="003B3AC1" w:rsidRPr="00D64638">
        <w:rPr>
          <w:rFonts w:cs="Arial"/>
          <w:b/>
          <w:i/>
          <w:sz w:val="28"/>
          <w:szCs w:val="28"/>
        </w:rPr>
        <w:t xml:space="preserve"> costs</w:t>
      </w:r>
    </w:p>
    <w:p w14:paraId="0A74531C" w14:textId="77777777" w:rsidR="00553883" w:rsidRPr="00D64638" w:rsidRDefault="00553883" w:rsidP="00D64638">
      <w:pPr>
        <w:spacing w:line="276" w:lineRule="auto"/>
        <w:jc w:val="both"/>
        <w:rPr>
          <w:rFonts w:cs="Arial"/>
          <w:sz w:val="22"/>
          <w:szCs w:val="22"/>
        </w:rPr>
      </w:pPr>
    </w:p>
    <w:p w14:paraId="2BA5138B" w14:textId="77777777" w:rsidR="003B3AC1" w:rsidRPr="00ED17AA" w:rsidRDefault="003B3AC1" w:rsidP="00D64638">
      <w:pPr>
        <w:spacing w:line="276" w:lineRule="auto"/>
        <w:jc w:val="both"/>
        <w:rPr>
          <w:rFonts w:eastAsiaTheme="minorHAnsi" w:cs="Arial"/>
          <w:sz w:val="22"/>
          <w:szCs w:val="22"/>
        </w:rPr>
      </w:pPr>
      <w:r w:rsidRPr="00D64638">
        <w:rPr>
          <w:rFonts w:eastAsiaTheme="minorHAnsi" w:cs="Arial"/>
          <w:sz w:val="22"/>
          <w:szCs w:val="22"/>
        </w:rPr>
        <w:lastRenderedPageBreak/>
        <w:t>O</w:t>
      </w:r>
      <w:r w:rsidR="005F3219">
        <w:rPr>
          <w:rFonts w:eastAsiaTheme="minorHAnsi" w:cs="Arial"/>
          <w:sz w:val="22"/>
          <w:szCs w:val="22"/>
        </w:rPr>
        <w:t>ption 2: M</w:t>
      </w:r>
      <w:r w:rsidRPr="00D64638">
        <w:rPr>
          <w:rFonts w:eastAsiaTheme="minorHAnsi" w:cs="Arial"/>
          <w:sz w:val="22"/>
          <w:szCs w:val="22"/>
        </w:rPr>
        <w:t xml:space="preserve">any consultation respondents </w:t>
      </w:r>
      <w:r w:rsidR="00E203F9">
        <w:rPr>
          <w:rFonts w:eastAsiaTheme="minorHAnsi" w:cs="Arial"/>
          <w:sz w:val="22"/>
          <w:szCs w:val="22"/>
        </w:rPr>
        <w:t xml:space="preserve">believed that </w:t>
      </w:r>
      <w:r w:rsidRPr="00D64638">
        <w:rPr>
          <w:rFonts w:eastAsiaTheme="minorHAnsi" w:cs="Arial"/>
          <w:sz w:val="22"/>
          <w:szCs w:val="22"/>
        </w:rPr>
        <w:t>this option is too complex as it would introduce a separate set of requirements for certain companies, some of which might switch between being a “large PIE” and a normal “quoted company” between years. This would mean that companies that move between categories would have to comply with two different complex frameworks across two different years. It was suggested that this would be administratively burdensome and costly. However, it is deemed impossible to quantify these costs. This option also reduces the level of comparability across years and across listed companies.</w:t>
      </w:r>
      <w:r w:rsidR="00DF5806">
        <w:rPr>
          <w:rFonts w:eastAsiaTheme="minorHAnsi" w:cs="Arial"/>
          <w:sz w:val="22"/>
          <w:szCs w:val="22"/>
        </w:rPr>
        <w:t xml:space="preserve"> </w:t>
      </w:r>
      <w:r w:rsidR="00ED17AA" w:rsidRPr="00A865B6">
        <w:rPr>
          <w:sz w:val="22"/>
          <w:szCs w:val="22"/>
        </w:rPr>
        <w:t xml:space="preserve">However, some UK companies may consider that it would be in their interests to report voluntarily under the harmonised EU framework which provides more detail in relation to each matter subject to disclosure.  Voluntary reporting under the EU framework might also enable companies to avoid the costs and complexities of moving between reporting obligations during their lifecycle as their size (in financial terms and/or number of staff) increases or decreases year to year.  </w:t>
      </w:r>
      <w:r w:rsidR="00ED17AA">
        <w:rPr>
          <w:sz w:val="22"/>
          <w:szCs w:val="22"/>
        </w:rPr>
        <w:t>BEIS</w:t>
      </w:r>
      <w:r w:rsidR="00ED17AA" w:rsidRPr="00A865B6">
        <w:rPr>
          <w:sz w:val="22"/>
          <w:szCs w:val="22"/>
        </w:rPr>
        <w:t xml:space="preserve"> intend</w:t>
      </w:r>
      <w:r w:rsidR="00ED17AA">
        <w:rPr>
          <w:sz w:val="22"/>
          <w:szCs w:val="22"/>
        </w:rPr>
        <w:t>s</w:t>
      </w:r>
      <w:r w:rsidR="00ED17AA" w:rsidRPr="00A865B6">
        <w:rPr>
          <w:sz w:val="22"/>
          <w:szCs w:val="22"/>
        </w:rPr>
        <w:t xml:space="preserve"> to legislate to permit companies to do this.  </w:t>
      </w:r>
    </w:p>
    <w:p w14:paraId="76EB8213" w14:textId="77777777" w:rsidR="006966CF" w:rsidRPr="00D64638" w:rsidRDefault="006966CF" w:rsidP="00D64638">
      <w:pPr>
        <w:spacing w:line="276" w:lineRule="auto"/>
        <w:jc w:val="both"/>
        <w:rPr>
          <w:rFonts w:cs="Arial"/>
          <w:sz w:val="22"/>
          <w:szCs w:val="22"/>
        </w:rPr>
      </w:pPr>
    </w:p>
    <w:p w14:paraId="43EA1727" w14:textId="77777777" w:rsidR="00CD3ACC" w:rsidRDefault="00CD3ACC" w:rsidP="00CD3ACC">
      <w:pPr>
        <w:pStyle w:val="EBBullet"/>
        <w:keepNext/>
        <w:numPr>
          <w:ilvl w:val="0"/>
          <w:numId w:val="0"/>
        </w:numPr>
        <w:spacing w:line="276" w:lineRule="auto"/>
      </w:pPr>
      <w:r>
        <w:t>Option 3: This option would retain a single reporting framework for all quoted companies as is currently in the UK. There would</w:t>
      </w:r>
      <w:r w:rsidR="00D11D27">
        <w:t>,</w:t>
      </w:r>
      <w:r>
        <w:t xml:space="preserve"> </w:t>
      </w:r>
      <w:r w:rsidR="00D11D27">
        <w:t xml:space="preserve">however, </w:t>
      </w:r>
      <w:r>
        <w:t>be an element of complexity introduced into the reporting framework of unquoted companies that are PIEs – as those with more than 500 employees would now have to meet the reporting standards of the NFRD.</w:t>
      </w:r>
      <w:r w:rsidR="00D11D27">
        <w:t xml:space="preserve"> The non-monetised costs are expected to smaller than Option 2.</w:t>
      </w:r>
    </w:p>
    <w:p w14:paraId="0686FD93" w14:textId="77777777" w:rsidR="00553883" w:rsidRPr="00D64638" w:rsidRDefault="00CD3ACC" w:rsidP="00D64638">
      <w:pPr>
        <w:pStyle w:val="EBBullet"/>
        <w:keepNext/>
        <w:numPr>
          <w:ilvl w:val="0"/>
          <w:numId w:val="0"/>
        </w:numPr>
        <w:spacing w:line="276" w:lineRule="auto"/>
        <w:ind w:left="284" w:hanging="284"/>
      </w:pPr>
      <w:r>
        <w:t xml:space="preserve">Option 4: The complexities of Option 2 would be inherent in Option 4. </w:t>
      </w:r>
    </w:p>
    <w:p w14:paraId="03BAB20B" w14:textId="77777777" w:rsidR="00686F5E" w:rsidRPr="00D11D27" w:rsidRDefault="00553883" w:rsidP="00D64638">
      <w:pPr>
        <w:pStyle w:val="EBBullet"/>
        <w:keepNext/>
        <w:numPr>
          <w:ilvl w:val="0"/>
          <w:numId w:val="0"/>
        </w:numPr>
        <w:spacing w:line="276" w:lineRule="auto"/>
        <w:ind w:left="284" w:hanging="284"/>
        <w:rPr>
          <w:b/>
          <w:sz w:val="28"/>
          <w:szCs w:val="28"/>
        </w:rPr>
      </w:pPr>
      <w:r w:rsidRPr="00D11D27">
        <w:rPr>
          <w:b/>
          <w:sz w:val="28"/>
          <w:szCs w:val="28"/>
        </w:rPr>
        <w:t>Risks and assumptions</w:t>
      </w:r>
    </w:p>
    <w:p w14:paraId="2C4D07F8" w14:textId="77777777" w:rsidR="00C4353E" w:rsidRPr="00D45B85" w:rsidRDefault="00C4353E" w:rsidP="00D64638">
      <w:pPr>
        <w:pStyle w:val="EBBodyPara"/>
        <w:numPr>
          <w:ilvl w:val="0"/>
          <w:numId w:val="44"/>
        </w:numPr>
        <w:spacing w:after="0" w:line="276" w:lineRule="auto"/>
        <w:ind w:right="155"/>
        <w:jc w:val="both"/>
        <w:rPr>
          <w:rFonts w:eastAsia="SimSun"/>
          <w:bCs w:val="0"/>
          <w:color w:val="auto"/>
          <w:spacing w:val="-5"/>
          <w:lang w:eastAsia="zh-CN"/>
        </w:rPr>
      </w:pPr>
      <w:r w:rsidRPr="00D45B85">
        <w:rPr>
          <w:rFonts w:eastAsia="SimSun"/>
          <w:bCs w:val="0"/>
          <w:color w:val="auto"/>
          <w:spacing w:val="-5"/>
          <w:lang w:eastAsia="zh-CN"/>
        </w:rPr>
        <w:t xml:space="preserve">We use information available on the FAME database to estimate the numbers of reporting and subsidiary companies affected </w:t>
      </w:r>
    </w:p>
    <w:p w14:paraId="223782DF" w14:textId="77777777" w:rsidR="00C4353E" w:rsidRPr="004E09CE" w:rsidRDefault="00C4353E" w:rsidP="00D64638">
      <w:pPr>
        <w:pStyle w:val="EBBodyPara"/>
        <w:numPr>
          <w:ilvl w:val="0"/>
          <w:numId w:val="44"/>
        </w:numPr>
        <w:spacing w:after="0" w:line="276" w:lineRule="auto"/>
        <w:ind w:right="155"/>
        <w:jc w:val="both"/>
        <w:rPr>
          <w:rFonts w:eastAsia="SimSun"/>
          <w:bCs w:val="0"/>
          <w:color w:val="auto"/>
          <w:spacing w:val="-5"/>
          <w:lang w:eastAsia="zh-CN"/>
        </w:rPr>
      </w:pPr>
      <w:r w:rsidRPr="004E09CE">
        <w:rPr>
          <w:rFonts w:eastAsia="SimSun"/>
          <w:bCs w:val="0"/>
          <w:color w:val="auto"/>
          <w:spacing w:val="-5"/>
          <w:lang w:eastAsia="zh-CN"/>
        </w:rPr>
        <w:t>Costs were quantified for all PIEs affected by using the interim results of a bespoke survey and ASHE data to estimate the costs to PIEs and their subsidiaries.</w:t>
      </w:r>
    </w:p>
    <w:p w14:paraId="46A46D51" w14:textId="77777777" w:rsidR="006F4553" w:rsidRPr="00D64638" w:rsidRDefault="006F4553" w:rsidP="00D64638">
      <w:pPr>
        <w:pStyle w:val="EBBodyPara"/>
        <w:spacing w:after="0" w:line="276" w:lineRule="auto"/>
        <w:ind w:right="155"/>
        <w:jc w:val="both"/>
        <w:rPr>
          <w:rFonts w:eastAsia="SimSun"/>
          <w:bCs w:val="0"/>
          <w:color w:val="auto"/>
          <w:spacing w:val="-5"/>
          <w:lang w:eastAsia="zh-CN"/>
        </w:rPr>
      </w:pPr>
    </w:p>
    <w:p w14:paraId="2D02A122" w14:textId="77777777" w:rsidR="005A7A14" w:rsidRPr="004E09CE" w:rsidRDefault="005A7A14" w:rsidP="00D64638">
      <w:pPr>
        <w:pStyle w:val="EBBullet"/>
        <w:keepNext/>
        <w:numPr>
          <w:ilvl w:val="0"/>
          <w:numId w:val="0"/>
        </w:numPr>
        <w:spacing w:line="276" w:lineRule="auto"/>
        <w:ind w:left="284" w:hanging="284"/>
        <w:rPr>
          <w:b/>
        </w:rPr>
      </w:pPr>
      <w:r w:rsidRPr="00D45B85">
        <w:rPr>
          <w:b/>
        </w:rPr>
        <w:t xml:space="preserve">Direct costs and benefits to business calculations (following </w:t>
      </w:r>
      <w:r w:rsidR="00433533" w:rsidRPr="004E09CE">
        <w:rPr>
          <w:b/>
        </w:rPr>
        <w:t>BIT</w:t>
      </w:r>
      <w:r w:rsidRPr="004E09CE">
        <w:rPr>
          <w:b/>
        </w:rPr>
        <w:t xml:space="preserve"> methodology);</w:t>
      </w:r>
    </w:p>
    <w:p w14:paraId="58EC4D9F" w14:textId="77777777" w:rsidR="00E939C4" w:rsidRPr="00266F21" w:rsidRDefault="00E939C4" w:rsidP="00D64638">
      <w:pPr>
        <w:pStyle w:val="EBBodyPara"/>
        <w:spacing w:line="276" w:lineRule="auto"/>
        <w:jc w:val="both"/>
        <w:rPr>
          <w:color w:val="auto"/>
        </w:rPr>
      </w:pPr>
      <w:r w:rsidRPr="004E09CE">
        <w:rPr>
          <w:b/>
          <w:color w:val="auto"/>
        </w:rPr>
        <w:t>Option 2</w:t>
      </w:r>
      <w:r w:rsidRPr="004E09CE">
        <w:rPr>
          <w:color w:val="auto"/>
        </w:rPr>
        <w:t xml:space="preserve"> </w:t>
      </w:r>
      <w:r w:rsidR="006E45FF">
        <w:rPr>
          <w:color w:val="auto"/>
        </w:rPr>
        <w:t xml:space="preserve">implements the EU NFRD’s minimum requirements </w:t>
      </w:r>
      <w:r w:rsidRPr="004E09CE">
        <w:rPr>
          <w:color w:val="auto"/>
        </w:rPr>
        <w:t xml:space="preserve">(i.e. it implements only the mandatory changes to the current system which are required by the </w:t>
      </w:r>
      <w:r w:rsidR="009145EC">
        <w:rPr>
          <w:color w:val="auto"/>
        </w:rPr>
        <w:t>NFRD</w:t>
      </w:r>
      <w:r w:rsidRPr="004E09CE">
        <w:rPr>
          <w:color w:val="auto"/>
        </w:rPr>
        <w:t xml:space="preserve"> and does not include any other changes or extensions). The direct (annual equivalent) impact on</w:t>
      </w:r>
      <w:r w:rsidR="00A37515">
        <w:rPr>
          <w:color w:val="auto"/>
        </w:rPr>
        <w:t xml:space="preserve"> business of this option is £11.6</w:t>
      </w:r>
      <w:r w:rsidRPr="004E09CE">
        <w:rPr>
          <w:color w:val="auto"/>
        </w:rPr>
        <w:t>m. Following the Better Regulation Framework Manual</w:t>
      </w:r>
      <w:r w:rsidRPr="004E09CE">
        <w:rPr>
          <w:rStyle w:val="FootnoteReference"/>
          <w:color w:val="auto"/>
        </w:rPr>
        <w:footnoteReference w:id="39"/>
      </w:r>
      <w:r w:rsidRPr="00266F21">
        <w:rPr>
          <w:color w:val="auto"/>
        </w:rPr>
        <w:t xml:space="preserve">, this is out of scope of OI3O. </w:t>
      </w:r>
      <w:r w:rsidR="00E203F9">
        <w:rPr>
          <w:color w:val="auto"/>
        </w:rPr>
        <w:t xml:space="preserve">This option therefore </w:t>
      </w:r>
      <w:r w:rsidR="00ED17AA">
        <w:rPr>
          <w:color w:val="auto"/>
        </w:rPr>
        <w:t>has no impact on</w:t>
      </w:r>
      <w:r w:rsidR="00E203F9">
        <w:rPr>
          <w:color w:val="auto"/>
        </w:rPr>
        <w:t xml:space="preserve"> the Government’s Business Impact Target (BIT) for business deregulation.</w:t>
      </w:r>
    </w:p>
    <w:p w14:paraId="7C6AB668" w14:textId="77777777" w:rsidR="00E939C4" w:rsidRPr="00672163" w:rsidRDefault="00E939C4" w:rsidP="00D64638">
      <w:pPr>
        <w:pStyle w:val="EBBodyPara"/>
        <w:spacing w:line="276" w:lineRule="auto"/>
        <w:jc w:val="both"/>
        <w:rPr>
          <w:color w:val="auto"/>
        </w:rPr>
      </w:pPr>
      <w:r w:rsidRPr="00FC03D5">
        <w:rPr>
          <w:b/>
        </w:rPr>
        <w:t>Option 3</w:t>
      </w:r>
      <w:r w:rsidRPr="00FC03D5">
        <w:t xml:space="preserve"> extends the scope of the </w:t>
      </w:r>
      <w:r w:rsidR="009145EC">
        <w:t>NFRD</w:t>
      </w:r>
      <w:r w:rsidR="009145EC" w:rsidRPr="00FC03D5">
        <w:t xml:space="preserve"> </w:t>
      </w:r>
      <w:r w:rsidRPr="00FC03D5">
        <w:t>to include smaller quoted c</w:t>
      </w:r>
      <w:r w:rsidRPr="00EE0E76">
        <w:t xml:space="preserve">ompanies.  Following the Better Regulation Framework Manual guidance, we report two EANDCB figures for this option – referring to the element of the EANDCB that is </w:t>
      </w:r>
      <w:r w:rsidR="00E203F9">
        <w:t>o</w:t>
      </w:r>
      <w:r w:rsidRPr="00EE0E76">
        <w:t xml:space="preserve">ut of </w:t>
      </w:r>
      <w:r w:rsidR="00E203F9">
        <w:t>s</w:t>
      </w:r>
      <w:r w:rsidRPr="00EE0E76">
        <w:t xml:space="preserve">cope of OI30 and the element that is </w:t>
      </w:r>
      <w:r w:rsidR="00E203F9">
        <w:t>i</w:t>
      </w:r>
      <w:r w:rsidRPr="00EE0E76">
        <w:t xml:space="preserve">n </w:t>
      </w:r>
      <w:r w:rsidR="00E203F9">
        <w:t>s</w:t>
      </w:r>
      <w:r w:rsidRPr="00EE0E76">
        <w:t>cope.</w:t>
      </w:r>
      <w:r w:rsidRPr="00EE0E76">
        <w:rPr>
          <w:color w:val="auto"/>
        </w:rPr>
        <w:t xml:space="preserve"> </w:t>
      </w:r>
      <w:r w:rsidRPr="00EE0E76">
        <w:t>The</w:t>
      </w:r>
      <w:r w:rsidRPr="00EE0E76">
        <w:rPr>
          <w:color w:val="auto"/>
        </w:rPr>
        <w:t xml:space="preserve"> EANDCB of this option relating to the </w:t>
      </w:r>
      <w:r w:rsidR="00563EA5">
        <w:rPr>
          <w:color w:val="auto"/>
        </w:rPr>
        <w:t>minimum requirements of the NFRD</w:t>
      </w:r>
      <w:r w:rsidRPr="00EE0E76">
        <w:rPr>
          <w:color w:val="auto"/>
        </w:rPr>
        <w:t xml:space="preserve">, which is </w:t>
      </w:r>
      <w:r w:rsidR="00563EA5">
        <w:rPr>
          <w:color w:val="auto"/>
        </w:rPr>
        <w:t>o</w:t>
      </w:r>
      <w:r w:rsidRPr="00EE0E76">
        <w:rPr>
          <w:color w:val="auto"/>
        </w:rPr>
        <w:t xml:space="preserve">ut of </w:t>
      </w:r>
      <w:r w:rsidR="00563EA5">
        <w:rPr>
          <w:color w:val="auto"/>
        </w:rPr>
        <w:t>s</w:t>
      </w:r>
      <w:r w:rsidRPr="00EE0E76">
        <w:rPr>
          <w:color w:val="auto"/>
        </w:rPr>
        <w:t>cope, is £</w:t>
      </w:r>
      <w:r w:rsidR="00A37515">
        <w:rPr>
          <w:color w:val="auto"/>
        </w:rPr>
        <w:t>11.6</w:t>
      </w:r>
      <w:r w:rsidR="00DF5E1B" w:rsidRPr="009D5978">
        <w:rPr>
          <w:color w:val="auto"/>
        </w:rPr>
        <w:t>m</w:t>
      </w:r>
      <w:r w:rsidR="00563EA5">
        <w:rPr>
          <w:color w:val="auto"/>
        </w:rPr>
        <w:t xml:space="preserve"> (as for Option 2)</w:t>
      </w:r>
      <w:r w:rsidR="00DF5E1B" w:rsidRPr="009D5978">
        <w:rPr>
          <w:color w:val="auto"/>
        </w:rPr>
        <w:t>.</w:t>
      </w:r>
      <w:r w:rsidR="00D56093" w:rsidRPr="00FB3819">
        <w:rPr>
          <w:color w:val="auto"/>
        </w:rPr>
        <w:t xml:space="preserve"> </w:t>
      </w:r>
      <w:r w:rsidR="00594190" w:rsidRPr="00FB3819">
        <w:t>The</w:t>
      </w:r>
      <w:r w:rsidR="00594190" w:rsidRPr="00672163">
        <w:rPr>
          <w:color w:val="auto"/>
        </w:rPr>
        <w:t xml:space="preserve"> EANDCB of this option </w:t>
      </w:r>
      <w:r w:rsidR="00563EA5">
        <w:rPr>
          <w:color w:val="auto"/>
        </w:rPr>
        <w:t>i</w:t>
      </w:r>
      <w:r w:rsidR="00594190" w:rsidRPr="00672163">
        <w:rPr>
          <w:color w:val="auto"/>
        </w:rPr>
        <w:t xml:space="preserve">n </w:t>
      </w:r>
      <w:r w:rsidR="00563EA5">
        <w:rPr>
          <w:color w:val="auto"/>
        </w:rPr>
        <w:t>s</w:t>
      </w:r>
      <w:r w:rsidR="004F6C59">
        <w:rPr>
          <w:color w:val="auto"/>
        </w:rPr>
        <w:t>cope is £0.2</w:t>
      </w:r>
      <w:r w:rsidR="00594190" w:rsidRPr="00672163">
        <w:rPr>
          <w:color w:val="auto"/>
        </w:rPr>
        <w:t xml:space="preserve">m. </w:t>
      </w:r>
      <w:r w:rsidR="00563EA5">
        <w:rPr>
          <w:color w:val="auto"/>
        </w:rPr>
        <w:t xml:space="preserve">Over the course of the Parliament the in scope element of the option contributes </w:t>
      </w:r>
      <w:r w:rsidR="00563EA5" w:rsidRPr="00672163">
        <w:rPr>
          <w:color w:val="auto"/>
        </w:rPr>
        <w:t>£</w:t>
      </w:r>
      <w:r w:rsidR="004F6C59">
        <w:rPr>
          <w:color w:val="auto"/>
        </w:rPr>
        <w:t>1</w:t>
      </w:r>
      <w:r w:rsidR="00563EA5" w:rsidRPr="00672163">
        <w:rPr>
          <w:color w:val="auto"/>
        </w:rPr>
        <w:t>m</w:t>
      </w:r>
      <w:r w:rsidR="00563EA5">
        <w:rPr>
          <w:color w:val="auto"/>
        </w:rPr>
        <w:t xml:space="preserve"> in regulatory cost to the Government deregulatory BIT</w:t>
      </w:r>
      <w:r w:rsidR="00563EA5" w:rsidRPr="00672163">
        <w:rPr>
          <w:color w:val="auto"/>
        </w:rPr>
        <w:t>.</w:t>
      </w:r>
    </w:p>
    <w:p w14:paraId="24E4B855" w14:textId="77777777" w:rsidR="004247C8" w:rsidRPr="00D64638" w:rsidRDefault="00594190" w:rsidP="00D64638">
      <w:pPr>
        <w:pStyle w:val="EBBodyPara"/>
        <w:spacing w:line="276" w:lineRule="auto"/>
        <w:jc w:val="both"/>
        <w:rPr>
          <w:color w:val="auto"/>
        </w:rPr>
      </w:pPr>
      <w:r w:rsidRPr="00D64638">
        <w:rPr>
          <w:b/>
          <w:color w:val="auto"/>
        </w:rPr>
        <w:t>Option 4</w:t>
      </w:r>
      <w:r w:rsidR="00563EA5">
        <w:rPr>
          <w:color w:val="auto"/>
        </w:rPr>
        <w:t xml:space="preserve"> </w:t>
      </w:r>
      <w:r w:rsidRPr="001236C8">
        <w:rPr>
          <w:color w:val="auto"/>
        </w:rPr>
        <w:t>implements the minimum EU requirements and repeals certain requirements for quoted co</w:t>
      </w:r>
      <w:r w:rsidRPr="00CF0B89">
        <w:rPr>
          <w:color w:val="auto"/>
        </w:rPr>
        <w:t>mpanies that fall out of scope of the NFRD.</w:t>
      </w:r>
      <w:r w:rsidRPr="009B17B7">
        <w:t xml:space="preserve"> </w:t>
      </w:r>
      <w:r w:rsidR="0042018D" w:rsidRPr="00EE0E76">
        <w:t xml:space="preserve">Following the Better Regulation Framework Manual guidance, we report two EANDCB figures for this option – referring to the element of the EANDCB that is </w:t>
      </w:r>
      <w:r w:rsidR="0042018D">
        <w:t>o</w:t>
      </w:r>
      <w:r w:rsidR="0042018D" w:rsidRPr="00EE0E76">
        <w:t xml:space="preserve">ut of </w:t>
      </w:r>
      <w:r w:rsidR="0042018D">
        <w:t>s</w:t>
      </w:r>
      <w:r w:rsidR="0042018D" w:rsidRPr="00EE0E76">
        <w:t xml:space="preserve">cope of OI30 and the element that is </w:t>
      </w:r>
      <w:r w:rsidR="0042018D">
        <w:t>i</w:t>
      </w:r>
      <w:r w:rsidR="0042018D" w:rsidRPr="00EE0E76">
        <w:t xml:space="preserve">n </w:t>
      </w:r>
      <w:r w:rsidR="0042018D">
        <w:t>s</w:t>
      </w:r>
      <w:r w:rsidR="0042018D" w:rsidRPr="00EE0E76">
        <w:t>cope.</w:t>
      </w:r>
      <w:r w:rsidR="0042018D" w:rsidRPr="00EE0E76">
        <w:rPr>
          <w:color w:val="auto"/>
        </w:rPr>
        <w:t xml:space="preserve"> </w:t>
      </w:r>
      <w:r w:rsidRPr="009B17B7">
        <w:t>The</w:t>
      </w:r>
      <w:r w:rsidRPr="009D463F">
        <w:rPr>
          <w:color w:val="auto"/>
        </w:rPr>
        <w:t xml:space="preserve"> EANDCB of this option relating to the EU derived measures, which is </w:t>
      </w:r>
      <w:r w:rsidR="00563EA5">
        <w:rPr>
          <w:color w:val="auto"/>
        </w:rPr>
        <w:t>o</w:t>
      </w:r>
      <w:r w:rsidRPr="009D463F">
        <w:rPr>
          <w:color w:val="auto"/>
        </w:rPr>
        <w:t xml:space="preserve">ut of </w:t>
      </w:r>
      <w:r w:rsidR="00563EA5">
        <w:rPr>
          <w:color w:val="auto"/>
        </w:rPr>
        <w:t>s</w:t>
      </w:r>
      <w:r w:rsidR="00A37515">
        <w:rPr>
          <w:color w:val="auto"/>
        </w:rPr>
        <w:t>cope, is £11.6</w:t>
      </w:r>
      <w:r w:rsidRPr="009D463F">
        <w:rPr>
          <w:color w:val="auto"/>
        </w:rPr>
        <w:t>m.</w:t>
      </w:r>
      <w:r w:rsidR="004247C8" w:rsidRPr="009D463F">
        <w:rPr>
          <w:color w:val="auto"/>
        </w:rPr>
        <w:t xml:space="preserve"> </w:t>
      </w:r>
      <w:r w:rsidR="004247C8" w:rsidRPr="009D463F">
        <w:t>The</w:t>
      </w:r>
      <w:r w:rsidR="004247C8" w:rsidRPr="009D463F">
        <w:rPr>
          <w:color w:val="auto"/>
        </w:rPr>
        <w:t xml:space="preserve"> equivalent annual</w:t>
      </w:r>
      <w:r w:rsidR="00A37515">
        <w:rPr>
          <w:color w:val="auto"/>
        </w:rPr>
        <w:t xml:space="preserve"> savings to business</w:t>
      </w:r>
      <w:r w:rsidR="006E45FF">
        <w:rPr>
          <w:color w:val="auto"/>
        </w:rPr>
        <w:t xml:space="preserve"> that is in scope (relating to domestic changes to deregulate NFR)</w:t>
      </w:r>
      <w:r w:rsidR="00A37515">
        <w:rPr>
          <w:color w:val="auto"/>
        </w:rPr>
        <w:t xml:space="preserve"> is £1.7</w:t>
      </w:r>
      <w:r w:rsidR="004247C8" w:rsidRPr="004B5F0F">
        <w:rPr>
          <w:color w:val="auto"/>
        </w:rPr>
        <w:t>m</w:t>
      </w:r>
      <w:r w:rsidR="004F6C59">
        <w:rPr>
          <w:color w:val="auto"/>
        </w:rPr>
        <w:t>.</w:t>
      </w:r>
      <w:r w:rsidR="004247C8" w:rsidRPr="004B5F0F">
        <w:rPr>
          <w:color w:val="auto"/>
        </w:rPr>
        <w:t xml:space="preserve"> </w:t>
      </w:r>
      <w:r w:rsidR="006E45FF">
        <w:rPr>
          <w:color w:val="auto"/>
        </w:rPr>
        <w:t xml:space="preserve">The in scope element of Option 4 contributes </w:t>
      </w:r>
      <w:r w:rsidR="00A37515">
        <w:rPr>
          <w:color w:val="auto"/>
        </w:rPr>
        <w:t>£-8.5</w:t>
      </w:r>
      <w:r w:rsidR="004247C8" w:rsidRPr="0063153B">
        <w:rPr>
          <w:color w:val="auto"/>
        </w:rPr>
        <w:t>m</w:t>
      </w:r>
      <w:r w:rsidR="006E45FF">
        <w:rPr>
          <w:color w:val="auto"/>
        </w:rPr>
        <w:t xml:space="preserve"> in deregulatory savings to the BIT</w:t>
      </w:r>
      <w:r w:rsidR="004247C8" w:rsidRPr="0063153B">
        <w:rPr>
          <w:color w:val="auto"/>
        </w:rPr>
        <w:t>.</w:t>
      </w:r>
    </w:p>
    <w:p w14:paraId="758054CA" w14:textId="77777777" w:rsidR="00872A4E" w:rsidRDefault="00872A4E" w:rsidP="00D64638">
      <w:pPr>
        <w:pStyle w:val="EBBullet"/>
        <w:keepNext/>
        <w:numPr>
          <w:ilvl w:val="0"/>
          <w:numId w:val="0"/>
        </w:numPr>
        <w:spacing w:line="276" w:lineRule="auto"/>
        <w:ind w:left="284" w:hanging="284"/>
        <w:rPr>
          <w:b/>
          <w:sz w:val="32"/>
          <w:szCs w:val="32"/>
        </w:rPr>
      </w:pPr>
    </w:p>
    <w:p w14:paraId="5741C743" w14:textId="77777777" w:rsidR="00FA5568" w:rsidRPr="00872A4E" w:rsidRDefault="00FA5568" w:rsidP="00D64638">
      <w:pPr>
        <w:pStyle w:val="EBBullet"/>
        <w:keepNext/>
        <w:numPr>
          <w:ilvl w:val="0"/>
          <w:numId w:val="0"/>
        </w:numPr>
        <w:spacing w:line="276" w:lineRule="auto"/>
        <w:ind w:left="284" w:hanging="284"/>
        <w:rPr>
          <w:b/>
          <w:sz w:val="32"/>
          <w:szCs w:val="32"/>
        </w:rPr>
      </w:pPr>
      <w:r w:rsidRPr="00872A4E">
        <w:rPr>
          <w:b/>
          <w:sz w:val="32"/>
          <w:szCs w:val="32"/>
        </w:rPr>
        <w:t>Wider impacts</w:t>
      </w:r>
    </w:p>
    <w:p w14:paraId="1186352D" w14:textId="77777777" w:rsidR="00BD1587" w:rsidRPr="004E09CE" w:rsidRDefault="00BD1587" w:rsidP="00D64638">
      <w:pPr>
        <w:spacing w:line="276" w:lineRule="auto"/>
        <w:jc w:val="both"/>
        <w:rPr>
          <w:rFonts w:cs="Arial"/>
          <w:sz w:val="22"/>
          <w:szCs w:val="22"/>
        </w:rPr>
      </w:pPr>
      <w:r w:rsidRPr="004E09CE">
        <w:rPr>
          <w:rFonts w:cs="Arial"/>
          <w:sz w:val="22"/>
          <w:szCs w:val="22"/>
        </w:rPr>
        <w:t>The main aim of the policy is to require companies to prepare: information demonstrating their consideration of the impacts of their business operations, including their policies; an assessment of the risks and opportunities to the business; and an assessment of the outcomes of these policies. It is important to mention that the primary requirements of this policy focus on the provision of information to various groups with which the company may have contact. The benefits of this policy will only be realised should these groups choose to read and act upon the information provided by the company in this yearly non-financial statement.</w:t>
      </w:r>
      <w:r w:rsidR="00ED17AA">
        <w:rPr>
          <w:rFonts w:cs="Arial"/>
          <w:sz w:val="22"/>
          <w:szCs w:val="22"/>
        </w:rPr>
        <w:t xml:space="preserve">  </w:t>
      </w:r>
    </w:p>
    <w:p w14:paraId="64B2BF09" w14:textId="77777777" w:rsidR="00BD1587" w:rsidRPr="004E09CE" w:rsidRDefault="00BD1587" w:rsidP="00D64638">
      <w:pPr>
        <w:spacing w:line="276" w:lineRule="auto"/>
        <w:jc w:val="both"/>
        <w:rPr>
          <w:rFonts w:cs="Arial"/>
          <w:sz w:val="22"/>
          <w:szCs w:val="22"/>
        </w:rPr>
      </w:pPr>
    </w:p>
    <w:p w14:paraId="3857A53F" w14:textId="77777777" w:rsidR="00BD1587" w:rsidRPr="004E09CE" w:rsidRDefault="00BD1587" w:rsidP="00D64638">
      <w:pPr>
        <w:spacing w:line="276" w:lineRule="auto"/>
        <w:jc w:val="both"/>
        <w:rPr>
          <w:rFonts w:cs="Arial"/>
          <w:b/>
          <w:i/>
          <w:iCs/>
          <w:sz w:val="22"/>
          <w:szCs w:val="22"/>
          <w:u w:val="single"/>
        </w:rPr>
      </w:pPr>
      <w:r w:rsidRPr="004E09CE">
        <w:rPr>
          <w:rFonts w:cs="Arial"/>
          <w:b/>
          <w:i/>
          <w:iCs/>
          <w:sz w:val="22"/>
          <w:szCs w:val="22"/>
          <w:u w:val="single"/>
        </w:rPr>
        <w:t>Statutory Equality Duties</w:t>
      </w:r>
    </w:p>
    <w:p w14:paraId="156B27B9" w14:textId="77777777" w:rsidR="00BD1587" w:rsidRPr="00266F21" w:rsidRDefault="00BD1587" w:rsidP="00D64638">
      <w:pPr>
        <w:spacing w:line="276" w:lineRule="auto"/>
        <w:jc w:val="both"/>
        <w:rPr>
          <w:rFonts w:cs="Arial"/>
          <w:b/>
          <w:i/>
          <w:iCs/>
          <w:sz w:val="22"/>
          <w:szCs w:val="22"/>
          <w:u w:val="single"/>
        </w:rPr>
      </w:pPr>
    </w:p>
    <w:p w14:paraId="4ADFA2C6" w14:textId="77777777" w:rsidR="00BD1587" w:rsidRPr="00EE0E76" w:rsidRDefault="00563EA5" w:rsidP="00D64638">
      <w:pPr>
        <w:spacing w:line="276" w:lineRule="auto"/>
        <w:jc w:val="both"/>
        <w:rPr>
          <w:rFonts w:cs="Arial"/>
          <w:sz w:val="22"/>
          <w:szCs w:val="22"/>
        </w:rPr>
      </w:pPr>
      <w:r>
        <w:rPr>
          <w:rFonts w:cs="Arial"/>
          <w:sz w:val="22"/>
          <w:szCs w:val="22"/>
        </w:rPr>
        <w:t>There are n</w:t>
      </w:r>
      <w:r w:rsidR="00BD1587" w:rsidRPr="00FC03D5">
        <w:rPr>
          <w:rFonts w:cs="Arial"/>
          <w:sz w:val="22"/>
          <w:szCs w:val="22"/>
        </w:rPr>
        <w:t xml:space="preserve">o obvious concerns in this area given that this measure regulates businesses rather than individuals. In terms of the impact of this policy on aspects of the </w:t>
      </w:r>
      <w:r>
        <w:rPr>
          <w:rFonts w:cs="Arial"/>
          <w:sz w:val="22"/>
          <w:szCs w:val="22"/>
        </w:rPr>
        <w:t>E</w:t>
      </w:r>
      <w:r w:rsidR="00BD1587" w:rsidRPr="00FC03D5">
        <w:rPr>
          <w:rFonts w:cs="Arial"/>
          <w:sz w:val="22"/>
          <w:szCs w:val="22"/>
        </w:rPr>
        <w:t xml:space="preserve">qualities </w:t>
      </w:r>
      <w:r>
        <w:rPr>
          <w:rFonts w:cs="Arial"/>
          <w:sz w:val="22"/>
          <w:szCs w:val="22"/>
        </w:rPr>
        <w:t>A</w:t>
      </w:r>
      <w:r w:rsidR="00BD1587" w:rsidRPr="00FC03D5">
        <w:rPr>
          <w:rFonts w:cs="Arial"/>
          <w:sz w:val="22"/>
          <w:szCs w:val="22"/>
        </w:rPr>
        <w:t>ct 2010, the company will be required to disclose its diversity policy and the results of this. As with the other aspects discussed above this will only have an impact on promoting</w:t>
      </w:r>
      <w:r w:rsidR="008B3684">
        <w:rPr>
          <w:rFonts w:cs="Arial"/>
          <w:sz w:val="22"/>
          <w:szCs w:val="22"/>
        </w:rPr>
        <w:t>,</w:t>
      </w:r>
      <w:r w:rsidR="00BD1587" w:rsidRPr="00FC03D5">
        <w:rPr>
          <w:rFonts w:cs="Arial"/>
          <w:sz w:val="22"/>
          <w:szCs w:val="22"/>
        </w:rPr>
        <w:t xml:space="preserve"> for example</w:t>
      </w:r>
      <w:r w:rsidR="008B3684">
        <w:rPr>
          <w:rFonts w:cs="Arial"/>
          <w:sz w:val="22"/>
          <w:szCs w:val="22"/>
        </w:rPr>
        <w:t>,</w:t>
      </w:r>
      <w:r w:rsidR="00BD1587" w:rsidRPr="00FC03D5">
        <w:rPr>
          <w:rFonts w:cs="Arial"/>
          <w:sz w:val="22"/>
          <w:szCs w:val="22"/>
        </w:rPr>
        <w:t xml:space="preserve"> gender equalit</w:t>
      </w:r>
      <w:r w:rsidR="008B3684">
        <w:rPr>
          <w:rFonts w:cs="Arial"/>
          <w:sz w:val="22"/>
          <w:szCs w:val="22"/>
        </w:rPr>
        <w:t>y in the boardroom</w:t>
      </w:r>
      <w:r w:rsidR="00BD1587" w:rsidRPr="00EE0E76">
        <w:rPr>
          <w:rFonts w:cs="Arial"/>
          <w:sz w:val="22"/>
          <w:szCs w:val="22"/>
        </w:rPr>
        <w:t>.</w:t>
      </w:r>
    </w:p>
    <w:p w14:paraId="0074531C" w14:textId="77777777" w:rsidR="00BD1587" w:rsidRPr="00EE0E76" w:rsidRDefault="00BD1587" w:rsidP="00D64638">
      <w:pPr>
        <w:pStyle w:val="Default"/>
        <w:spacing w:line="276" w:lineRule="auto"/>
        <w:jc w:val="both"/>
        <w:rPr>
          <w:rFonts w:ascii="Arial" w:hAnsi="Arial" w:cs="Arial"/>
          <w:color w:val="auto"/>
          <w:sz w:val="22"/>
          <w:szCs w:val="22"/>
        </w:rPr>
      </w:pPr>
    </w:p>
    <w:p w14:paraId="09A51019" w14:textId="77777777" w:rsidR="00BD1587" w:rsidRPr="00EE0E76" w:rsidRDefault="00BD1587" w:rsidP="00D64638">
      <w:pPr>
        <w:pStyle w:val="Default"/>
        <w:spacing w:line="276" w:lineRule="auto"/>
        <w:jc w:val="both"/>
        <w:rPr>
          <w:rFonts w:ascii="Arial" w:hAnsi="Arial" w:cs="Arial"/>
          <w:b/>
          <w:i/>
          <w:iCs/>
          <w:color w:val="auto"/>
          <w:sz w:val="22"/>
          <w:szCs w:val="22"/>
          <w:u w:val="single"/>
        </w:rPr>
      </w:pPr>
      <w:r w:rsidRPr="00EE0E76">
        <w:rPr>
          <w:rFonts w:ascii="Arial" w:hAnsi="Arial" w:cs="Arial"/>
          <w:b/>
          <w:i/>
          <w:iCs/>
          <w:color w:val="auto"/>
          <w:sz w:val="22"/>
          <w:szCs w:val="22"/>
          <w:u w:val="single"/>
        </w:rPr>
        <w:t xml:space="preserve">Economic Impacts </w:t>
      </w:r>
    </w:p>
    <w:p w14:paraId="1C674808" w14:textId="77777777" w:rsidR="00BD1587" w:rsidRPr="00EE0E76" w:rsidRDefault="00BD1587" w:rsidP="00D64638">
      <w:pPr>
        <w:pStyle w:val="Default"/>
        <w:spacing w:line="276" w:lineRule="auto"/>
        <w:jc w:val="both"/>
        <w:rPr>
          <w:rFonts w:ascii="Arial" w:hAnsi="Arial" w:cs="Arial"/>
          <w:b/>
          <w:color w:val="auto"/>
          <w:sz w:val="22"/>
          <w:szCs w:val="22"/>
        </w:rPr>
      </w:pPr>
    </w:p>
    <w:p w14:paraId="41431BAF" w14:textId="77777777" w:rsidR="00BD1587" w:rsidRPr="00EE0E76" w:rsidRDefault="00BD1587" w:rsidP="00D64638">
      <w:pPr>
        <w:spacing w:line="276" w:lineRule="auto"/>
        <w:jc w:val="both"/>
        <w:rPr>
          <w:rFonts w:cs="Arial"/>
          <w:b/>
          <w:sz w:val="22"/>
          <w:szCs w:val="22"/>
        </w:rPr>
      </w:pPr>
      <w:r w:rsidRPr="00EE0E76">
        <w:rPr>
          <w:rFonts w:cs="Arial"/>
          <w:i/>
          <w:iCs/>
          <w:sz w:val="22"/>
          <w:szCs w:val="22"/>
        </w:rPr>
        <w:t>Competition Impact Test:</w:t>
      </w:r>
    </w:p>
    <w:p w14:paraId="4689D051" w14:textId="77777777" w:rsidR="00BD1587" w:rsidRPr="009D5978" w:rsidRDefault="00BD1587" w:rsidP="00D64638">
      <w:pPr>
        <w:spacing w:line="276" w:lineRule="auto"/>
        <w:jc w:val="both"/>
        <w:rPr>
          <w:rFonts w:cs="Arial"/>
          <w:b/>
          <w:sz w:val="22"/>
          <w:szCs w:val="22"/>
        </w:rPr>
      </w:pPr>
    </w:p>
    <w:p w14:paraId="30099D73" w14:textId="77777777" w:rsidR="00BD1587" w:rsidRPr="005A0170" w:rsidRDefault="00BD1587" w:rsidP="00D64638">
      <w:pPr>
        <w:spacing w:line="276" w:lineRule="auto"/>
        <w:jc w:val="both"/>
        <w:rPr>
          <w:rFonts w:cs="Arial"/>
          <w:b/>
          <w:sz w:val="22"/>
          <w:szCs w:val="22"/>
        </w:rPr>
      </w:pPr>
      <w:r w:rsidRPr="005A0170">
        <w:rPr>
          <w:rFonts w:cs="Arial"/>
          <w:sz w:val="22"/>
          <w:szCs w:val="22"/>
        </w:rPr>
        <w:t>These proposals will affect companies differently</w:t>
      </w:r>
      <w:r w:rsidR="00484F01" w:rsidRPr="005A0170">
        <w:rPr>
          <w:rFonts w:cs="Arial"/>
          <w:sz w:val="22"/>
          <w:szCs w:val="22"/>
        </w:rPr>
        <w:t>, but as the additional cost is small it would not place companies in scope at a competitive disadvantage</w:t>
      </w:r>
      <w:r w:rsidRPr="005A0170">
        <w:rPr>
          <w:rFonts w:cs="Arial"/>
          <w:sz w:val="22"/>
          <w:szCs w:val="22"/>
        </w:rPr>
        <w:t xml:space="preserve">. </w:t>
      </w:r>
      <w:r w:rsidR="00484F01" w:rsidRPr="005A0170">
        <w:rPr>
          <w:rFonts w:cs="Arial"/>
          <w:sz w:val="22"/>
          <w:szCs w:val="22"/>
        </w:rPr>
        <w:t>T</w:t>
      </w:r>
      <w:r w:rsidRPr="005A0170">
        <w:rPr>
          <w:rFonts w:cs="Arial"/>
          <w:sz w:val="22"/>
          <w:szCs w:val="22"/>
        </w:rPr>
        <w:t xml:space="preserve">here are benefits in preparing non-financial information </w:t>
      </w:r>
      <w:r w:rsidR="00484F01" w:rsidRPr="005A0170">
        <w:rPr>
          <w:rFonts w:cs="Arial"/>
          <w:sz w:val="22"/>
          <w:szCs w:val="22"/>
        </w:rPr>
        <w:t>and indeed many companies already report on the new requirements voluntarily</w:t>
      </w:r>
      <w:r w:rsidRPr="005A0170">
        <w:rPr>
          <w:rFonts w:cs="Arial"/>
          <w:sz w:val="22"/>
          <w:szCs w:val="22"/>
        </w:rPr>
        <w:t xml:space="preserve">. </w:t>
      </w:r>
      <w:r w:rsidR="00484F01" w:rsidRPr="005A0170">
        <w:rPr>
          <w:sz w:val="22"/>
          <w:szCs w:val="22"/>
        </w:rPr>
        <w:t xml:space="preserve">In addition enhanced disclosure could increase competition </w:t>
      </w:r>
      <w:r w:rsidR="0026330D" w:rsidRPr="005A0170">
        <w:rPr>
          <w:sz w:val="22"/>
          <w:szCs w:val="22"/>
        </w:rPr>
        <w:t>on</w:t>
      </w:r>
      <w:r w:rsidR="00484F01" w:rsidRPr="005A0170">
        <w:rPr>
          <w:sz w:val="22"/>
          <w:szCs w:val="22"/>
        </w:rPr>
        <w:t xml:space="preserve"> </w:t>
      </w:r>
      <w:r w:rsidR="0026330D" w:rsidRPr="005A0170">
        <w:rPr>
          <w:sz w:val="22"/>
          <w:szCs w:val="22"/>
        </w:rPr>
        <w:t xml:space="preserve">other </w:t>
      </w:r>
      <w:r w:rsidR="00484F01" w:rsidRPr="005A0170">
        <w:rPr>
          <w:sz w:val="22"/>
          <w:szCs w:val="22"/>
        </w:rPr>
        <w:t>dimension</w:t>
      </w:r>
      <w:r w:rsidR="0026330D" w:rsidRPr="005A0170">
        <w:rPr>
          <w:sz w:val="22"/>
          <w:szCs w:val="22"/>
        </w:rPr>
        <w:t>s</w:t>
      </w:r>
      <w:r w:rsidR="00484F01" w:rsidRPr="005A0170">
        <w:rPr>
          <w:sz w:val="22"/>
          <w:szCs w:val="22"/>
        </w:rPr>
        <w:t xml:space="preserve"> </w:t>
      </w:r>
      <w:r w:rsidR="0026330D" w:rsidRPr="005A0170">
        <w:rPr>
          <w:sz w:val="22"/>
          <w:szCs w:val="22"/>
        </w:rPr>
        <w:t xml:space="preserve">as </w:t>
      </w:r>
      <w:r w:rsidR="00484F01" w:rsidRPr="005A0170">
        <w:rPr>
          <w:sz w:val="22"/>
          <w:szCs w:val="22"/>
        </w:rPr>
        <w:t xml:space="preserve">companies </w:t>
      </w:r>
      <w:r w:rsidR="0026330D" w:rsidRPr="005A0170">
        <w:rPr>
          <w:sz w:val="22"/>
          <w:szCs w:val="22"/>
        </w:rPr>
        <w:t xml:space="preserve">would </w:t>
      </w:r>
      <w:r w:rsidR="00484F01" w:rsidRPr="005A0170">
        <w:rPr>
          <w:sz w:val="22"/>
          <w:szCs w:val="22"/>
        </w:rPr>
        <w:t>compete</w:t>
      </w:r>
      <w:r w:rsidR="0026330D" w:rsidRPr="005A0170">
        <w:rPr>
          <w:sz w:val="22"/>
          <w:szCs w:val="22"/>
        </w:rPr>
        <w:t xml:space="preserve"> on performance </w:t>
      </w:r>
      <w:r w:rsidR="005A0170" w:rsidRPr="005A0170">
        <w:rPr>
          <w:sz w:val="22"/>
          <w:szCs w:val="22"/>
        </w:rPr>
        <w:t>with due regard to</w:t>
      </w:r>
      <w:r w:rsidR="0026330D" w:rsidRPr="005A0170">
        <w:rPr>
          <w:sz w:val="22"/>
          <w:szCs w:val="22"/>
        </w:rPr>
        <w:t xml:space="preserve"> environment social and governance matters.</w:t>
      </w:r>
      <w:r w:rsidR="00484F01" w:rsidRPr="005A0170">
        <w:rPr>
          <w:rFonts w:cs="Arial"/>
          <w:bCs/>
          <w:sz w:val="22"/>
          <w:szCs w:val="22"/>
          <w:lang w:eastAsia="en-GB"/>
        </w:rPr>
        <w:t xml:space="preserve"> </w:t>
      </w:r>
    </w:p>
    <w:p w14:paraId="7BEA1F70" w14:textId="77777777" w:rsidR="00BD1587" w:rsidRPr="005A0170" w:rsidRDefault="00BD1587" w:rsidP="00D64638">
      <w:pPr>
        <w:spacing w:line="276" w:lineRule="auto"/>
        <w:jc w:val="both"/>
        <w:rPr>
          <w:rFonts w:cs="Arial"/>
          <w:sz w:val="22"/>
          <w:szCs w:val="22"/>
        </w:rPr>
      </w:pPr>
    </w:p>
    <w:p w14:paraId="5FC503A5" w14:textId="77777777" w:rsidR="00BD1587" w:rsidRPr="005A0170" w:rsidRDefault="00BD1587" w:rsidP="00D64638">
      <w:pPr>
        <w:spacing w:line="276" w:lineRule="auto"/>
        <w:jc w:val="both"/>
        <w:rPr>
          <w:rFonts w:cs="Arial"/>
          <w:sz w:val="22"/>
          <w:szCs w:val="22"/>
        </w:rPr>
      </w:pPr>
      <w:r w:rsidRPr="005A0170">
        <w:rPr>
          <w:rFonts w:cs="Arial"/>
          <w:sz w:val="22"/>
          <w:szCs w:val="22"/>
        </w:rPr>
        <w:t xml:space="preserve">Finally, the provision of information to shareholders, investors (both institutional and retail) and wider society </w:t>
      </w:r>
      <w:r w:rsidR="00563EA5" w:rsidRPr="005A0170">
        <w:rPr>
          <w:rFonts w:cs="Arial"/>
          <w:sz w:val="22"/>
          <w:szCs w:val="22"/>
        </w:rPr>
        <w:t xml:space="preserve">should enhance </w:t>
      </w:r>
      <w:r w:rsidRPr="005A0170">
        <w:rPr>
          <w:rFonts w:cs="Arial"/>
          <w:sz w:val="22"/>
          <w:szCs w:val="22"/>
        </w:rPr>
        <w:t xml:space="preserve">transparency and accountability of these </w:t>
      </w:r>
      <w:r w:rsidR="00563EA5" w:rsidRPr="005A0170">
        <w:rPr>
          <w:rFonts w:cs="Arial"/>
          <w:sz w:val="22"/>
          <w:szCs w:val="22"/>
        </w:rPr>
        <w:t>PIEs</w:t>
      </w:r>
      <w:r w:rsidRPr="005A0170">
        <w:rPr>
          <w:rFonts w:cs="Arial"/>
          <w:sz w:val="22"/>
          <w:szCs w:val="22"/>
        </w:rPr>
        <w:t xml:space="preserve"> within the UK and have a positive impact on how these companies are run.</w:t>
      </w:r>
    </w:p>
    <w:p w14:paraId="2429C9CE" w14:textId="77777777" w:rsidR="00BD1587" w:rsidRPr="009D463F" w:rsidRDefault="00BD1587" w:rsidP="00D64638">
      <w:pPr>
        <w:pStyle w:val="Default"/>
        <w:spacing w:line="276" w:lineRule="auto"/>
        <w:jc w:val="both"/>
        <w:rPr>
          <w:rFonts w:ascii="Arial" w:hAnsi="Arial" w:cs="Arial"/>
          <w:b/>
          <w:color w:val="auto"/>
          <w:sz w:val="22"/>
          <w:szCs w:val="22"/>
        </w:rPr>
      </w:pPr>
    </w:p>
    <w:p w14:paraId="722F96C9" w14:textId="77777777" w:rsidR="00BD1587" w:rsidRPr="009D463F" w:rsidRDefault="00BD1587" w:rsidP="00D64638">
      <w:pPr>
        <w:pStyle w:val="Default"/>
        <w:spacing w:line="276" w:lineRule="auto"/>
        <w:jc w:val="both"/>
        <w:rPr>
          <w:rFonts w:ascii="Arial" w:hAnsi="Arial" w:cs="Arial"/>
          <w:i/>
          <w:iCs/>
          <w:color w:val="auto"/>
          <w:sz w:val="22"/>
          <w:szCs w:val="22"/>
        </w:rPr>
      </w:pPr>
      <w:r w:rsidRPr="009D463F">
        <w:rPr>
          <w:rFonts w:ascii="Arial" w:hAnsi="Arial" w:cs="Arial"/>
          <w:i/>
          <w:iCs/>
          <w:color w:val="auto"/>
          <w:sz w:val="22"/>
          <w:szCs w:val="22"/>
        </w:rPr>
        <w:t>Small and Micro Business Assessment</w:t>
      </w:r>
      <w:r w:rsidR="00563EA5">
        <w:rPr>
          <w:rFonts w:ascii="Arial" w:hAnsi="Arial" w:cs="Arial"/>
          <w:i/>
          <w:iCs/>
          <w:color w:val="auto"/>
          <w:sz w:val="22"/>
          <w:szCs w:val="22"/>
        </w:rPr>
        <w:t xml:space="preserve"> (</w:t>
      </w:r>
      <w:proofErr w:type="spellStart"/>
      <w:r w:rsidR="00563EA5">
        <w:rPr>
          <w:rFonts w:ascii="Arial" w:hAnsi="Arial" w:cs="Arial"/>
          <w:i/>
          <w:iCs/>
          <w:color w:val="auto"/>
          <w:sz w:val="22"/>
          <w:szCs w:val="22"/>
        </w:rPr>
        <w:t>SaMBA</w:t>
      </w:r>
      <w:proofErr w:type="spellEnd"/>
      <w:r w:rsidR="00563EA5">
        <w:rPr>
          <w:rFonts w:ascii="Arial" w:hAnsi="Arial" w:cs="Arial"/>
          <w:i/>
          <w:iCs/>
          <w:color w:val="auto"/>
          <w:sz w:val="22"/>
          <w:szCs w:val="22"/>
        </w:rPr>
        <w:t>)</w:t>
      </w:r>
    </w:p>
    <w:p w14:paraId="26B88AA4" w14:textId="77777777" w:rsidR="00BD1587" w:rsidRPr="009D463F" w:rsidRDefault="00BD1587" w:rsidP="00D64638">
      <w:pPr>
        <w:pStyle w:val="Default"/>
        <w:spacing w:line="276" w:lineRule="auto"/>
        <w:ind w:left="720"/>
        <w:jc w:val="both"/>
        <w:rPr>
          <w:rFonts w:ascii="Arial" w:hAnsi="Arial" w:cs="Arial"/>
          <w:color w:val="auto"/>
          <w:sz w:val="22"/>
          <w:szCs w:val="22"/>
        </w:rPr>
      </w:pPr>
    </w:p>
    <w:p w14:paraId="10AB8588" w14:textId="77777777" w:rsidR="00563EA5" w:rsidRPr="006A2772" w:rsidRDefault="00557DD6" w:rsidP="00563EA5">
      <w:pPr>
        <w:pStyle w:val="Default"/>
        <w:spacing w:line="276" w:lineRule="auto"/>
        <w:jc w:val="both"/>
        <w:rPr>
          <w:rFonts w:ascii="Arial" w:hAnsi="Arial" w:cs="Arial"/>
          <w:color w:val="auto"/>
          <w:sz w:val="22"/>
          <w:szCs w:val="22"/>
        </w:rPr>
      </w:pPr>
      <w:r>
        <w:rPr>
          <w:rFonts w:ascii="Arial" w:hAnsi="Arial" w:cs="Arial"/>
          <w:color w:val="auto"/>
          <w:sz w:val="22"/>
          <w:szCs w:val="22"/>
        </w:rPr>
        <w:t xml:space="preserve">In line with </w:t>
      </w:r>
      <w:r w:rsidR="00563EA5">
        <w:rPr>
          <w:rFonts w:ascii="Arial" w:hAnsi="Arial" w:cs="Arial"/>
          <w:color w:val="auto"/>
          <w:sz w:val="22"/>
          <w:szCs w:val="22"/>
        </w:rPr>
        <w:t xml:space="preserve">the Better Regulation Framework Manual, we are not required to conduct a </w:t>
      </w:r>
      <w:proofErr w:type="spellStart"/>
      <w:r w:rsidR="00563EA5">
        <w:rPr>
          <w:rFonts w:ascii="Arial" w:hAnsi="Arial" w:cs="Arial"/>
          <w:color w:val="auto"/>
          <w:sz w:val="22"/>
          <w:szCs w:val="22"/>
        </w:rPr>
        <w:t>SaMBA</w:t>
      </w:r>
      <w:proofErr w:type="spellEnd"/>
      <w:r>
        <w:rPr>
          <w:rFonts w:ascii="Arial" w:hAnsi="Arial" w:cs="Arial"/>
          <w:color w:val="auto"/>
          <w:sz w:val="22"/>
          <w:szCs w:val="22"/>
        </w:rPr>
        <w:t xml:space="preserve"> because the measure is European in origin. N</w:t>
      </w:r>
      <w:r w:rsidR="00563EA5" w:rsidRPr="009D463F">
        <w:rPr>
          <w:rFonts w:ascii="Arial" w:hAnsi="Arial" w:cs="Arial"/>
          <w:color w:val="auto"/>
          <w:sz w:val="22"/>
          <w:szCs w:val="22"/>
        </w:rPr>
        <w:t>o small</w:t>
      </w:r>
      <w:r w:rsidR="00563EA5">
        <w:rPr>
          <w:rFonts w:ascii="Arial" w:hAnsi="Arial" w:cs="Arial"/>
          <w:color w:val="auto"/>
          <w:sz w:val="22"/>
          <w:szCs w:val="22"/>
        </w:rPr>
        <w:t xml:space="preserve"> or micro</w:t>
      </w:r>
      <w:r w:rsidR="00563EA5" w:rsidRPr="009D463F">
        <w:rPr>
          <w:rFonts w:ascii="Arial" w:hAnsi="Arial" w:cs="Arial"/>
          <w:color w:val="auto"/>
          <w:sz w:val="22"/>
          <w:szCs w:val="22"/>
        </w:rPr>
        <w:t xml:space="preserve"> </w:t>
      </w:r>
      <w:r w:rsidR="00563EA5">
        <w:rPr>
          <w:rFonts w:ascii="Arial" w:hAnsi="Arial" w:cs="Arial"/>
          <w:color w:val="auto"/>
          <w:sz w:val="22"/>
          <w:szCs w:val="22"/>
        </w:rPr>
        <w:t xml:space="preserve">parent </w:t>
      </w:r>
      <w:r w:rsidR="00563EA5" w:rsidRPr="009D463F">
        <w:rPr>
          <w:rFonts w:ascii="Arial" w:hAnsi="Arial" w:cs="Arial"/>
          <w:color w:val="auto"/>
          <w:sz w:val="22"/>
          <w:szCs w:val="22"/>
        </w:rPr>
        <w:t xml:space="preserve">companies were </w:t>
      </w:r>
      <w:r w:rsidR="00563EA5">
        <w:rPr>
          <w:rFonts w:ascii="Arial" w:hAnsi="Arial" w:cs="Arial"/>
          <w:color w:val="auto"/>
          <w:sz w:val="22"/>
          <w:szCs w:val="22"/>
        </w:rPr>
        <w:t xml:space="preserve">identified as being </w:t>
      </w:r>
      <w:r w:rsidR="00563EA5" w:rsidRPr="009D463F">
        <w:rPr>
          <w:rFonts w:ascii="Arial" w:hAnsi="Arial" w:cs="Arial"/>
          <w:color w:val="auto"/>
          <w:sz w:val="22"/>
          <w:szCs w:val="22"/>
        </w:rPr>
        <w:t>in scope</w:t>
      </w:r>
      <w:r w:rsidR="00563EA5">
        <w:rPr>
          <w:rFonts w:ascii="Arial" w:hAnsi="Arial" w:cs="Arial"/>
          <w:color w:val="auto"/>
          <w:sz w:val="22"/>
          <w:szCs w:val="22"/>
        </w:rPr>
        <w:t xml:space="preserve"> of the policy under the </w:t>
      </w:r>
      <w:r w:rsidR="005A0170">
        <w:rPr>
          <w:rFonts w:ascii="Arial" w:hAnsi="Arial" w:cs="Arial"/>
          <w:color w:val="auto"/>
          <w:sz w:val="22"/>
          <w:szCs w:val="22"/>
        </w:rPr>
        <w:t xml:space="preserve">preferred </w:t>
      </w:r>
      <w:r w:rsidR="00563EA5">
        <w:rPr>
          <w:rFonts w:ascii="Arial" w:hAnsi="Arial" w:cs="Arial"/>
          <w:color w:val="auto"/>
          <w:sz w:val="22"/>
          <w:szCs w:val="22"/>
        </w:rPr>
        <w:t>option</w:t>
      </w:r>
      <w:r w:rsidR="00563EA5" w:rsidRPr="009D463F">
        <w:rPr>
          <w:rFonts w:ascii="Arial" w:hAnsi="Arial" w:cs="Arial"/>
          <w:color w:val="auto"/>
          <w:sz w:val="22"/>
          <w:szCs w:val="22"/>
        </w:rPr>
        <w:t xml:space="preserve">. </w:t>
      </w:r>
      <w:r w:rsidR="00563EA5" w:rsidRPr="004B5F0F">
        <w:rPr>
          <w:rFonts w:ascii="Arial" w:hAnsi="Arial" w:cs="Arial"/>
          <w:color w:val="auto"/>
          <w:sz w:val="22"/>
          <w:szCs w:val="22"/>
        </w:rPr>
        <w:t>We have not been able to calculate the size of subsidiaries</w:t>
      </w:r>
      <w:r w:rsidR="00563EA5">
        <w:rPr>
          <w:rFonts w:ascii="Arial" w:hAnsi="Arial" w:cs="Arial"/>
          <w:color w:val="auto"/>
          <w:sz w:val="22"/>
          <w:szCs w:val="22"/>
        </w:rPr>
        <w:t xml:space="preserve"> of the companies who will be affected by the options</w:t>
      </w:r>
      <w:r w:rsidR="00DB39EB">
        <w:rPr>
          <w:rFonts w:ascii="Arial" w:hAnsi="Arial" w:cs="Arial"/>
          <w:color w:val="auto"/>
          <w:sz w:val="22"/>
          <w:szCs w:val="22"/>
        </w:rPr>
        <w:t xml:space="preserve">. </w:t>
      </w:r>
      <w:r>
        <w:rPr>
          <w:rFonts w:ascii="Arial" w:hAnsi="Arial" w:cs="Arial"/>
          <w:color w:val="auto"/>
          <w:sz w:val="22"/>
          <w:szCs w:val="22"/>
        </w:rPr>
        <w:t xml:space="preserve">It is possible that some subsidiaries may count as small businesses. </w:t>
      </w:r>
      <w:r w:rsidR="00DB39EB">
        <w:rPr>
          <w:rFonts w:ascii="Arial" w:hAnsi="Arial" w:cs="Arial"/>
          <w:color w:val="auto"/>
          <w:sz w:val="22"/>
          <w:szCs w:val="22"/>
        </w:rPr>
        <w:t>These would</w:t>
      </w:r>
      <w:r w:rsidR="00563EA5" w:rsidRPr="004B5F0F">
        <w:rPr>
          <w:rFonts w:ascii="Arial" w:hAnsi="Arial" w:cs="Arial"/>
          <w:color w:val="auto"/>
          <w:sz w:val="22"/>
          <w:szCs w:val="22"/>
        </w:rPr>
        <w:t xml:space="preserve"> incur </w:t>
      </w:r>
      <w:r w:rsidR="00CB208D">
        <w:rPr>
          <w:rFonts w:ascii="Arial" w:hAnsi="Arial" w:cs="Arial"/>
          <w:color w:val="auto"/>
          <w:sz w:val="22"/>
          <w:szCs w:val="22"/>
        </w:rPr>
        <w:t xml:space="preserve">smaller </w:t>
      </w:r>
      <w:r w:rsidR="00563EA5" w:rsidRPr="0063153B">
        <w:rPr>
          <w:rFonts w:ascii="Arial" w:hAnsi="Arial" w:cs="Arial"/>
          <w:color w:val="auto"/>
          <w:sz w:val="22"/>
          <w:szCs w:val="22"/>
        </w:rPr>
        <w:t>costs</w:t>
      </w:r>
      <w:r w:rsidR="00DB39EB">
        <w:rPr>
          <w:rFonts w:ascii="Arial" w:hAnsi="Arial" w:cs="Arial"/>
          <w:color w:val="auto"/>
          <w:sz w:val="22"/>
          <w:szCs w:val="22"/>
        </w:rPr>
        <w:t xml:space="preserve"> </w:t>
      </w:r>
      <w:r w:rsidR="00CB208D">
        <w:rPr>
          <w:rFonts w:ascii="Arial" w:hAnsi="Arial" w:cs="Arial"/>
          <w:color w:val="auto"/>
          <w:sz w:val="22"/>
          <w:szCs w:val="22"/>
        </w:rPr>
        <w:t>of</w:t>
      </w:r>
      <w:r w:rsidR="00563EA5" w:rsidRPr="00BF773B">
        <w:rPr>
          <w:rFonts w:ascii="Arial" w:hAnsi="Arial" w:cs="Arial"/>
          <w:color w:val="auto"/>
          <w:sz w:val="22"/>
          <w:szCs w:val="22"/>
        </w:rPr>
        <w:t xml:space="preserve"> transferring information to their parent companies</w:t>
      </w:r>
      <w:r>
        <w:rPr>
          <w:rFonts w:ascii="Arial" w:hAnsi="Arial" w:cs="Arial"/>
          <w:color w:val="auto"/>
          <w:sz w:val="22"/>
          <w:szCs w:val="22"/>
        </w:rPr>
        <w:t>. The costs incurred by</w:t>
      </w:r>
      <w:r w:rsidR="00DB39EB">
        <w:rPr>
          <w:rFonts w:ascii="Arial" w:hAnsi="Arial" w:cs="Arial"/>
          <w:color w:val="auto"/>
          <w:sz w:val="22"/>
          <w:szCs w:val="22"/>
        </w:rPr>
        <w:t xml:space="preserve"> individual subsidiaries </w:t>
      </w:r>
      <w:r w:rsidR="00CB208D">
        <w:rPr>
          <w:rFonts w:ascii="Arial" w:hAnsi="Arial" w:cs="Arial"/>
          <w:color w:val="auto"/>
          <w:sz w:val="22"/>
          <w:szCs w:val="22"/>
        </w:rPr>
        <w:t xml:space="preserve">are also likely to </w:t>
      </w:r>
      <w:r w:rsidR="00DB39EB">
        <w:rPr>
          <w:rFonts w:ascii="Arial" w:hAnsi="Arial" w:cs="Arial"/>
          <w:color w:val="auto"/>
          <w:sz w:val="22"/>
          <w:szCs w:val="22"/>
        </w:rPr>
        <w:t>vary in proportion to their size</w:t>
      </w:r>
      <w:r w:rsidR="00CB208D">
        <w:rPr>
          <w:rFonts w:ascii="Arial" w:hAnsi="Arial" w:cs="Arial"/>
          <w:color w:val="auto"/>
          <w:sz w:val="22"/>
          <w:szCs w:val="22"/>
        </w:rPr>
        <w:t>, so smaller companies would incur smaller costs</w:t>
      </w:r>
      <w:r w:rsidR="00563EA5" w:rsidRPr="006A2772">
        <w:rPr>
          <w:rFonts w:ascii="Arial" w:hAnsi="Arial" w:cs="Arial"/>
          <w:color w:val="auto"/>
          <w:sz w:val="22"/>
          <w:szCs w:val="22"/>
        </w:rPr>
        <w:t xml:space="preserve">. </w:t>
      </w:r>
      <w:r>
        <w:rPr>
          <w:rFonts w:ascii="Arial" w:hAnsi="Arial" w:cs="Arial"/>
          <w:color w:val="auto"/>
          <w:sz w:val="22"/>
          <w:szCs w:val="22"/>
        </w:rPr>
        <w:t xml:space="preserve">Any </w:t>
      </w:r>
      <w:r w:rsidR="00563EA5">
        <w:rPr>
          <w:rFonts w:ascii="Arial" w:hAnsi="Arial" w:cs="Arial"/>
          <w:color w:val="auto"/>
          <w:sz w:val="22"/>
          <w:szCs w:val="22"/>
        </w:rPr>
        <w:t>potential costs to these businesses are considered acceptable, to gain the benefits of better non-financial disclosure by their parent companies.</w:t>
      </w:r>
    </w:p>
    <w:p w14:paraId="1F2E5E9E" w14:textId="77777777" w:rsidR="00BD1587" w:rsidRPr="006A2772" w:rsidRDefault="00BD1587" w:rsidP="00D64638">
      <w:pPr>
        <w:pStyle w:val="Default"/>
        <w:spacing w:line="276" w:lineRule="auto"/>
        <w:jc w:val="both"/>
        <w:rPr>
          <w:rFonts w:ascii="Arial" w:hAnsi="Arial" w:cs="Arial"/>
          <w:iCs/>
          <w:color w:val="auto"/>
          <w:sz w:val="22"/>
          <w:szCs w:val="22"/>
        </w:rPr>
      </w:pPr>
    </w:p>
    <w:p w14:paraId="50F08D51" w14:textId="77777777" w:rsidR="00BD1587" w:rsidRPr="00BE0BD9" w:rsidRDefault="00BD1587" w:rsidP="00D64638">
      <w:pPr>
        <w:pStyle w:val="Default"/>
        <w:spacing w:line="276" w:lineRule="auto"/>
        <w:jc w:val="both"/>
        <w:rPr>
          <w:rFonts w:ascii="Arial" w:hAnsi="Arial" w:cs="Arial"/>
          <w:b/>
          <w:i/>
          <w:iCs/>
          <w:color w:val="auto"/>
          <w:sz w:val="22"/>
          <w:szCs w:val="22"/>
          <w:u w:val="single"/>
        </w:rPr>
      </w:pPr>
      <w:r w:rsidRPr="00BE0BD9">
        <w:rPr>
          <w:rFonts w:ascii="Arial" w:hAnsi="Arial" w:cs="Arial"/>
          <w:b/>
          <w:i/>
          <w:iCs/>
          <w:color w:val="auto"/>
          <w:sz w:val="22"/>
          <w:szCs w:val="22"/>
          <w:u w:val="single"/>
        </w:rPr>
        <w:t xml:space="preserve">Environmental Impacts </w:t>
      </w:r>
    </w:p>
    <w:p w14:paraId="376A45ED" w14:textId="77777777" w:rsidR="00BD1587" w:rsidRPr="006753F0" w:rsidRDefault="00BD1587" w:rsidP="00D64638">
      <w:pPr>
        <w:pStyle w:val="Default"/>
        <w:spacing w:line="276" w:lineRule="auto"/>
        <w:jc w:val="both"/>
        <w:rPr>
          <w:rFonts w:ascii="Arial" w:hAnsi="Arial" w:cs="Arial"/>
          <w:b/>
          <w:color w:val="auto"/>
          <w:sz w:val="22"/>
          <w:szCs w:val="22"/>
        </w:rPr>
      </w:pPr>
    </w:p>
    <w:p w14:paraId="0309655A" w14:textId="77777777" w:rsidR="00BD1587" w:rsidRPr="00EB7A0C" w:rsidRDefault="008D2042" w:rsidP="00D64638">
      <w:pPr>
        <w:spacing w:line="276" w:lineRule="auto"/>
        <w:jc w:val="both"/>
        <w:rPr>
          <w:rFonts w:cs="Arial"/>
          <w:sz w:val="22"/>
          <w:szCs w:val="22"/>
        </w:rPr>
      </w:pPr>
      <w:r w:rsidRPr="006753F0">
        <w:rPr>
          <w:rFonts w:cs="Arial"/>
          <w:sz w:val="22"/>
          <w:szCs w:val="22"/>
        </w:rPr>
        <w:t xml:space="preserve">The changes are intended to encourage companies to take account of various non-financial matters including environmental matters in their business strategies and management of risks. </w:t>
      </w:r>
      <w:r w:rsidR="00563EA5" w:rsidRPr="006753F0">
        <w:rPr>
          <w:rFonts w:cs="Arial"/>
          <w:sz w:val="22"/>
          <w:szCs w:val="22"/>
        </w:rPr>
        <w:t>Th</w:t>
      </w:r>
      <w:r w:rsidR="00563EA5">
        <w:rPr>
          <w:rFonts w:cs="Arial"/>
          <w:sz w:val="22"/>
          <w:szCs w:val="22"/>
        </w:rPr>
        <w:t>erefore the policies could</w:t>
      </w:r>
      <w:r w:rsidRPr="006753F0">
        <w:rPr>
          <w:rFonts w:cs="Arial"/>
          <w:sz w:val="22"/>
          <w:szCs w:val="22"/>
        </w:rPr>
        <w:t xml:space="preserve"> have a positive impact of the environment</w:t>
      </w:r>
      <w:r w:rsidR="00BD1587" w:rsidRPr="006753F0">
        <w:rPr>
          <w:rFonts w:cs="Arial"/>
          <w:sz w:val="22"/>
          <w:szCs w:val="22"/>
        </w:rPr>
        <w:t xml:space="preserve">. Again, the benefits of this policy </w:t>
      </w:r>
      <w:r w:rsidRPr="006753F0">
        <w:rPr>
          <w:rFonts w:cs="Arial"/>
          <w:sz w:val="22"/>
          <w:szCs w:val="22"/>
        </w:rPr>
        <w:t xml:space="preserve">relies </w:t>
      </w:r>
      <w:r w:rsidR="006966CF">
        <w:rPr>
          <w:rFonts w:cs="Arial"/>
          <w:sz w:val="22"/>
          <w:szCs w:val="22"/>
        </w:rPr>
        <w:t>up</w:t>
      </w:r>
      <w:r w:rsidRPr="006753F0">
        <w:rPr>
          <w:rFonts w:cs="Arial"/>
          <w:sz w:val="22"/>
          <w:szCs w:val="22"/>
        </w:rPr>
        <w:t>on</w:t>
      </w:r>
      <w:r w:rsidR="00BD1587" w:rsidRPr="006753F0">
        <w:rPr>
          <w:rFonts w:cs="Arial"/>
          <w:sz w:val="22"/>
          <w:szCs w:val="22"/>
        </w:rPr>
        <w:t xml:space="preserve"> </w:t>
      </w:r>
      <w:r w:rsidR="00563EA5">
        <w:rPr>
          <w:rFonts w:cs="Arial"/>
          <w:sz w:val="22"/>
          <w:szCs w:val="22"/>
        </w:rPr>
        <w:t xml:space="preserve">non-financial disclosures being acted upon by internal stakeholders </w:t>
      </w:r>
      <w:r w:rsidR="00563EA5" w:rsidRPr="00EB7A0C">
        <w:rPr>
          <w:rFonts w:cs="Arial"/>
          <w:sz w:val="22"/>
          <w:szCs w:val="22"/>
        </w:rPr>
        <w:t xml:space="preserve">to </w:t>
      </w:r>
      <w:r w:rsidR="00563EA5">
        <w:rPr>
          <w:rFonts w:cs="Arial"/>
          <w:sz w:val="22"/>
          <w:szCs w:val="22"/>
        </w:rPr>
        <w:t xml:space="preserve">change company policy or used by external stakeholders to </w:t>
      </w:r>
      <w:r w:rsidR="00563EA5" w:rsidRPr="00EB7A0C">
        <w:rPr>
          <w:rFonts w:cs="Arial"/>
          <w:sz w:val="22"/>
          <w:szCs w:val="22"/>
        </w:rPr>
        <w:t>hold the company to account</w:t>
      </w:r>
      <w:r w:rsidR="00563EA5">
        <w:rPr>
          <w:rFonts w:cs="Arial"/>
          <w:sz w:val="22"/>
          <w:szCs w:val="22"/>
        </w:rPr>
        <w:t xml:space="preserve"> and prompt a change in its actions.</w:t>
      </w:r>
    </w:p>
    <w:p w14:paraId="1A81CF6A" w14:textId="77777777" w:rsidR="00BD1587" w:rsidRPr="00BA6CA2" w:rsidRDefault="00BD1587" w:rsidP="00D64638">
      <w:pPr>
        <w:pStyle w:val="Default"/>
        <w:spacing w:line="276" w:lineRule="auto"/>
        <w:jc w:val="both"/>
        <w:rPr>
          <w:rFonts w:ascii="Arial" w:hAnsi="Arial" w:cs="Arial"/>
          <w:color w:val="auto"/>
          <w:sz w:val="22"/>
          <w:szCs w:val="22"/>
        </w:rPr>
      </w:pPr>
    </w:p>
    <w:p w14:paraId="00FEE550" w14:textId="77777777" w:rsidR="00BD1587" w:rsidRPr="00BA6CA2" w:rsidRDefault="00BD1587" w:rsidP="00D64638">
      <w:pPr>
        <w:pStyle w:val="Default"/>
        <w:spacing w:line="276" w:lineRule="auto"/>
        <w:jc w:val="both"/>
        <w:rPr>
          <w:rFonts w:ascii="Arial" w:hAnsi="Arial" w:cs="Arial"/>
          <w:b/>
          <w:i/>
          <w:iCs/>
          <w:color w:val="auto"/>
          <w:sz w:val="22"/>
          <w:szCs w:val="22"/>
          <w:u w:val="single"/>
        </w:rPr>
      </w:pPr>
      <w:r w:rsidRPr="00BA6CA2">
        <w:rPr>
          <w:rFonts w:ascii="Arial" w:hAnsi="Arial" w:cs="Arial"/>
          <w:b/>
          <w:i/>
          <w:iCs/>
          <w:color w:val="auto"/>
          <w:sz w:val="22"/>
          <w:szCs w:val="22"/>
          <w:u w:val="single"/>
        </w:rPr>
        <w:lastRenderedPageBreak/>
        <w:t xml:space="preserve">Social Impacts </w:t>
      </w:r>
    </w:p>
    <w:p w14:paraId="4DAFE356" w14:textId="77777777" w:rsidR="00BD1587" w:rsidRPr="00BA6CA2" w:rsidRDefault="00BD1587" w:rsidP="00D64638">
      <w:pPr>
        <w:pStyle w:val="Default"/>
        <w:spacing w:line="276" w:lineRule="auto"/>
        <w:jc w:val="both"/>
        <w:rPr>
          <w:rFonts w:ascii="Arial" w:hAnsi="Arial" w:cs="Arial"/>
          <w:b/>
          <w:color w:val="auto"/>
          <w:sz w:val="22"/>
          <w:szCs w:val="22"/>
        </w:rPr>
      </w:pPr>
    </w:p>
    <w:p w14:paraId="6FB139B3" w14:textId="77777777" w:rsidR="00BD1587" w:rsidRPr="00BA6CA2" w:rsidRDefault="00BD1587" w:rsidP="00D64638">
      <w:pPr>
        <w:pStyle w:val="Default"/>
        <w:spacing w:line="276" w:lineRule="auto"/>
        <w:jc w:val="both"/>
        <w:rPr>
          <w:rFonts w:ascii="Arial" w:hAnsi="Arial" w:cs="Arial"/>
          <w:color w:val="auto"/>
          <w:sz w:val="22"/>
          <w:szCs w:val="22"/>
        </w:rPr>
      </w:pPr>
      <w:r w:rsidRPr="00BA6CA2">
        <w:rPr>
          <w:rFonts w:ascii="Arial" w:hAnsi="Arial" w:cs="Arial"/>
          <w:i/>
          <w:iCs/>
          <w:color w:val="auto"/>
          <w:sz w:val="22"/>
          <w:szCs w:val="22"/>
        </w:rPr>
        <w:t>Health and Well-Bein</w:t>
      </w:r>
      <w:r w:rsidR="00563EA5">
        <w:rPr>
          <w:rFonts w:ascii="Arial" w:hAnsi="Arial" w:cs="Arial"/>
          <w:color w:val="auto"/>
          <w:sz w:val="22"/>
          <w:szCs w:val="22"/>
        </w:rPr>
        <w:t>g</w:t>
      </w:r>
    </w:p>
    <w:p w14:paraId="7CFF7D10" w14:textId="77777777" w:rsidR="00BD1587" w:rsidRPr="00BA6CA2" w:rsidRDefault="00BD1587" w:rsidP="00D64638">
      <w:pPr>
        <w:pStyle w:val="Default"/>
        <w:spacing w:line="276" w:lineRule="auto"/>
        <w:ind w:left="720"/>
        <w:jc w:val="both"/>
        <w:rPr>
          <w:rFonts w:ascii="Arial" w:hAnsi="Arial" w:cs="Arial"/>
          <w:color w:val="auto"/>
          <w:sz w:val="22"/>
          <w:szCs w:val="22"/>
        </w:rPr>
      </w:pPr>
    </w:p>
    <w:p w14:paraId="706DC45F" w14:textId="77777777" w:rsidR="00BD1587" w:rsidRPr="000E7E9F" w:rsidRDefault="00563EA5" w:rsidP="00D64638">
      <w:pPr>
        <w:pStyle w:val="Default"/>
        <w:spacing w:line="276" w:lineRule="auto"/>
        <w:ind w:left="720"/>
        <w:jc w:val="both"/>
        <w:rPr>
          <w:rFonts w:ascii="Arial" w:hAnsi="Arial" w:cs="Arial"/>
          <w:b/>
          <w:color w:val="auto"/>
          <w:sz w:val="22"/>
          <w:szCs w:val="22"/>
        </w:rPr>
      </w:pPr>
      <w:r>
        <w:rPr>
          <w:rFonts w:ascii="Arial" w:hAnsi="Arial" w:cs="Arial"/>
          <w:color w:val="auto"/>
          <w:sz w:val="22"/>
          <w:szCs w:val="22"/>
        </w:rPr>
        <w:t>We do not expect there to be any significant health and well-being impacts as a result of the proposed options.</w:t>
      </w:r>
      <w:r w:rsidR="00ED17AA">
        <w:rPr>
          <w:rFonts w:ascii="Arial" w:hAnsi="Arial" w:cs="Arial"/>
          <w:color w:val="auto"/>
          <w:sz w:val="22"/>
          <w:szCs w:val="22"/>
        </w:rPr>
        <w:t xml:space="preserve">  Although there could be an indirect impact as a workplace with an effective diversity policy is more likely to be beneficial to the well-being of its employees. </w:t>
      </w:r>
    </w:p>
    <w:p w14:paraId="3E137091" w14:textId="77777777" w:rsidR="00D64638" w:rsidRDefault="00D64638" w:rsidP="00D64638">
      <w:pPr>
        <w:spacing w:line="276" w:lineRule="auto"/>
        <w:jc w:val="both"/>
        <w:rPr>
          <w:rFonts w:cs="Arial"/>
          <w:i/>
          <w:iCs/>
          <w:sz w:val="22"/>
          <w:szCs w:val="22"/>
        </w:rPr>
      </w:pPr>
    </w:p>
    <w:p w14:paraId="0AD22E7D" w14:textId="77777777" w:rsidR="00BD1587" w:rsidRPr="003415CC" w:rsidRDefault="00BD1587" w:rsidP="00D64638">
      <w:pPr>
        <w:spacing w:line="276" w:lineRule="auto"/>
        <w:jc w:val="both"/>
        <w:rPr>
          <w:rFonts w:cs="Arial"/>
          <w:i/>
          <w:iCs/>
          <w:sz w:val="22"/>
          <w:szCs w:val="22"/>
        </w:rPr>
      </w:pPr>
      <w:r w:rsidRPr="003415CC">
        <w:rPr>
          <w:rFonts w:cs="Arial"/>
          <w:i/>
          <w:iCs/>
          <w:sz w:val="22"/>
          <w:szCs w:val="22"/>
        </w:rPr>
        <w:t>Human Rights</w:t>
      </w:r>
    </w:p>
    <w:p w14:paraId="3C4E33A6" w14:textId="77777777" w:rsidR="00BD1587" w:rsidRPr="003415CC" w:rsidRDefault="00BD1587" w:rsidP="00D64638">
      <w:pPr>
        <w:spacing w:line="276" w:lineRule="auto"/>
        <w:ind w:firstLine="720"/>
        <w:jc w:val="both"/>
        <w:rPr>
          <w:rFonts w:cs="Arial"/>
          <w:i/>
          <w:iCs/>
          <w:sz w:val="22"/>
          <w:szCs w:val="22"/>
        </w:rPr>
      </w:pPr>
    </w:p>
    <w:p w14:paraId="1F2030A9" w14:textId="77777777" w:rsidR="00BD1587" w:rsidRPr="003415CC" w:rsidRDefault="00BD1587" w:rsidP="00D64638">
      <w:pPr>
        <w:spacing w:line="276" w:lineRule="auto"/>
        <w:jc w:val="both"/>
        <w:rPr>
          <w:rFonts w:cs="Arial"/>
          <w:sz w:val="22"/>
          <w:szCs w:val="22"/>
        </w:rPr>
      </w:pPr>
      <w:r w:rsidRPr="003415CC">
        <w:rPr>
          <w:rFonts w:cs="Arial"/>
          <w:sz w:val="22"/>
          <w:szCs w:val="22"/>
        </w:rPr>
        <w:t>The proposals will have a</w:t>
      </w:r>
      <w:r w:rsidR="00563EA5">
        <w:rPr>
          <w:rFonts w:cs="Arial"/>
          <w:sz w:val="22"/>
          <w:szCs w:val="22"/>
        </w:rPr>
        <w:t>n indirect</w:t>
      </w:r>
      <w:r w:rsidRPr="003415CC">
        <w:rPr>
          <w:rFonts w:cs="Arial"/>
          <w:sz w:val="22"/>
          <w:szCs w:val="22"/>
        </w:rPr>
        <w:t xml:space="preserve"> impact on human rights. As part of the reporting requirements companies will disclose their human rights policy, and the results of this policy, including an assessment of the risks and impacts of their business operations. Included in this assessment will be impacts emanating from the company’s products or services and business relationships, i.e. the company’s supply and subcontracting chains. Again the impact of this disclosure will only be truly realised should shareholders, investors and wider society to use this information and act upon it to hold the company to account for any impacts that it may have on human rights.</w:t>
      </w:r>
    </w:p>
    <w:p w14:paraId="30F79691" w14:textId="77777777" w:rsidR="00BD1587" w:rsidRPr="003415CC" w:rsidRDefault="00BD1587" w:rsidP="00D64638">
      <w:pPr>
        <w:spacing w:line="276" w:lineRule="auto"/>
        <w:ind w:left="720"/>
        <w:jc w:val="both"/>
        <w:rPr>
          <w:rFonts w:cs="Arial"/>
          <w:sz w:val="22"/>
          <w:szCs w:val="22"/>
        </w:rPr>
      </w:pPr>
    </w:p>
    <w:p w14:paraId="255803FB" w14:textId="77777777" w:rsidR="00BD1587" w:rsidRPr="00D64638" w:rsidRDefault="00BD1587" w:rsidP="00D64638">
      <w:pPr>
        <w:pStyle w:val="Default"/>
        <w:spacing w:line="276" w:lineRule="auto"/>
        <w:jc w:val="both"/>
        <w:rPr>
          <w:rFonts w:ascii="Arial" w:hAnsi="Arial" w:cs="Arial"/>
          <w:i/>
          <w:color w:val="auto"/>
          <w:sz w:val="22"/>
          <w:szCs w:val="22"/>
        </w:rPr>
      </w:pPr>
      <w:r w:rsidRPr="00D64638">
        <w:rPr>
          <w:rFonts w:ascii="Arial" w:hAnsi="Arial" w:cs="Arial"/>
          <w:i/>
          <w:color w:val="auto"/>
          <w:sz w:val="22"/>
          <w:szCs w:val="22"/>
        </w:rPr>
        <w:t>Justice System</w:t>
      </w:r>
    </w:p>
    <w:p w14:paraId="3C9D7CB7" w14:textId="77777777" w:rsidR="00BD1587" w:rsidRPr="003415CC" w:rsidRDefault="00BD1587" w:rsidP="00D64638">
      <w:pPr>
        <w:pStyle w:val="Default"/>
        <w:spacing w:line="276" w:lineRule="auto"/>
        <w:ind w:left="720"/>
        <w:jc w:val="both"/>
        <w:rPr>
          <w:rFonts w:ascii="Arial" w:hAnsi="Arial" w:cs="Arial"/>
          <w:i/>
          <w:color w:val="auto"/>
          <w:sz w:val="22"/>
          <w:szCs w:val="22"/>
        </w:rPr>
      </w:pPr>
    </w:p>
    <w:p w14:paraId="00C64BBB" w14:textId="77777777" w:rsidR="00563EA5" w:rsidRPr="003415CC" w:rsidRDefault="00563EA5" w:rsidP="00563EA5">
      <w:pPr>
        <w:pStyle w:val="Default"/>
        <w:spacing w:line="276" w:lineRule="auto"/>
        <w:jc w:val="both"/>
        <w:rPr>
          <w:rFonts w:ascii="Arial" w:hAnsi="Arial" w:cs="Arial"/>
          <w:i/>
          <w:color w:val="auto"/>
          <w:sz w:val="22"/>
          <w:szCs w:val="22"/>
        </w:rPr>
      </w:pPr>
      <w:r>
        <w:rPr>
          <w:rFonts w:ascii="Arial" w:hAnsi="Arial" w:cs="Arial"/>
          <w:color w:val="auto"/>
          <w:sz w:val="22"/>
          <w:szCs w:val="22"/>
        </w:rPr>
        <w:t>We do not expect there to be any justice system impacts as a result of the proposed options.</w:t>
      </w:r>
    </w:p>
    <w:p w14:paraId="5253F0D7" w14:textId="77777777" w:rsidR="00BD1587" w:rsidRPr="003415CC" w:rsidRDefault="00BD1587" w:rsidP="00D64638">
      <w:pPr>
        <w:pStyle w:val="Default"/>
        <w:spacing w:line="276" w:lineRule="auto"/>
        <w:ind w:left="720"/>
        <w:jc w:val="both"/>
        <w:rPr>
          <w:rFonts w:ascii="Arial" w:hAnsi="Arial" w:cs="Arial"/>
          <w:b/>
          <w:color w:val="auto"/>
          <w:sz w:val="22"/>
          <w:szCs w:val="22"/>
        </w:rPr>
      </w:pPr>
    </w:p>
    <w:p w14:paraId="794B52E0" w14:textId="77777777" w:rsidR="00BD1587" w:rsidRPr="00D64638" w:rsidRDefault="00BD1587" w:rsidP="00D64638">
      <w:pPr>
        <w:spacing w:line="276" w:lineRule="auto"/>
        <w:jc w:val="both"/>
        <w:rPr>
          <w:rFonts w:cs="Arial"/>
          <w:sz w:val="22"/>
          <w:szCs w:val="22"/>
        </w:rPr>
      </w:pPr>
      <w:r w:rsidRPr="00D64638">
        <w:rPr>
          <w:rFonts w:cs="Arial"/>
          <w:i/>
          <w:iCs/>
          <w:sz w:val="22"/>
          <w:szCs w:val="22"/>
        </w:rPr>
        <w:t>Rural proofing</w:t>
      </w:r>
    </w:p>
    <w:p w14:paraId="59B760D2" w14:textId="77777777" w:rsidR="00BD1587" w:rsidRPr="003415CC" w:rsidRDefault="00BD1587" w:rsidP="00D64638">
      <w:pPr>
        <w:spacing w:line="276" w:lineRule="auto"/>
        <w:ind w:firstLine="720"/>
        <w:jc w:val="both"/>
        <w:rPr>
          <w:rFonts w:cs="Arial"/>
          <w:b/>
          <w:sz w:val="22"/>
          <w:szCs w:val="22"/>
        </w:rPr>
      </w:pPr>
    </w:p>
    <w:p w14:paraId="6B0A4575" w14:textId="77777777" w:rsidR="00563EA5" w:rsidRPr="003415CC" w:rsidRDefault="00563EA5" w:rsidP="00563EA5">
      <w:pPr>
        <w:pStyle w:val="Default"/>
        <w:spacing w:line="276" w:lineRule="auto"/>
        <w:jc w:val="both"/>
        <w:rPr>
          <w:rFonts w:ascii="Arial" w:hAnsi="Arial" w:cs="Arial"/>
          <w:i/>
          <w:color w:val="auto"/>
          <w:sz w:val="22"/>
          <w:szCs w:val="22"/>
        </w:rPr>
      </w:pPr>
      <w:r>
        <w:rPr>
          <w:rFonts w:ascii="Arial" w:hAnsi="Arial" w:cs="Arial"/>
          <w:color w:val="auto"/>
          <w:sz w:val="22"/>
          <w:szCs w:val="22"/>
        </w:rPr>
        <w:t>We do not expect there to be any negative impact on rural communities as a result of the proposed options.</w:t>
      </w:r>
    </w:p>
    <w:p w14:paraId="04178C4C" w14:textId="77777777" w:rsidR="00BD1587" w:rsidRPr="003415CC" w:rsidRDefault="00BD1587" w:rsidP="00D64638">
      <w:pPr>
        <w:pStyle w:val="Default"/>
        <w:spacing w:line="276" w:lineRule="auto"/>
        <w:ind w:left="720"/>
        <w:jc w:val="both"/>
        <w:rPr>
          <w:rFonts w:ascii="Arial" w:hAnsi="Arial" w:cs="Arial"/>
          <w:b/>
          <w:color w:val="auto"/>
          <w:sz w:val="22"/>
          <w:szCs w:val="22"/>
        </w:rPr>
      </w:pPr>
    </w:p>
    <w:p w14:paraId="166DFD94" w14:textId="77777777" w:rsidR="00BD1587" w:rsidRPr="00D64638" w:rsidRDefault="00BD1587" w:rsidP="00D64638">
      <w:pPr>
        <w:pStyle w:val="Default"/>
        <w:spacing w:line="276" w:lineRule="auto"/>
        <w:jc w:val="both"/>
        <w:rPr>
          <w:rFonts w:ascii="Arial" w:hAnsi="Arial" w:cs="Arial"/>
          <w:i/>
          <w:iCs/>
          <w:color w:val="auto"/>
          <w:sz w:val="22"/>
          <w:szCs w:val="22"/>
        </w:rPr>
      </w:pPr>
      <w:r w:rsidRPr="00D64638">
        <w:rPr>
          <w:rFonts w:ascii="Arial" w:hAnsi="Arial" w:cs="Arial"/>
          <w:i/>
          <w:iCs/>
          <w:color w:val="auto"/>
          <w:sz w:val="22"/>
          <w:szCs w:val="22"/>
        </w:rPr>
        <w:t xml:space="preserve">Sustainable Development </w:t>
      </w:r>
    </w:p>
    <w:p w14:paraId="14A5D290" w14:textId="77777777" w:rsidR="00BD1587" w:rsidRPr="003415CC" w:rsidRDefault="00BD1587" w:rsidP="00D64638">
      <w:pPr>
        <w:pStyle w:val="Default"/>
        <w:spacing w:line="276" w:lineRule="auto"/>
        <w:ind w:left="720"/>
        <w:jc w:val="both"/>
        <w:rPr>
          <w:rFonts w:ascii="Arial" w:hAnsi="Arial" w:cs="Arial"/>
          <w:i/>
          <w:iCs/>
          <w:color w:val="auto"/>
          <w:sz w:val="22"/>
          <w:szCs w:val="22"/>
        </w:rPr>
      </w:pPr>
    </w:p>
    <w:p w14:paraId="388B8FD7" w14:textId="77777777" w:rsidR="00BD1587" w:rsidRPr="003415CC" w:rsidRDefault="00BD1587" w:rsidP="00D64638">
      <w:pPr>
        <w:pStyle w:val="Default"/>
        <w:spacing w:line="276" w:lineRule="auto"/>
        <w:jc w:val="both"/>
        <w:rPr>
          <w:rFonts w:ascii="Arial" w:hAnsi="Arial" w:cs="Arial"/>
          <w:color w:val="auto"/>
          <w:sz w:val="22"/>
          <w:szCs w:val="22"/>
        </w:rPr>
      </w:pPr>
      <w:r w:rsidRPr="003415CC">
        <w:rPr>
          <w:rFonts w:ascii="Arial" w:hAnsi="Arial" w:cs="Arial"/>
          <w:color w:val="auto"/>
          <w:sz w:val="22"/>
          <w:szCs w:val="22"/>
        </w:rPr>
        <w:t>PIEs will be required to disclose their environmental policy, including an assessment of its risks and impacts. Thus any impact on sustainability is expected to be positive as a result of the increased transparency.</w:t>
      </w:r>
    </w:p>
    <w:p w14:paraId="5D1A076A" w14:textId="77777777" w:rsidR="00BD1587" w:rsidRPr="003415CC" w:rsidRDefault="00BD1587" w:rsidP="00D64638">
      <w:pPr>
        <w:pStyle w:val="Default"/>
        <w:spacing w:line="276" w:lineRule="auto"/>
        <w:ind w:left="720"/>
        <w:jc w:val="both"/>
        <w:rPr>
          <w:rFonts w:ascii="Arial" w:hAnsi="Arial" w:cs="Arial"/>
          <w:color w:val="auto"/>
          <w:sz w:val="22"/>
          <w:szCs w:val="22"/>
        </w:rPr>
      </w:pPr>
    </w:p>
    <w:p w14:paraId="4A9B6551" w14:textId="77777777" w:rsidR="00BD1587" w:rsidRPr="00D64638" w:rsidRDefault="00BD1587" w:rsidP="00D64638">
      <w:pPr>
        <w:pStyle w:val="Default"/>
        <w:spacing w:line="276" w:lineRule="auto"/>
        <w:jc w:val="both"/>
        <w:rPr>
          <w:rFonts w:ascii="Arial" w:hAnsi="Arial" w:cs="Arial"/>
          <w:i/>
          <w:color w:val="auto"/>
          <w:sz w:val="22"/>
          <w:szCs w:val="22"/>
        </w:rPr>
      </w:pPr>
      <w:r w:rsidRPr="00D64638">
        <w:rPr>
          <w:rFonts w:ascii="Arial" w:hAnsi="Arial" w:cs="Arial"/>
          <w:i/>
          <w:color w:val="auto"/>
          <w:sz w:val="22"/>
          <w:szCs w:val="22"/>
        </w:rPr>
        <w:t xml:space="preserve">Family </w:t>
      </w:r>
      <w:r w:rsidR="00563EA5" w:rsidRPr="00D64638">
        <w:rPr>
          <w:rFonts w:ascii="Arial" w:hAnsi="Arial" w:cs="Arial"/>
          <w:i/>
          <w:color w:val="auto"/>
          <w:sz w:val="22"/>
          <w:szCs w:val="22"/>
        </w:rPr>
        <w:t>T</w:t>
      </w:r>
      <w:r w:rsidRPr="00D64638">
        <w:rPr>
          <w:rFonts w:ascii="Arial" w:hAnsi="Arial" w:cs="Arial"/>
          <w:i/>
          <w:color w:val="auto"/>
          <w:sz w:val="22"/>
          <w:szCs w:val="22"/>
        </w:rPr>
        <w:t>est</w:t>
      </w:r>
    </w:p>
    <w:p w14:paraId="468ABF46" w14:textId="77777777" w:rsidR="00BD1587" w:rsidRPr="003415CC" w:rsidRDefault="00BD1587" w:rsidP="00D64638">
      <w:pPr>
        <w:pStyle w:val="Default"/>
        <w:spacing w:line="276" w:lineRule="auto"/>
        <w:ind w:left="720"/>
        <w:jc w:val="both"/>
        <w:rPr>
          <w:rFonts w:ascii="Arial" w:hAnsi="Arial" w:cs="Arial"/>
          <w:i/>
          <w:color w:val="auto"/>
          <w:sz w:val="22"/>
          <w:szCs w:val="22"/>
        </w:rPr>
      </w:pPr>
    </w:p>
    <w:p w14:paraId="53D8BB04" w14:textId="77777777" w:rsidR="00563EA5" w:rsidRPr="001F065E" w:rsidRDefault="00563EA5" w:rsidP="00563EA5">
      <w:pPr>
        <w:pStyle w:val="Default"/>
        <w:spacing w:line="276" w:lineRule="auto"/>
        <w:jc w:val="both"/>
        <w:rPr>
          <w:rFonts w:cs="Arial"/>
          <w:sz w:val="22"/>
          <w:szCs w:val="22"/>
        </w:rPr>
      </w:pPr>
      <w:r w:rsidRPr="001F065E">
        <w:rPr>
          <w:rFonts w:ascii="Arial" w:hAnsi="Arial" w:cs="Arial"/>
          <w:sz w:val="22"/>
          <w:szCs w:val="22"/>
          <w:lang w:eastAsia="en-GB"/>
        </w:rPr>
        <w:t>The DWP Family Test</w:t>
      </w:r>
      <w:r w:rsidRPr="001F065E">
        <w:rPr>
          <w:rStyle w:val="FootnoteReference"/>
          <w:rFonts w:ascii="Arial" w:hAnsi="Arial" w:cs="Arial"/>
          <w:szCs w:val="22"/>
          <w:lang w:eastAsia="en-GB"/>
        </w:rPr>
        <w:footnoteReference w:id="40"/>
      </w:r>
      <w:r w:rsidRPr="001F065E">
        <w:rPr>
          <w:rFonts w:ascii="Arial" w:hAnsi="Arial" w:cs="Arial"/>
          <w:sz w:val="22"/>
          <w:szCs w:val="22"/>
          <w:lang w:eastAsia="en-GB"/>
        </w:rPr>
        <w:t xml:space="preserve"> sets out the following questions from officials to consider during policy-development.</w:t>
      </w:r>
    </w:p>
    <w:p w14:paraId="3C8B7972" w14:textId="77777777" w:rsidR="00563EA5" w:rsidRPr="001F065E" w:rsidRDefault="00563EA5" w:rsidP="00563EA5">
      <w:pPr>
        <w:autoSpaceDE w:val="0"/>
        <w:autoSpaceDN w:val="0"/>
        <w:adjustRightInd w:val="0"/>
        <w:jc w:val="both"/>
        <w:rPr>
          <w:rFonts w:cs="Arial"/>
          <w:sz w:val="22"/>
          <w:szCs w:val="22"/>
          <w:lang w:eastAsia="en-GB"/>
        </w:rPr>
      </w:pPr>
    </w:p>
    <w:p w14:paraId="4DBEE0F5" w14:textId="77777777" w:rsidR="00563EA5" w:rsidRPr="001F065E" w:rsidRDefault="00563EA5" w:rsidP="00563EA5">
      <w:pPr>
        <w:numPr>
          <w:ilvl w:val="0"/>
          <w:numId w:val="53"/>
        </w:numPr>
        <w:autoSpaceDE w:val="0"/>
        <w:autoSpaceDN w:val="0"/>
        <w:adjustRightInd w:val="0"/>
        <w:jc w:val="both"/>
        <w:rPr>
          <w:rFonts w:cs="Arial"/>
          <w:sz w:val="22"/>
          <w:szCs w:val="22"/>
          <w:lang w:eastAsia="en-GB"/>
        </w:rPr>
      </w:pPr>
      <w:r w:rsidRPr="001F065E">
        <w:rPr>
          <w:rFonts w:cs="Arial"/>
          <w:sz w:val="22"/>
          <w:szCs w:val="22"/>
          <w:lang w:eastAsia="en-GB"/>
        </w:rPr>
        <w:t>What kinds of impact might the policy have on family formation?</w:t>
      </w:r>
    </w:p>
    <w:p w14:paraId="2EC8E8FA" w14:textId="77777777" w:rsidR="00563EA5" w:rsidRPr="001F065E" w:rsidRDefault="00563EA5" w:rsidP="00563EA5">
      <w:pPr>
        <w:pStyle w:val="NoSpacing"/>
        <w:numPr>
          <w:ilvl w:val="0"/>
          <w:numId w:val="53"/>
        </w:numPr>
        <w:jc w:val="both"/>
        <w:rPr>
          <w:rFonts w:cs="Arial"/>
          <w:sz w:val="22"/>
          <w:szCs w:val="22"/>
          <w:lang w:eastAsia="en-GB"/>
        </w:rPr>
      </w:pPr>
      <w:r w:rsidRPr="001F065E">
        <w:rPr>
          <w:rFonts w:cs="Arial"/>
          <w:sz w:val="22"/>
          <w:szCs w:val="22"/>
          <w:lang w:eastAsia="en-GB"/>
        </w:rPr>
        <w:t>What kind of impact will the policy have on families going through key transitions such as becoming parents, getting married, fostering or adopting, bereavement, redundancy, new caring responsibilities or the onset of a long-term health condition?</w:t>
      </w:r>
    </w:p>
    <w:p w14:paraId="6C9E8DB8" w14:textId="77777777" w:rsidR="00563EA5" w:rsidRPr="001F065E" w:rsidRDefault="00563EA5" w:rsidP="00563EA5">
      <w:pPr>
        <w:pStyle w:val="NoSpacing"/>
        <w:numPr>
          <w:ilvl w:val="0"/>
          <w:numId w:val="53"/>
        </w:numPr>
        <w:jc w:val="both"/>
        <w:rPr>
          <w:rFonts w:cs="Arial"/>
          <w:sz w:val="22"/>
          <w:szCs w:val="22"/>
          <w:lang w:eastAsia="en-GB"/>
        </w:rPr>
      </w:pPr>
      <w:r w:rsidRPr="001F065E">
        <w:rPr>
          <w:rFonts w:cs="Arial"/>
          <w:sz w:val="22"/>
          <w:szCs w:val="22"/>
          <w:lang w:eastAsia="en-GB"/>
        </w:rPr>
        <w:t>What impacts will the policy have on all family members’ ability to play a full role in family life, including with respect to parenting and other caring responsibilities?</w:t>
      </w:r>
    </w:p>
    <w:p w14:paraId="19AFAFF3" w14:textId="77777777" w:rsidR="00563EA5" w:rsidRPr="001F065E" w:rsidRDefault="00563EA5" w:rsidP="00563EA5">
      <w:pPr>
        <w:pStyle w:val="NoSpacing"/>
        <w:numPr>
          <w:ilvl w:val="0"/>
          <w:numId w:val="53"/>
        </w:numPr>
        <w:jc w:val="both"/>
        <w:rPr>
          <w:rFonts w:cs="Arial"/>
          <w:sz w:val="22"/>
          <w:szCs w:val="22"/>
          <w:lang w:eastAsia="en-GB"/>
        </w:rPr>
      </w:pPr>
      <w:r w:rsidRPr="001F065E">
        <w:rPr>
          <w:rFonts w:cs="Arial"/>
          <w:sz w:val="22"/>
          <w:szCs w:val="22"/>
          <w:lang w:eastAsia="en-GB"/>
        </w:rPr>
        <w:t>How does the policy impact families before, during and after couple separation?</w:t>
      </w:r>
    </w:p>
    <w:p w14:paraId="03FDCA88" w14:textId="77777777" w:rsidR="00563EA5" w:rsidRPr="001F065E" w:rsidRDefault="00563EA5" w:rsidP="00563EA5">
      <w:pPr>
        <w:pStyle w:val="NoSpacing"/>
        <w:numPr>
          <w:ilvl w:val="0"/>
          <w:numId w:val="53"/>
        </w:numPr>
        <w:autoSpaceDE w:val="0"/>
        <w:autoSpaceDN w:val="0"/>
        <w:adjustRightInd w:val="0"/>
        <w:jc w:val="both"/>
        <w:rPr>
          <w:rFonts w:cs="Arial"/>
          <w:sz w:val="22"/>
          <w:szCs w:val="22"/>
          <w:lang w:eastAsia="en-GB"/>
        </w:rPr>
      </w:pPr>
      <w:r w:rsidRPr="001F065E">
        <w:rPr>
          <w:rFonts w:cs="Arial"/>
          <w:sz w:val="22"/>
          <w:szCs w:val="22"/>
          <w:lang w:eastAsia="en-GB"/>
        </w:rPr>
        <w:t>How does the policy impact those families most at risk of deterioration of relationship quality and breakdown?</w:t>
      </w:r>
    </w:p>
    <w:p w14:paraId="3A4F814C" w14:textId="77777777" w:rsidR="00563EA5" w:rsidRDefault="00563EA5" w:rsidP="00D64638">
      <w:pPr>
        <w:pStyle w:val="Default"/>
        <w:spacing w:line="276" w:lineRule="auto"/>
        <w:jc w:val="both"/>
        <w:rPr>
          <w:rFonts w:ascii="Arial" w:hAnsi="Arial" w:cs="Arial"/>
          <w:color w:val="auto"/>
          <w:sz w:val="22"/>
          <w:szCs w:val="22"/>
        </w:rPr>
      </w:pPr>
    </w:p>
    <w:p w14:paraId="17201BCD" w14:textId="77777777" w:rsidR="00BD1587" w:rsidRPr="003415CC" w:rsidRDefault="00BD1587" w:rsidP="00D64638">
      <w:pPr>
        <w:pStyle w:val="Default"/>
        <w:spacing w:line="276" w:lineRule="auto"/>
        <w:jc w:val="both"/>
        <w:rPr>
          <w:rFonts w:ascii="Arial" w:hAnsi="Arial" w:cs="Arial"/>
          <w:color w:val="auto"/>
          <w:sz w:val="22"/>
          <w:szCs w:val="22"/>
        </w:rPr>
      </w:pPr>
      <w:r w:rsidRPr="003415CC">
        <w:rPr>
          <w:rFonts w:ascii="Arial" w:hAnsi="Arial" w:cs="Arial"/>
          <w:color w:val="auto"/>
          <w:sz w:val="22"/>
          <w:szCs w:val="22"/>
        </w:rPr>
        <w:t xml:space="preserve">The policies outlined in this </w:t>
      </w:r>
      <w:r w:rsidR="00DB55AC">
        <w:rPr>
          <w:rFonts w:ascii="Arial" w:hAnsi="Arial" w:cs="Arial"/>
          <w:color w:val="auto"/>
          <w:sz w:val="22"/>
          <w:szCs w:val="22"/>
        </w:rPr>
        <w:t>IA</w:t>
      </w:r>
      <w:r w:rsidRPr="003415CC">
        <w:rPr>
          <w:rFonts w:ascii="Arial" w:hAnsi="Arial" w:cs="Arial"/>
          <w:color w:val="auto"/>
          <w:sz w:val="22"/>
          <w:szCs w:val="22"/>
        </w:rPr>
        <w:t xml:space="preserve"> do not give rise to any obvious concerns relating to any of the above questions, and we do not expect the new requirements to have any direct or indirect impact on families.</w:t>
      </w:r>
    </w:p>
    <w:p w14:paraId="45D73D1F" w14:textId="77777777" w:rsidR="00FA5568" w:rsidRPr="00D64638" w:rsidRDefault="00FA5568" w:rsidP="00D64638">
      <w:pPr>
        <w:spacing w:line="276" w:lineRule="auto"/>
        <w:rPr>
          <w:rFonts w:cs="Arial"/>
          <w:bCs/>
          <w:color w:val="000000"/>
          <w:sz w:val="22"/>
          <w:szCs w:val="22"/>
          <w:lang w:eastAsia="en-GB"/>
        </w:rPr>
      </w:pPr>
    </w:p>
    <w:p w14:paraId="6D50AA32" w14:textId="77777777" w:rsidR="00DC6305" w:rsidRDefault="00DC6305">
      <w:pPr>
        <w:rPr>
          <w:rFonts w:cs="Arial"/>
          <w:b/>
          <w:sz w:val="32"/>
          <w:szCs w:val="32"/>
        </w:rPr>
      </w:pPr>
      <w:r>
        <w:rPr>
          <w:rFonts w:cs="Arial"/>
          <w:b/>
          <w:sz w:val="32"/>
          <w:szCs w:val="32"/>
        </w:rPr>
        <w:br w:type="page"/>
      </w:r>
    </w:p>
    <w:p w14:paraId="4A9E3B7F" w14:textId="77777777" w:rsidR="003B20FC" w:rsidRPr="00D64638" w:rsidRDefault="00686F5E" w:rsidP="00D64638">
      <w:pPr>
        <w:spacing w:line="276" w:lineRule="auto"/>
        <w:rPr>
          <w:rFonts w:cs="Arial"/>
          <w:b/>
          <w:bCs/>
          <w:color w:val="000000"/>
          <w:sz w:val="22"/>
          <w:szCs w:val="22"/>
          <w:lang w:eastAsia="en-GB"/>
        </w:rPr>
      </w:pPr>
      <w:r w:rsidRPr="00D64638">
        <w:rPr>
          <w:rFonts w:cs="Arial"/>
          <w:b/>
          <w:sz w:val="32"/>
          <w:szCs w:val="32"/>
        </w:rPr>
        <w:lastRenderedPageBreak/>
        <w:t>Summary and preferred option with description of implementation plan</w:t>
      </w:r>
      <w:bookmarkEnd w:id="35"/>
    </w:p>
    <w:p w14:paraId="335D503A" w14:textId="77777777" w:rsidR="007A7049" w:rsidRDefault="007A7049" w:rsidP="007A7049">
      <w:pPr>
        <w:rPr>
          <w:color w:val="1F497D"/>
          <w:sz w:val="22"/>
          <w:szCs w:val="22"/>
        </w:rPr>
      </w:pPr>
    </w:p>
    <w:p w14:paraId="1DDB99CA" w14:textId="77777777" w:rsidR="007A7049" w:rsidRPr="006D5924" w:rsidRDefault="007A7049" w:rsidP="00AD63C5">
      <w:pPr>
        <w:spacing w:line="276" w:lineRule="auto"/>
        <w:jc w:val="both"/>
        <w:rPr>
          <w:sz w:val="22"/>
          <w:szCs w:val="22"/>
        </w:rPr>
      </w:pPr>
      <w:r w:rsidRPr="006D5924">
        <w:rPr>
          <w:sz w:val="22"/>
          <w:szCs w:val="22"/>
        </w:rPr>
        <w:t xml:space="preserve">The preferred option (Option 2) </w:t>
      </w:r>
      <w:r w:rsidR="00162A00">
        <w:rPr>
          <w:sz w:val="22"/>
          <w:szCs w:val="22"/>
        </w:rPr>
        <w:t xml:space="preserve">implements the </w:t>
      </w:r>
      <w:r w:rsidRPr="006D5924">
        <w:rPr>
          <w:sz w:val="22"/>
          <w:szCs w:val="22"/>
        </w:rPr>
        <w:t>EU</w:t>
      </w:r>
      <w:r w:rsidR="007875DF">
        <w:rPr>
          <w:sz w:val="22"/>
          <w:szCs w:val="22"/>
        </w:rPr>
        <w:t xml:space="preserve"> NFRD</w:t>
      </w:r>
      <w:r w:rsidR="00162A00">
        <w:rPr>
          <w:sz w:val="22"/>
          <w:szCs w:val="22"/>
        </w:rPr>
        <w:t xml:space="preserve">’s minimum </w:t>
      </w:r>
      <w:r w:rsidRPr="006D5924">
        <w:rPr>
          <w:sz w:val="22"/>
          <w:szCs w:val="22"/>
        </w:rPr>
        <w:t>requirements</w:t>
      </w:r>
      <w:r w:rsidR="00976837">
        <w:rPr>
          <w:sz w:val="22"/>
          <w:szCs w:val="22"/>
        </w:rPr>
        <w:t xml:space="preserve"> – and therefore ha</w:t>
      </w:r>
      <w:r w:rsidR="00AD63C5">
        <w:rPr>
          <w:sz w:val="22"/>
          <w:szCs w:val="22"/>
        </w:rPr>
        <w:t>s</w:t>
      </w:r>
      <w:r w:rsidR="00976837">
        <w:rPr>
          <w:sz w:val="22"/>
          <w:szCs w:val="22"/>
        </w:rPr>
        <w:t xml:space="preserve"> no impact on the UK Government’s B</w:t>
      </w:r>
      <w:r w:rsidR="007875DF">
        <w:rPr>
          <w:sz w:val="22"/>
          <w:szCs w:val="22"/>
        </w:rPr>
        <w:t>IT</w:t>
      </w:r>
      <w:r w:rsidRPr="006D5924">
        <w:rPr>
          <w:sz w:val="22"/>
          <w:szCs w:val="22"/>
        </w:rPr>
        <w:t xml:space="preserve">. </w:t>
      </w:r>
      <w:r w:rsidR="006D5924" w:rsidRPr="006D5924">
        <w:rPr>
          <w:sz w:val="22"/>
          <w:szCs w:val="22"/>
        </w:rPr>
        <w:t>It has</w:t>
      </w:r>
      <w:r w:rsidRPr="006D5924">
        <w:rPr>
          <w:sz w:val="22"/>
          <w:szCs w:val="22"/>
        </w:rPr>
        <w:t xml:space="preserve"> unquantified costs as it would reduce the comparability between reports of quoted companies within the UK. </w:t>
      </w:r>
      <w:r w:rsidR="006D5924" w:rsidRPr="006D5924">
        <w:rPr>
          <w:sz w:val="22"/>
          <w:szCs w:val="22"/>
        </w:rPr>
        <w:t>The costs are out of scope</w:t>
      </w:r>
      <w:r w:rsidRPr="006D5924">
        <w:rPr>
          <w:sz w:val="22"/>
          <w:szCs w:val="22"/>
        </w:rPr>
        <w:t xml:space="preserve"> therefore </w:t>
      </w:r>
      <w:r w:rsidR="006D5924" w:rsidRPr="006D5924">
        <w:rPr>
          <w:sz w:val="22"/>
          <w:szCs w:val="22"/>
        </w:rPr>
        <w:t>there is</w:t>
      </w:r>
      <w:r w:rsidRPr="006D5924">
        <w:rPr>
          <w:sz w:val="22"/>
          <w:szCs w:val="22"/>
        </w:rPr>
        <w:t xml:space="preserve"> no impact on the BIT target</w:t>
      </w:r>
      <w:r w:rsidR="006D5924" w:rsidRPr="006D5924">
        <w:rPr>
          <w:sz w:val="22"/>
          <w:szCs w:val="22"/>
        </w:rPr>
        <w:t>.</w:t>
      </w:r>
      <w:r w:rsidR="00D763DE">
        <w:rPr>
          <w:sz w:val="22"/>
          <w:szCs w:val="22"/>
        </w:rPr>
        <w:t xml:space="preserve"> It has not been possible to quantify the benefits of the new requirements.</w:t>
      </w:r>
    </w:p>
    <w:p w14:paraId="0CA79042" w14:textId="77777777" w:rsidR="007A7049" w:rsidRPr="006D5924" w:rsidRDefault="007A7049" w:rsidP="00AD63C5">
      <w:pPr>
        <w:spacing w:line="276" w:lineRule="auto"/>
        <w:jc w:val="both"/>
        <w:rPr>
          <w:sz w:val="22"/>
          <w:szCs w:val="22"/>
        </w:rPr>
      </w:pPr>
    </w:p>
    <w:p w14:paraId="1355FE75" w14:textId="77777777" w:rsidR="007A7049" w:rsidRPr="006D5924" w:rsidRDefault="007A7049" w:rsidP="00AD63C5">
      <w:pPr>
        <w:spacing w:line="276" w:lineRule="auto"/>
        <w:jc w:val="both"/>
        <w:rPr>
          <w:sz w:val="22"/>
          <w:szCs w:val="22"/>
        </w:rPr>
      </w:pPr>
      <w:r w:rsidRPr="006D5924">
        <w:rPr>
          <w:sz w:val="22"/>
          <w:szCs w:val="22"/>
        </w:rPr>
        <w:t xml:space="preserve">Option 3, </w:t>
      </w:r>
      <w:r w:rsidR="00A93708">
        <w:rPr>
          <w:sz w:val="22"/>
          <w:szCs w:val="22"/>
        </w:rPr>
        <w:t xml:space="preserve">which goes beyond </w:t>
      </w:r>
      <w:r w:rsidR="006D5924" w:rsidRPr="006D5924">
        <w:rPr>
          <w:sz w:val="22"/>
          <w:szCs w:val="22"/>
        </w:rPr>
        <w:t xml:space="preserve">the EU </w:t>
      </w:r>
      <w:r w:rsidR="008A0B24">
        <w:rPr>
          <w:sz w:val="22"/>
          <w:szCs w:val="22"/>
        </w:rPr>
        <w:t xml:space="preserve">minimum </w:t>
      </w:r>
      <w:r w:rsidR="006D5924" w:rsidRPr="006D5924">
        <w:rPr>
          <w:sz w:val="22"/>
          <w:szCs w:val="22"/>
        </w:rPr>
        <w:t xml:space="preserve">requirements </w:t>
      </w:r>
      <w:r w:rsidR="00A93708">
        <w:rPr>
          <w:sz w:val="22"/>
          <w:szCs w:val="22"/>
        </w:rPr>
        <w:t xml:space="preserve">(i.e. ‘gold-plates’ them), by extending the requirements of the Directive to </w:t>
      </w:r>
      <w:r w:rsidR="006D5924" w:rsidRPr="006D5924">
        <w:rPr>
          <w:sz w:val="22"/>
          <w:szCs w:val="22"/>
        </w:rPr>
        <w:t>smaller quoted companies</w:t>
      </w:r>
      <w:r w:rsidRPr="006D5924">
        <w:rPr>
          <w:sz w:val="22"/>
          <w:szCs w:val="22"/>
        </w:rPr>
        <w:t xml:space="preserve"> has additional co</w:t>
      </w:r>
      <w:r w:rsidR="00891732">
        <w:rPr>
          <w:sz w:val="22"/>
          <w:szCs w:val="22"/>
        </w:rPr>
        <w:t xml:space="preserve">sts of </w:t>
      </w:r>
      <w:r w:rsidR="006D5924" w:rsidRPr="006D5924">
        <w:rPr>
          <w:sz w:val="22"/>
          <w:szCs w:val="22"/>
        </w:rPr>
        <w:t>£200,000 a year. It has</w:t>
      </w:r>
      <w:r w:rsidRPr="006D5924">
        <w:rPr>
          <w:sz w:val="22"/>
          <w:szCs w:val="22"/>
        </w:rPr>
        <w:t xml:space="preserve"> additional </w:t>
      </w:r>
      <w:r w:rsidR="00A93708">
        <w:rPr>
          <w:sz w:val="22"/>
          <w:szCs w:val="22"/>
        </w:rPr>
        <w:t xml:space="preserve">non-monetised </w:t>
      </w:r>
      <w:r w:rsidRPr="006D5924">
        <w:rPr>
          <w:sz w:val="22"/>
          <w:szCs w:val="22"/>
        </w:rPr>
        <w:t xml:space="preserve">benefits to those of Option 2 (which arise from reporting by smaller quoted companies on anti-bribery and corruption and maintaining one framework of requirements across all quoted companies in the UK). </w:t>
      </w:r>
      <w:r w:rsidR="007875DF">
        <w:rPr>
          <w:sz w:val="22"/>
          <w:szCs w:val="22"/>
        </w:rPr>
        <w:t xml:space="preserve">Option 3 has an </w:t>
      </w:r>
      <w:r w:rsidRPr="006D5924">
        <w:rPr>
          <w:sz w:val="22"/>
          <w:szCs w:val="22"/>
        </w:rPr>
        <w:t>estimated EANDCB of £0.2m</w:t>
      </w:r>
      <w:r w:rsidR="007875DF">
        <w:rPr>
          <w:sz w:val="22"/>
          <w:szCs w:val="22"/>
        </w:rPr>
        <w:t xml:space="preserve"> that is in scope of the BIT</w:t>
      </w:r>
      <w:r w:rsidRPr="006D5924">
        <w:rPr>
          <w:sz w:val="22"/>
          <w:szCs w:val="22"/>
        </w:rPr>
        <w:t xml:space="preserve"> and </w:t>
      </w:r>
      <w:r w:rsidR="007875DF">
        <w:rPr>
          <w:sz w:val="22"/>
          <w:szCs w:val="22"/>
        </w:rPr>
        <w:t xml:space="preserve">contributes </w:t>
      </w:r>
      <w:r w:rsidRPr="006D5924">
        <w:rPr>
          <w:sz w:val="22"/>
          <w:szCs w:val="22"/>
        </w:rPr>
        <w:t xml:space="preserve">£1m </w:t>
      </w:r>
      <w:r w:rsidR="007875DF">
        <w:rPr>
          <w:sz w:val="22"/>
          <w:szCs w:val="22"/>
        </w:rPr>
        <w:t xml:space="preserve">of regulatory costs </w:t>
      </w:r>
      <w:r w:rsidRPr="006D5924">
        <w:rPr>
          <w:sz w:val="22"/>
          <w:szCs w:val="22"/>
        </w:rPr>
        <w:t>to the BIT</w:t>
      </w:r>
      <w:r w:rsidR="007875DF">
        <w:rPr>
          <w:sz w:val="22"/>
          <w:szCs w:val="22"/>
        </w:rPr>
        <w:t xml:space="preserve"> over the Parliament.</w:t>
      </w:r>
    </w:p>
    <w:p w14:paraId="650F971C" w14:textId="77777777" w:rsidR="007A7049" w:rsidRPr="006D5924" w:rsidRDefault="007A7049" w:rsidP="00AD63C5">
      <w:pPr>
        <w:pStyle w:val="ListParagraph"/>
        <w:spacing w:line="276" w:lineRule="auto"/>
        <w:jc w:val="both"/>
        <w:rPr>
          <w:sz w:val="22"/>
          <w:szCs w:val="22"/>
        </w:rPr>
      </w:pPr>
    </w:p>
    <w:p w14:paraId="2224E763" w14:textId="77777777" w:rsidR="00891732" w:rsidRPr="00891732" w:rsidRDefault="00891732" w:rsidP="00AD63C5">
      <w:pPr>
        <w:spacing w:line="276" w:lineRule="auto"/>
        <w:jc w:val="both"/>
        <w:rPr>
          <w:sz w:val="22"/>
          <w:szCs w:val="22"/>
        </w:rPr>
      </w:pPr>
      <w:r w:rsidRPr="00F637B3">
        <w:rPr>
          <w:sz w:val="22"/>
          <w:szCs w:val="22"/>
        </w:rPr>
        <w:t>Option 4 is deregulatory</w:t>
      </w:r>
      <w:r w:rsidR="008D4828">
        <w:rPr>
          <w:sz w:val="22"/>
          <w:szCs w:val="22"/>
        </w:rPr>
        <w:t xml:space="preserve"> as it reduces current reporting requirements on smaller quoted companies in the UK</w:t>
      </w:r>
      <w:r w:rsidRPr="00F637B3">
        <w:rPr>
          <w:sz w:val="22"/>
          <w:szCs w:val="22"/>
        </w:rPr>
        <w:t xml:space="preserve">. </w:t>
      </w:r>
      <w:r w:rsidR="00F637B3" w:rsidRPr="00F637B3">
        <w:rPr>
          <w:sz w:val="22"/>
          <w:szCs w:val="22"/>
        </w:rPr>
        <w:t xml:space="preserve">It would result in equivalent annual savings to small quoted companies of £1.7m. The BIT score is £-8.5m. </w:t>
      </w:r>
      <w:r w:rsidRPr="00F637B3">
        <w:rPr>
          <w:sz w:val="22"/>
          <w:szCs w:val="22"/>
        </w:rPr>
        <w:t xml:space="preserve">However, it would </w:t>
      </w:r>
      <w:r w:rsidRPr="00F637B3">
        <w:rPr>
          <w:sz w:val="22"/>
          <w:szCs w:val="22"/>
          <w:lang w:eastAsia="en-GB"/>
        </w:rPr>
        <w:t>reduce the scope of existing UK reporting requirements and lead to a reduction in company disclosure in the UK. The intention of the N</w:t>
      </w:r>
      <w:r w:rsidR="007875DF">
        <w:rPr>
          <w:sz w:val="22"/>
          <w:szCs w:val="22"/>
          <w:lang w:eastAsia="en-GB"/>
        </w:rPr>
        <w:t>FRD</w:t>
      </w:r>
      <w:r w:rsidRPr="00F637B3">
        <w:rPr>
          <w:sz w:val="22"/>
          <w:szCs w:val="22"/>
          <w:lang w:eastAsia="en-GB"/>
        </w:rPr>
        <w:t xml:space="preserve"> is to raise and harmonise reporting standards across the EU. UK disclosure of non-financial information is amongst the best in the world and an area where it is government policy to demonstrate leadership</w:t>
      </w:r>
      <w:r w:rsidRPr="00891732">
        <w:rPr>
          <w:sz w:val="22"/>
          <w:szCs w:val="22"/>
          <w:lang w:eastAsia="en-GB"/>
        </w:rPr>
        <w:t xml:space="preserve">. Reducing existing non-financial reporting requirements for listed companies would be </w:t>
      </w:r>
      <w:r w:rsidR="007875DF">
        <w:rPr>
          <w:sz w:val="22"/>
          <w:szCs w:val="22"/>
          <w:lang w:eastAsia="en-GB"/>
        </w:rPr>
        <w:t>therefore not be desirable</w:t>
      </w:r>
      <w:r w:rsidRPr="00891732">
        <w:rPr>
          <w:sz w:val="22"/>
          <w:szCs w:val="22"/>
          <w:lang w:eastAsia="en-GB"/>
        </w:rPr>
        <w:t xml:space="preserve">.  Only a small minority of stakeholders supported this option in the </w:t>
      </w:r>
      <w:r w:rsidR="007875DF">
        <w:rPr>
          <w:sz w:val="22"/>
          <w:szCs w:val="22"/>
          <w:lang w:eastAsia="en-GB"/>
        </w:rPr>
        <w:t xml:space="preserve">Government </w:t>
      </w:r>
      <w:r w:rsidRPr="00891732">
        <w:rPr>
          <w:sz w:val="22"/>
          <w:szCs w:val="22"/>
          <w:lang w:eastAsia="en-GB"/>
        </w:rPr>
        <w:t xml:space="preserve">consultation conducted in February 2016. Our view is that the any opportunity for deregulation of existing UK reporting requirements should be considered separately as the NFRD approaches its date for review and in the light of the UK’s future relationship with the EU. </w:t>
      </w:r>
    </w:p>
    <w:p w14:paraId="7CCD8F1D" w14:textId="77777777" w:rsidR="007A7049" w:rsidRPr="006D5924" w:rsidRDefault="007A7049" w:rsidP="00AD63C5">
      <w:pPr>
        <w:pStyle w:val="ListParagraph"/>
        <w:spacing w:line="276" w:lineRule="auto"/>
        <w:jc w:val="both"/>
        <w:rPr>
          <w:sz w:val="22"/>
          <w:szCs w:val="22"/>
        </w:rPr>
      </w:pPr>
    </w:p>
    <w:p w14:paraId="74F836AE" w14:textId="77777777" w:rsidR="007A7049" w:rsidRPr="006D5924" w:rsidRDefault="007A7049" w:rsidP="00AD63C5">
      <w:pPr>
        <w:spacing w:line="276" w:lineRule="auto"/>
        <w:jc w:val="both"/>
        <w:rPr>
          <w:sz w:val="22"/>
          <w:szCs w:val="22"/>
        </w:rPr>
      </w:pPr>
      <w:r w:rsidRPr="006D5924">
        <w:rPr>
          <w:sz w:val="22"/>
          <w:szCs w:val="22"/>
        </w:rPr>
        <w:t xml:space="preserve">With uncertainty around the value of the </w:t>
      </w:r>
      <w:r w:rsidR="00D763DE">
        <w:rPr>
          <w:sz w:val="22"/>
          <w:szCs w:val="22"/>
        </w:rPr>
        <w:t xml:space="preserve">additional </w:t>
      </w:r>
      <w:r w:rsidRPr="006D5924">
        <w:rPr>
          <w:sz w:val="22"/>
          <w:szCs w:val="22"/>
        </w:rPr>
        <w:t>benefits pertaining to Option 3, and the dis-benefits of Option 4, Option 2 is our preferred option.</w:t>
      </w:r>
    </w:p>
    <w:p w14:paraId="7156A7AB" w14:textId="77777777" w:rsidR="007A7049" w:rsidRPr="006D5924" w:rsidRDefault="006D5924" w:rsidP="007A7049">
      <w:pPr>
        <w:keepNext/>
        <w:keepLines/>
        <w:spacing w:before="360" w:after="240" w:line="276" w:lineRule="auto"/>
        <w:jc w:val="both"/>
        <w:outlineLvl w:val="2"/>
        <w:rPr>
          <w:rFonts w:cs="Arial"/>
          <w:b/>
          <w:bCs/>
          <w:i/>
          <w:sz w:val="22"/>
          <w:szCs w:val="22"/>
          <w:lang w:eastAsia="en-GB"/>
        </w:rPr>
      </w:pPr>
      <w:r w:rsidRPr="006D5924">
        <w:rPr>
          <w:rFonts w:cs="Arial"/>
          <w:b/>
          <w:bCs/>
          <w:i/>
          <w:sz w:val="22"/>
          <w:szCs w:val="22"/>
          <w:lang w:eastAsia="en-GB"/>
        </w:rPr>
        <w:t xml:space="preserve">Implementation and </w:t>
      </w:r>
      <w:r w:rsidR="007A7049" w:rsidRPr="006D5924">
        <w:rPr>
          <w:rFonts w:cs="Arial"/>
          <w:b/>
          <w:bCs/>
          <w:i/>
          <w:sz w:val="22"/>
          <w:szCs w:val="22"/>
          <w:lang w:eastAsia="en-GB"/>
        </w:rPr>
        <w:t xml:space="preserve">Timing </w:t>
      </w:r>
    </w:p>
    <w:p w14:paraId="246B5212" w14:textId="77777777" w:rsidR="00891732" w:rsidRPr="00891732" w:rsidRDefault="00891732" w:rsidP="00D763DE">
      <w:pPr>
        <w:autoSpaceDE w:val="0"/>
        <w:autoSpaceDN w:val="0"/>
        <w:spacing w:line="276" w:lineRule="auto"/>
        <w:jc w:val="both"/>
        <w:rPr>
          <w:rFonts w:cs="Arial"/>
          <w:sz w:val="22"/>
          <w:szCs w:val="22"/>
          <w:lang w:eastAsia="en-GB"/>
        </w:rPr>
      </w:pPr>
      <w:r w:rsidRPr="00891732">
        <w:rPr>
          <w:rFonts w:cs="Arial"/>
          <w:sz w:val="22"/>
          <w:szCs w:val="22"/>
          <w:lang w:eastAsia="en-GB"/>
        </w:rPr>
        <w:t>Following adoption in October 2014, the NFRD (“Directive 2014/95/EU of the European Parliament and of the Council of 22 October 2014 amending Directive 2013/34/EU as regards disclosure of non-financial and diversity information by certain large undertakings and groups”) was published on 15 November 2014 in the Official Journal.  The disclosure requirements in the EU NFR</w:t>
      </w:r>
      <w:r w:rsidR="00027216">
        <w:rPr>
          <w:rFonts w:cs="Arial"/>
          <w:sz w:val="22"/>
          <w:szCs w:val="22"/>
          <w:lang w:eastAsia="en-GB"/>
        </w:rPr>
        <w:t>D</w:t>
      </w:r>
      <w:r w:rsidRPr="00891732">
        <w:rPr>
          <w:rFonts w:cs="Arial"/>
          <w:sz w:val="22"/>
          <w:szCs w:val="22"/>
          <w:lang w:eastAsia="en-GB"/>
        </w:rPr>
        <w:t xml:space="preserve"> build upon those introduced by the EU Accounting Directive (2013/34/EU) by amending that Directive. The Companies Partnerships and Groups (Accounts and Reports) Regulations 2015 implemented the EU Accounting Directive in the UK.  </w:t>
      </w:r>
    </w:p>
    <w:p w14:paraId="44383543" w14:textId="77777777" w:rsidR="00891732" w:rsidRPr="00891732" w:rsidRDefault="00891732" w:rsidP="00D763DE">
      <w:pPr>
        <w:autoSpaceDE w:val="0"/>
        <w:autoSpaceDN w:val="0"/>
        <w:spacing w:line="276" w:lineRule="auto"/>
        <w:jc w:val="both"/>
        <w:rPr>
          <w:rFonts w:cs="Arial"/>
          <w:sz w:val="22"/>
          <w:szCs w:val="22"/>
          <w:lang w:eastAsia="en-GB"/>
        </w:rPr>
      </w:pPr>
    </w:p>
    <w:p w14:paraId="3B601213" w14:textId="77777777" w:rsidR="00891732" w:rsidRPr="00891732" w:rsidRDefault="00891732" w:rsidP="00D763DE">
      <w:pPr>
        <w:autoSpaceDE w:val="0"/>
        <w:autoSpaceDN w:val="0"/>
        <w:spacing w:line="276" w:lineRule="auto"/>
        <w:jc w:val="both"/>
        <w:rPr>
          <w:rFonts w:cs="Arial"/>
          <w:sz w:val="22"/>
          <w:szCs w:val="22"/>
          <w:lang w:eastAsia="en-GB"/>
        </w:rPr>
      </w:pPr>
      <w:r w:rsidRPr="00891732">
        <w:rPr>
          <w:rFonts w:cs="Arial"/>
          <w:sz w:val="22"/>
          <w:szCs w:val="22"/>
          <w:lang w:eastAsia="en-GB"/>
        </w:rPr>
        <w:t xml:space="preserve">The UK intends to transpose the EU NFR Directive into national law by 6 December 2016, to apply to financial years starting on or after 1 January 2017. This schedule has been discussed and agreed with stakeholders. </w:t>
      </w:r>
    </w:p>
    <w:p w14:paraId="6FA2285C" w14:textId="77777777" w:rsidR="00891732" w:rsidRPr="00891732" w:rsidRDefault="00891732" w:rsidP="00D763DE">
      <w:pPr>
        <w:autoSpaceDE w:val="0"/>
        <w:autoSpaceDN w:val="0"/>
        <w:spacing w:line="276" w:lineRule="auto"/>
        <w:jc w:val="both"/>
        <w:rPr>
          <w:rFonts w:cs="Arial"/>
          <w:sz w:val="22"/>
          <w:szCs w:val="22"/>
          <w:lang w:eastAsia="en-GB"/>
        </w:rPr>
      </w:pPr>
    </w:p>
    <w:p w14:paraId="3AF339DF" w14:textId="77777777" w:rsidR="00891732" w:rsidRPr="00891732" w:rsidRDefault="00891732" w:rsidP="00D763DE">
      <w:pPr>
        <w:spacing w:line="276" w:lineRule="auto"/>
        <w:jc w:val="both"/>
        <w:rPr>
          <w:rFonts w:cs="Arial"/>
          <w:sz w:val="22"/>
          <w:szCs w:val="22"/>
        </w:rPr>
      </w:pPr>
      <w:r w:rsidRPr="00891732">
        <w:rPr>
          <w:rFonts w:cs="Arial"/>
          <w:sz w:val="22"/>
          <w:szCs w:val="22"/>
        </w:rPr>
        <w:t xml:space="preserve">This will mean that the Government will create legislation to require companies that fall within the scope of the </w:t>
      </w:r>
      <w:r w:rsidR="00027216">
        <w:rPr>
          <w:rFonts w:cs="Arial"/>
          <w:sz w:val="22"/>
          <w:szCs w:val="22"/>
        </w:rPr>
        <w:t>D</w:t>
      </w:r>
      <w:r w:rsidRPr="00891732">
        <w:rPr>
          <w:rFonts w:cs="Arial"/>
          <w:sz w:val="22"/>
          <w:szCs w:val="22"/>
        </w:rPr>
        <w:t xml:space="preserve">irective to report using the requirements laid out in the Directive but allow companies outside the scope of the EU Directive to continue to use the existing requirements in the Strategic Report adopt the EU requirement voluntarily.  Industry will be informed of this work through the publication of a government response. </w:t>
      </w:r>
    </w:p>
    <w:p w14:paraId="200001CC" w14:textId="77777777" w:rsidR="00891732" w:rsidRPr="00891732" w:rsidRDefault="00891732" w:rsidP="00D763DE">
      <w:pPr>
        <w:spacing w:line="276" w:lineRule="auto"/>
        <w:jc w:val="both"/>
        <w:rPr>
          <w:rFonts w:cs="Arial"/>
          <w:sz w:val="22"/>
          <w:szCs w:val="22"/>
        </w:rPr>
      </w:pPr>
    </w:p>
    <w:p w14:paraId="3B51A429" w14:textId="77777777" w:rsidR="00C30451" w:rsidRPr="003415CC" w:rsidRDefault="00891732" w:rsidP="00D64638">
      <w:pPr>
        <w:pStyle w:val="EBBodyPara"/>
        <w:spacing w:line="276" w:lineRule="auto"/>
        <w:sectPr w:rsidR="00C30451" w:rsidRPr="003415CC" w:rsidSect="00807DB6">
          <w:headerReference w:type="even" r:id="rId14"/>
          <w:footerReference w:type="default" r:id="rId15"/>
          <w:footnotePr>
            <w:numRestart w:val="eachSect"/>
          </w:footnotePr>
          <w:pgSz w:w="11907" w:h="16840" w:code="9"/>
          <w:pgMar w:top="680" w:right="851" w:bottom="680" w:left="851" w:header="284" w:footer="284" w:gutter="0"/>
          <w:cols w:space="708"/>
          <w:formProt w:val="0"/>
          <w:docGrid w:linePitch="360"/>
        </w:sectPr>
      </w:pPr>
      <w:r w:rsidRPr="00891732">
        <w:lastRenderedPageBreak/>
        <w:t>The consultation demonstrated some support for sending annual reports electronically. To further facilitate this Government will clarify legislation concerning sending annual reports electronically and continue to work with the FRC to encourage innovative digital reporting.</w:t>
      </w:r>
    </w:p>
    <w:p w14:paraId="46138373" w14:textId="77777777" w:rsidR="00C30451" w:rsidRPr="003415CC" w:rsidRDefault="00C30451" w:rsidP="00D64638">
      <w:pPr>
        <w:pStyle w:val="EBBodyPara"/>
        <w:spacing w:line="276" w:lineRule="auto"/>
        <w:rPr>
          <w:b/>
        </w:rPr>
      </w:pPr>
    </w:p>
    <w:p w14:paraId="75A6A259" w14:textId="77777777" w:rsidR="00C30451" w:rsidRPr="003415CC" w:rsidRDefault="00C30451" w:rsidP="00D64638">
      <w:pPr>
        <w:pStyle w:val="EBBodyPara"/>
        <w:spacing w:line="276" w:lineRule="auto"/>
        <w:rPr>
          <w:b/>
          <w:sz w:val="32"/>
          <w:szCs w:val="32"/>
        </w:rPr>
      </w:pPr>
      <w:r w:rsidRPr="003415CC">
        <w:rPr>
          <w:b/>
          <w:sz w:val="32"/>
          <w:szCs w:val="32"/>
        </w:rPr>
        <w:t>Annex A: Calculations of Costs or Savings to quoted companies</w:t>
      </w:r>
    </w:p>
    <w:p w14:paraId="14AF2CCA" w14:textId="77777777" w:rsidR="000C6D0F" w:rsidRDefault="000C6D0F" w:rsidP="00D64638">
      <w:pPr>
        <w:pStyle w:val="EBBodyPara"/>
        <w:spacing w:line="276" w:lineRule="auto"/>
        <w:jc w:val="both"/>
      </w:pPr>
      <w:r w:rsidRPr="00EB7A0C">
        <w:rPr>
          <w:rFonts w:eastAsia="SimSun"/>
          <w:spacing w:val="-5"/>
          <w:lang w:eastAsia="zh-CN"/>
        </w:rPr>
        <w:t xml:space="preserve">We </w:t>
      </w:r>
      <w:r>
        <w:rPr>
          <w:rFonts w:eastAsia="SimSun"/>
          <w:spacing w:val="-5"/>
          <w:lang w:eastAsia="zh-CN"/>
        </w:rPr>
        <w:t xml:space="preserve">have </w:t>
      </w:r>
      <w:r w:rsidRPr="00EB7A0C">
        <w:rPr>
          <w:rFonts w:eastAsia="SimSun"/>
          <w:spacing w:val="-5"/>
          <w:lang w:eastAsia="zh-CN"/>
        </w:rPr>
        <w:t xml:space="preserve">quantified costs for all PIEs affected by </w:t>
      </w:r>
      <w:r>
        <w:rPr>
          <w:rFonts w:eastAsia="SimSun"/>
          <w:spacing w:val="-5"/>
          <w:lang w:eastAsia="zh-CN"/>
        </w:rPr>
        <w:t xml:space="preserve">the options </w:t>
      </w:r>
      <w:r w:rsidRPr="00EB7A0C">
        <w:rPr>
          <w:rFonts w:eastAsia="SimSun"/>
          <w:spacing w:val="-5"/>
          <w:lang w:eastAsia="zh-CN"/>
        </w:rPr>
        <w:t xml:space="preserve">using responses to </w:t>
      </w:r>
      <w:r>
        <w:rPr>
          <w:rFonts w:eastAsia="SimSun"/>
          <w:spacing w:val="-5"/>
          <w:lang w:eastAsia="zh-CN"/>
        </w:rPr>
        <w:t xml:space="preserve">a survey that is part of </w:t>
      </w:r>
      <w:r w:rsidR="00EE27AD">
        <w:rPr>
          <w:rFonts w:eastAsia="SimSun"/>
          <w:spacing w:val="-5"/>
          <w:lang w:eastAsia="zh-CN"/>
        </w:rPr>
        <w:t>an</w:t>
      </w:r>
      <w:r w:rsidRPr="00EB7A0C">
        <w:rPr>
          <w:rFonts w:eastAsia="SimSun"/>
          <w:spacing w:val="-5"/>
          <w:lang w:eastAsia="zh-CN"/>
        </w:rPr>
        <w:t xml:space="preserve"> ongoing research project into the effects non-financial reporting had on company behaviour</w:t>
      </w:r>
      <w:r w:rsidRPr="00EB7A0C">
        <w:rPr>
          <w:rStyle w:val="FootnoteReference"/>
          <w:rFonts w:eastAsia="SimSun"/>
          <w:spacing w:val="-5"/>
          <w:lang w:eastAsia="zh-CN"/>
        </w:rPr>
        <w:footnoteReference w:id="41"/>
      </w:r>
      <w:r w:rsidRPr="00BA6CA2">
        <w:rPr>
          <w:rFonts w:eastAsia="SimSun"/>
          <w:spacing w:val="-5"/>
          <w:lang w:eastAsia="zh-CN"/>
        </w:rPr>
        <w:t xml:space="preserve">. </w:t>
      </w:r>
      <w:r w:rsidRPr="0049623C">
        <w:rPr>
          <w:rFonts w:eastAsia="SimSun"/>
          <w:spacing w:val="-5"/>
          <w:lang w:eastAsia="zh-CN"/>
        </w:rPr>
        <w:t xml:space="preserve">The research is to be based on 400 </w:t>
      </w:r>
      <w:r w:rsidRPr="0049623C">
        <w:rPr>
          <w:rFonts w:eastAsiaTheme="minorEastAsia"/>
          <w:kern w:val="24"/>
        </w:rPr>
        <w:t>computer assisted telephone interviews (</w:t>
      </w:r>
      <w:r w:rsidRPr="0049623C">
        <w:rPr>
          <w:rFonts w:eastAsia="SimSun"/>
          <w:spacing w:val="-5"/>
          <w:lang w:eastAsia="zh-CN"/>
        </w:rPr>
        <w:t xml:space="preserve">CATI) of companies including quoted and unquoted PIEs. It is currently in its fieldwork stage but we have been able to draw on the interim findings to inform this IA. </w:t>
      </w:r>
      <w:r w:rsidRPr="00BA6CA2">
        <w:rPr>
          <w:rFonts w:eastAsia="SimSun"/>
          <w:spacing w:val="-5"/>
          <w:lang w:eastAsia="zh-CN"/>
        </w:rPr>
        <w:t>Our estimates are based on the</w:t>
      </w:r>
      <w:r w:rsidRPr="0049623C">
        <w:t xml:space="preserve"> </w:t>
      </w:r>
      <w:r>
        <w:t xml:space="preserve">interim results of the </w:t>
      </w:r>
      <w:r w:rsidRPr="0049623C">
        <w:t>survey</w:t>
      </w:r>
      <w:r>
        <w:t>, which were provided in June 2016 and cover 285 companies, 60 of which are quoted companies</w:t>
      </w:r>
      <w:r w:rsidR="0051050D">
        <w:t xml:space="preserve"> and 38 of these had more than 500 employees</w:t>
      </w:r>
      <w:r>
        <w:t>.</w:t>
      </w:r>
      <w:r w:rsidR="00DC6305">
        <w:t xml:space="preserve"> </w:t>
      </w:r>
    </w:p>
    <w:p w14:paraId="1F560FFC" w14:textId="77777777" w:rsidR="00C30451" w:rsidRPr="003415CC" w:rsidRDefault="00C30451" w:rsidP="00C82045">
      <w:pPr>
        <w:pStyle w:val="EBBodyPara"/>
        <w:spacing w:line="276" w:lineRule="auto"/>
        <w:jc w:val="both"/>
      </w:pPr>
      <w:r w:rsidRPr="003415CC">
        <w:rPr>
          <w:b/>
        </w:rPr>
        <w:t>Costs in the first year</w:t>
      </w:r>
      <w:r w:rsidR="00581989">
        <w:rPr>
          <w:b/>
        </w:rPr>
        <w:t xml:space="preserve">: </w:t>
      </w:r>
      <w:r w:rsidR="00581989" w:rsidRPr="00581989">
        <w:t xml:space="preserve">We asked </w:t>
      </w:r>
      <w:r w:rsidR="00B04E96">
        <w:t xml:space="preserve">quoted </w:t>
      </w:r>
      <w:r w:rsidR="00581989" w:rsidRPr="00581989">
        <w:t>companies about the total costs in the first year</w:t>
      </w:r>
      <w:r w:rsidRPr="003415CC">
        <w:t xml:space="preserve"> </w:t>
      </w:r>
      <w:r w:rsidR="00581989">
        <w:t>(i.e. to include familiarisation costs)</w:t>
      </w:r>
      <w:r w:rsidRPr="003415CC">
        <w:t xml:space="preserve">. These were reported </w:t>
      </w:r>
      <w:r w:rsidR="00581989">
        <w:t xml:space="preserve">only </w:t>
      </w:r>
      <w:r w:rsidRPr="003415CC">
        <w:t>by companies not already reporting on the additional matters. The calculations are provided in Tables A1 and A3.</w:t>
      </w:r>
    </w:p>
    <w:p w14:paraId="43AFFEC7" w14:textId="77777777" w:rsidR="00C30451" w:rsidRPr="003415CC" w:rsidRDefault="00C30451" w:rsidP="00C82045">
      <w:pPr>
        <w:pStyle w:val="EBBodyPara"/>
        <w:spacing w:line="276" w:lineRule="auto"/>
        <w:jc w:val="both"/>
      </w:pPr>
      <w:r w:rsidRPr="003415CC">
        <w:rPr>
          <w:b/>
        </w:rPr>
        <w:t>Subsequent year costs</w:t>
      </w:r>
      <w:r w:rsidRPr="003415CC">
        <w:t xml:space="preserve"> were reported by </w:t>
      </w:r>
      <w:r w:rsidR="00B04E96">
        <w:t xml:space="preserve">quoted </w:t>
      </w:r>
      <w:r w:rsidRPr="003415CC">
        <w:t xml:space="preserve">companies who already report on the matter (and therefore were an estimate of costs they already incur) as well as </w:t>
      </w:r>
      <w:r w:rsidR="00B04E96">
        <w:t xml:space="preserve">quoted </w:t>
      </w:r>
      <w:r w:rsidRPr="003415CC">
        <w:t xml:space="preserve">companies who do not report on the matter (and therefore </w:t>
      </w:r>
      <w:r w:rsidR="0051050D">
        <w:t>predicted</w:t>
      </w:r>
      <w:r w:rsidRPr="003415CC">
        <w:t xml:space="preserve"> costs they would incur if the requirement was placed on them</w:t>
      </w:r>
      <w:r w:rsidR="004C00E7">
        <w:t>). We took</w:t>
      </w:r>
      <w:r w:rsidRPr="003415CC">
        <w:t xml:space="preserve"> the mean of these two reported averages to arrive at our best estimate of costs to reporting companies in subsequent years. The calculations are provided in Tables A2 and A4.</w:t>
      </w:r>
    </w:p>
    <w:p w14:paraId="51CDF607" w14:textId="77777777" w:rsidR="00C30451" w:rsidRPr="003415CC" w:rsidRDefault="00C30451" w:rsidP="006C5AD5">
      <w:pPr>
        <w:pStyle w:val="EBBodyPara"/>
        <w:spacing w:line="276" w:lineRule="auto"/>
        <w:jc w:val="center"/>
        <w:rPr>
          <w:b/>
        </w:rPr>
      </w:pPr>
      <w:r w:rsidRPr="003415CC">
        <w:rPr>
          <w:b/>
        </w:rPr>
        <w:t>Table A1</w:t>
      </w:r>
    </w:p>
    <w:p w14:paraId="65644D4C" w14:textId="77777777" w:rsidR="00C30451" w:rsidRPr="003415CC" w:rsidRDefault="00C30451" w:rsidP="006C5AD5">
      <w:pPr>
        <w:pStyle w:val="EBBodyPara"/>
        <w:spacing w:line="276" w:lineRule="auto"/>
        <w:jc w:val="center"/>
        <w:rPr>
          <w:b/>
        </w:rPr>
      </w:pPr>
      <w:r w:rsidRPr="003415CC">
        <w:rPr>
          <w:b/>
        </w:rPr>
        <w:t>Costs in the first year of reporting on their approach to anti-bribery and corruption matters</w:t>
      </w:r>
    </w:p>
    <w:tbl>
      <w:tblPr>
        <w:tblW w:w="5127" w:type="dxa"/>
        <w:jc w:val="center"/>
        <w:tblInd w:w="103" w:type="dxa"/>
        <w:tblLook w:val="04A0" w:firstRow="1" w:lastRow="0" w:firstColumn="1" w:lastColumn="0" w:noHBand="0" w:noVBand="1"/>
      </w:tblPr>
      <w:tblGrid>
        <w:gridCol w:w="1598"/>
        <w:gridCol w:w="1180"/>
        <w:gridCol w:w="1120"/>
        <w:gridCol w:w="1420"/>
      </w:tblGrid>
      <w:tr w:rsidR="00C30451" w:rsidRPr="003415CC" w14:paraId="618C5599" w14:textId="77777777" w:rsidTr="00C30451">
        <w:trPr>
          <w:trHeight w:val="828"/>
          <w:jc w:val="center"/>
        </w:trPr>
        <w:tc>
          <w:tcPr>
            <w:tcW w:w="1407"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53F645E2" w14:textId="77777777" w:rsidR="00C30451" w:rsidRPr="003415CC" w:rsidRDefault="00C30451" w:rsidP="00C82045">
            <w:pPr>
              <w:pStyle w:val="EBBodyPara"/>
              <w:spacing w:line="276" w:lineRule="auto"/>
              <w:jc w:val="center"/>
              <w:rPr>
                <w:b/>
              </w:rPr>
            </w:pPr>
            <w:r w:rsidRPr="003415CC">
              <w:rPr>
                <w:b/>
              </w:rPr>
              <w:t>Quoted companies level of Staff</w:t>
            </w:r>
          </w:p>
        </w:tc>
        <w:tc>
          <w:tcPr>
            <w:tcW w:w="1180" w:type="dxa"/>
            <w:tcBorders>
              <w:top w:val="single" w:sz="4" w:space="0" w:color="auto"/>
              <w:left w:val="nil"/>
              <w:bottom w:val="single" w:sz="4" w:space="0" w:color="auto"/>
              <w:right w:val="single" w:sz="4" w:space="0" w:color="auto"/>
            </w:tcBorders>
            <w:shd w:val="clear" w:color="000000" w:fill="D9D9D9"/>
            <w:vAlign w:val="center"/>
            <w:hideMark/>
          </w:tcPr>
          <w:p w14:paraId="29E3D0CF" w14:textId="77777777" w:rsidR="00C30451" w:rsidRPr="003415CC" w:rsidRDefault="00C30451" w:rsidP="00C82045">
            <w:pPr>
              <w:pStyle w:val="EBBodyPara"/>
              <w:spacing w:line="276" w:lineRule="auto"/>
              <w:jc w:val="center"/>
              <w:rPr>
                <w:b/>
              </w:rPr>
            </w:pPr>
            <w:r w:rsidRPr="003415CC">
              <w:rPr>
                <w:b/>
              </w:rPr>
              <w:t>Average annual time costs (hours)</w:t>
            </w:r>
          </w:p>
        </w:tc>
        <w:tc>
          <w:tcPr>
            <w:tcW w:w="1120" w:type="dxa"/>
            <w:tcBorders>
              <w:top w:val="single" w:sz="4" w:space="0" w:color="auto"/>
              <w:left w:val="nil"/>
              <w:bottom w:val="single" w:sz="4" w:space="0" w:color="auto"/>
              <w:right w:val="single" w:sz="4" w:space="0" w:color="auto"/>
            </w:tcBorders>
            <w:shd w:val="clear" w:color="000000" w:fill="D9D9D9"/>
            <w:vAlign w:val="center"/>
            <w:hideMark/>
          </w:tcPr>
          <w:p w14:paraId="23CE69A5" w14:textId="77777777" w:rsidR="00C30451" w:rsidRPr="003415CC" w:rsidRDefault="00C30451" w:rsidP="00C82045">
            <w:pPr>
              <w:pStyle w:val="EBBodyPara"/>
              <w:spacing w:line="276" w:lineRule="auto"/>
              <w:jc w:val="center"/>
              <w:rPr>
                <w:b/>
              </w:rPr>
            </w:pPr>
            <w:r w:rsidRPr="003415CC">
              <w:rPr>
                <w:b/>
              </w:rPr>
              <w:t>Total cost per hour</w:t>
            </w:r>
            <w:r w:rsidRPr="003415CC">
              <w:rPr>
                <w:b/>
              </w:rPr>
              <w:br/>
              <w:t>£</w:t>
            </w:r>
          </w:p>
        </w:tc>
        <w:tc>
          <w:tcPr>
            <w:tcW w:w="1420" w:type="dxa"/>
            <w:tcBorders>
              <w:top w:val="single" w:sz="4" w:space="0" w:color="auto"/>
              <w:left w:val="nil"/>
              <w:bottom w:val="single" w:sz="4" w:space="0" w:color="auto"/>
              <w:right w:val="single" w:sz="4" w:space="0" w:color="auto"/>
            </w:tcBorders>
            <w:shd w:val="clear" w:color="000000" w:fill="D9D9D9"/>
            <w:vAlign w:val="center"/>
            <w:hideMark/>
          </w:tcPr>
          <w:p w14:paraId="40B7AD9E" w14:textId="77777777" w:rsidR="00C30451" w:rsidRPr="003415CC" w:rsidRDefault="00C30451" w:rsidP="00C82045">
            <w:pPr>
              <w:pStyle w:val="EBBodyPara"/>
              <w:spacing w:line="276" w:lineRule="auto"/>
              <w:jc w:val="center"/>
              <w:rPr>
                <w:b/>
              </w:rPr>
            </w:pPr>
            <w:r w:rsidRPr="003415CC">
              <w:rPr>
                <w:b/>
              </w:rPr>
              <w:t>Total cost per firm</w:t>
            </w:r>
            <w:r w:rsidRPr="003415CC">
              <w:rPr>
                <w:b/>
              </w:rPr>
              <w:br/>
              <w:t>£</w:t>
            </w:r>
          </w:p>
        </w:tc>
      </w:tr>
      <w:tr w:rsidR="00C30451" w:rsidRPr="003415CC" w14:paraId="00BABCC4" w14:textId="77777777" w:rsidTr="00C30451">
        <w:trPr>
          <w:trHeight w:val="288"/>
          <w:jc w:val="center"/>
        </w:trPr>
        <w:tc>
          <w:tcPr>
            <w:tcW w:w="1407" w:type="dxa"/>
            <w:tcBorders>
              <w:top w:val="nil"/>
              <w:left w:val="single" w:sz="4" w:space="0" w:color="auto"/>
              <w:bottom w:val="single" w:sz="4" w:space="0" w:color="auto"/>
              <w:right w:val="single" w:sz="4" w:space="0" w:color="auto"/>
            </w:tcBorders>
            <w:shd w:val="clear" w:color="auto" w:fill="auto"/>
            <w:noWrap/>
            <w:vAlign w:val="bottom"/>
            <w:hideMark/>
          </w:tcPr>
          <w:p w14:paraId="5FBCA832" w14:textId="77777777" w:rsidR="00C30451" w:rsidRPr="003415CC" w:rsidRDefault="00C30451" w:rsidP="00C82045">
            <w:pPr>
              <w:pStyle w:val="EBBodyPara"/>
              <w:spacing w:line="276" w:lineRule="auto"/>
              <w:jc w:val="center"/>
            </w:pPr>
            <w:r w:rsidRPr="003415CC">
              <w:t>Director</w:t>
            </w:r>
          </w:p>
        </w:tc>
        <w:tc>
          <w:tcPr>
            <w:tcW w:w="1180" w:type="dxa"/>
            <w:tcBorders>
              <w:top w:val="nil"/>
              <w:left w:val="nil"/>
              <w:bottom w:val="single" w:sz="4" w:space="0" w:color="auto"/>
              <w:right w:val="single" w:sz="4" w:space="0" w:color="auto"/>
            </w:tcBorders>
            <w:shd w:val="clear" w:color="auto" w:fill="auto"/>
            <w:noWrap/>
            <w:vAlign w:val="bottom"/>
            <w:hideMark/>
          </w:tcPr>
          <w:p w14:paraId="638D694B" w14:textId="77777777" w:rsidR="00C30451" w:rsidRPr="003415CC" w:rsidRDefault="00C30451" w:rsidP="00C82045">
            <w:pPr>
              <w:pStyle w:val="EBBodyPara"/>
              <w:spacing w:line="276" w:lineRule="auto"/>
              <w:jc w:val="center"/>
            </w:pPr>
            <w:r w:rsidRPr="003415CC">
              <w:t>4.5</w:t>
            </w:r>
          </w:p>
        </w:tc>
        <w:tc>
          <w:tcPr>
            <w:tcW w:w="1120" w:type="dxa"/>
            <w:tcBorders>
              <w:top w:val="nil"/>
              <w:left w:val="nil"/>
              <w:bottom w:val="single" w:sz="4" w:space="0" w:color="auto"/>
              <w:right w:val="single" w:sz="4" w:space="0" w:color="auto"/>
            </w:tcBorders>
            <w:shd w:val="clear" w:color="auto" w:fill="auto"/>
            <w:noWrap/>
            <w:vAlign w:val="center"/>
            <w:hideMark/>
          </w:tcPr>
          <w:p w14:paraId="430D4800" w14:textId="77777777" w:rsidR="00C30451" w:rsidRPr="003415CC" w:rsidRDefault="00C30451" w:rsidP="00C82045">
            <w:pPr>
              <w:pStyle w:val="EBBodyPara"/>
              <w:spacing w:line="276" w:lineRule="auto"/>
              <w:jc w:val="center"/>
            </w:pPr>
            <w:r w:rsidRPr="003415CC">
              <w:t>67.30</w:t>
            </w:r>
          </w:p>
        </w:tc>
        <w:tc>
          <w:tcPr>
            <w:tcW w:w="1420" w:type="dxa"/>
            <w:tcBorders>
              <w:top w:val="nil"/>
              <w:left w:val="nil"/>
              <w:bottom w:val="single" w:sz="4" w:space="0" w:color="auto"/>
              <w:right w:val="single" w:sz="4" w:space="0" w:color="auto"/>
            </w:tcBorders>
            <w:shd w:val="clear" w:color="auto" w:fill="auto"/>
            <w:noWrap/>
            <w:vAlign w:val="center"/>
            <w:hideMark/>
          </w:tcPr>
          <w:p w14:paraId="6F8FF519" w14:textId="77777777" w:rsidR="00C30451" w:rsidRPr="003415CC" w:rsidRDefault="00C30451" w:rsidP="00C82045">
            <w:pPr>
              <w:pStyle w:val="EBBodyPara"/>
              <w:spacing w:line="276" w:lineRule="auto"/>
              <w:jc w:val="center"/>
            </w:pPr>
            <w:r w:rsidRPr="003415CC">
              <w:t>303</w:t>
            </w:r>
          </w:p>
        </w:tc>
      </w:tr>
      <w:tr w:rsidR="00C30451" w:rsidRPr="003415CC" w14:paraId="3E845A44" w14:textId="77777777" w:rsidTr="00C30451">
        <w:trPr>
          <w:trHeight w:val="288"/>
          <w:jc w:val="center"/>
        </w:trPr>
        <w:tc>
          <w:tcPr>
            <w:tcW w:w="1407" w:type="dxa"/>
            <w:tcBorders>
              <w:top w:val="nil"/>
              <w:left w:val="single" w:sz="4" w:space="0" w:color="auto"/>
              <w:bottom w:val="single" w:sz="4" w:space="0" w:color="auto"/>
              <w:right w:val="single" w:sz="4" w:space="0" w:color="auto"/>
            </w:tcBorders>
            <w:shd w:val="clear" w:color="auto" w:fill="auto"/>
            <w:noWrap/>
            <w:vAlign w:val="bottom"/>
            <w:hideMark/>
          </w:tcPr>
          <w:p w14:paraId="16E86846" w14:textId="77777777" w:rsidR="00C30451" w:rsidRPr="003415CC" w:rsidRDefault="00C30451" w:rsidP="00C82045">
            <w:pPr>
              <w:pStyle w:val="EBBodyPara"/>
              <w:spacing w:line="276" w:lineRule="auto"/>
              <w:jc w:val="center"/>
            </w:pPr>
            <w:r w:rsidRPr="003415CC">
              <w:t>Professional</w:t>
            </w:r>
          </w:p>
        </w:tc>
        <w:tc>
          <w:tcPr>
            <w:tcW w:w="1180" w:type="dxa"/>
            <w:tcBorders>
              <w:top w:val="nil"/>
              <w:left w:val="nil"/>
              <w:bottom w:val="single" w:sz="4" w:space="0" w:color="auto"/>
              <w:right w:val="single" w:sz="4" w:space="0" w:color="auto"/>
            </w:tcBorders>
            <w:shd w:val="clear" w:color="auto" w:fill="auto"/>
            <w:noWrap/>
            <w:vAlign w:val="bottom"/>
            <w:hideMark/>
          </w:tcPr>
          <w:p w14:paraId="6CF4FA54" w14:textId="77777777" w:rsidR="00C30451" w:rsidRPr="003415CC" w:rsidRDefault="00C30451" w:rsidP="00C82045">
            <w:pPr>
              <w:pStyle w:val="EBBodyPara"/>
              <w:spacing w:line="276" w:lineRule="auto"/>
              <w:jc w:val="center"/>
            </w:pPr>
            <w:r w:rsidRPr="003415CC">
              <w:t>11</w:t>
            </w:r>
          </w:p>
        </w:tc>
        <w:tc>
          <w:tcPr>
            <w:tcW w:w="1120" w:type="dxa"/>
            <w:tcBorders>
              <w:top w:val="nil"/>
              <w:left w:val="nil"/>
              <w:bottom w:val="single" w:sz="4" w:space="0" w:color="auto"/>
              <w:right w:val="single" w:sz="4" w:space="0" w:color="auto"/>
            </w:tcBorders>
            <w:shd w:val="clear" w:color="auto" w:fill="auto"/>
            <w:noWrap/>
            <w:vAlign w:val="center"/>
            <w:hideMark/>
          </w:tcPr>
          <w:p w14:paraId="0D345700" w14:textId="77777777" w:rsidR="00C30451" w:rsidRPr="003415CC" w:rsidRDefault="00C30451" w:rsidP="00C82045">
            <w:pPr>
              <w:pStyle w:val="EBBodyPara"/>
              <w:spacing w:line="276" w:lineRule="auto"/>
              <w:jc w:val="center"/>
            </w:pPr>
            <w:r w:rsidRPr="003415CC">
              <w:t>29.95</w:t>
            </w:r>
          </w:p>
        </w:tc>
        <w:tc>
          <w:tcPr>
            <w:tcW w:w="1420" w:type="dxa"/>
            <w:tcBorders>
              <w:top w:val="nil"/>
              <w:left w:val="nil"/>
              <w:bottom w:val="single" w:sz="4" w:space="0" w:color="auto"/>
              <w:right w:val="single" w:sz="4" w:space="0" w:color="auto"/>
            </w:tcBorders>
            <w:shd w:val="clear" w:color="auto" w:fill="auto"/>
            <w:noWrap/>
            <w:vAlign w:val="center"/>
            <w:hideMark/>
          </w:tcPr>
          <w:p w14:paraId="2BFA5B11" w14:textId="77777777" w:rsidR="00C30451" w:rsidRPr="003415CC" w:rsidRDefault="00C30451" w:rsidP="00C82045">
            <w:pPr>
              <w:pStyle w:val="EBBodyPara"/>
              <w:spacing w:line="276" w:lineRule="auto"/>
              <w:jc w:val="center"/>
            </w:pPr>
            <w:r w:rsidRPr="003415CC">
              <w:t>329</w:t>
            </w:r>
          </w:p>
        </w:tc>
      </w:tr>
      <w:tr w:rsidR="00C30451" w:rsidRPr="003415CC" w14:paraId="1A07EC1C" w14:textId="77777777" w:rsidTr="00C30451">
        <w:trPr>
          <w:trHeight w:val="288"/>
          <w:jc w:val="center"/>
        </w:trPr>
        <w:tc>
          <w:tcPr>
            <w:tcW w:w="1407" w:type="dxa"/>
            <w:tcBorders>
              <w:top w:val="nil"/>
              <w:left w:val="single" w:sz="4" w:space="0" w:color="auto"/>
              <w:bottom w:val="single" w:sz="4" w:space="0" w:color="auto"/>
              <w:right w:val="single" w:sz="4" w:space="0" w:color="auto"/>
            </w:tcBorders>
            <w:shd w:val="clear" w:color="auto" w:fill="auto"/>
            <w:noWrap/>
            <w:vAlign w:val="bottom"/>
            <w:hideMark/>
          </w:tcPr>
          <w:p w14:paraId="7687BA4B" w14:textId="77777777" w:rsidR="00C30451" w:rsidRPr="003415CC" w:rsidRDefault="00C30451" w:rsidP="00C82045">
            <w:pPr>
              <w:pStyle w:val="EBBodyPara"/>
              <w:spacing w:line="276" w:lineRule="auto"/>
              <w:jc w:val="center"/>
            </w:pPr>
            <w:r w:rsidRPr="003415CC">
              <w:t>Administrative</w:t>
            </w:r>
          </w:p>
        </w:tc>
        <w:tc>
          <w:tcPr>
            <w:tcW w:w="1180" w:type="dxa"/>
            <w:tcBorders>
              <w:top w:val="nil"/>
              <w:left w:val="nil"/>
              <w:bottom w:val="single" w:sz="4" w:space="0" w:color="auto"/>
              <w:right w:val="single" w:sz="4" w:space="0" w:color="auto"/>
            </w:tcBorders>
            <w:shd w:val="clear" w:color="auto" w:fill="auto"/>
            <w:noWrap/>
            <w:vAlign w:val="bottom"/>
            <w:hideMark/>
          </w:tcPr>
          <w:p w14:paraId="5002B60C" w14:textId="77777777" w:rsidR="00C30451" w:rsidRPr="003415CC" w:rsidRDefault="00C30451" w:rsidP="00C82045">
            <w:pPr>
              <w:pStyle w:val="EBBodyPara"/>
              <w:spacing w:line="276" w:lineRule="auto"/>
              <w:jc w:val="center"/>
            </w:pPr>
            <w:r w:rsidRPr="003415CC">
              <w:t>0</w:t>
            </w:r>
          </w:p>
        </w:tc>
        <w:tc>
          <w:tcPr>
            <w:tcW w:w="1120" w:type="dxa"/>
            <w:tcBorders>
              <w:top w:val="nil"/>
              <w:left w:val="nil"/>
              <w:bottom w:val="single" w:sz="4" w:space="0" w:color="auto"/>
              <w:right w:val="single" w:sz="4" w:space="0" w:color="auto"/>
            </w:tcBorders>
            <w:shd w:val="clear" w:color="auto" w:fill="auto"/>
            <w:noWrap/>
            <w:vAlign w:val="center"/>
            <w:hideMark/>
          </w:tcPr>
          <w:p w14:paraId="130ECC4B" w14:textId="77777777" w:rsidR="00C30451" w:rsidRPr="003415CC" w:rsidRDefault="00C30451" w:rsidP="00C82045">
            <w:pPr>
              <w:pStyle w:val="EBBodyPara"/>
              <w:spacing w:line="276" w:lineRule="auto"/>
              <w:jc w:val="center"/>
            </w:pPr>
            <w:r w:rsidRPr="003415CC">
              <w:t>15.71</w:t>
            </w:r>
          </w:p>
        </w:tc>
        <w:tc>
          <w:tcPr>
            <w:tcW w:w="1420" w:type="dxa"/>
            <w:tcBorders>
              <w:top w:val="nil"/>
              <w:left w:val="nil"/>
              <w:bottom w:val="single" w:sz="4" w:space="0" w:color="auto"/>
              <w:right w:val="single" w:sz="4" w:space="0" w:color="auto"/>
            </w:tcBorders>
            <w:shd w:val="clear" w:color="auto" w:fill="auto"/>
            <w:noWrap/>
            <w:vAlign w:val="center"/>
            <w:hideMark/>
          </w:tcPr>
          <w:p w14:paraId="39C01C3C" w14:textId="77777777" w:rsidR="00C30451" w:rsidRPr="003415CC" w:rsidRDefault="00C30451" w:rsidP="00C82045">
            <w:pPr>
              <w:pStyle w:val="EBBodyPara"/>
              <w:spacing w:line="276" w:lineRule="auto"/>
              <w:jc w:val="center"/>
            </w:pPr>
            <w:r w:rsidRPr="003415CC">
              <w:t>-</w:t>
            </w:r>
          </w:p>
        </w:tc>
      </w:tr>
      <w:tr w:rsidR="00C30451" w:rsidRPr="003415CC" w14:paraId="67CEF648" w14:textId="77777777" w:rsidTr="00C30451">
        <w:trPr>
          <w:trHeight w:val="288"/>
          <w:jc w:val="center"/>
        </w:trPr>
        <w:tc>
          <w:tcPr>
            <w:tcW w:w="1407" w:type="dxa"/>
            <w:tcBorders>
              <w:top w:val="nil"/>
              <w:left w:val="single" w:sz="4" w:space="0" w:color="auto"/>
              <w:bottom w:val="single" w:sz="4" w:space="0" w:color="auto"/>
              <w:right w:val="single" w:sz="4" w:space="0" w:color="auto"/>
            </w:tcBorders>
            <w:shd w:val="clear" w:color="auto" w:fill="auto"/>
            <w:noWrap/>
            <w:vAlign w:val="bottom"/>
            <w:hideMark/>
          </w:tcPr>
          <w:p w14:paraId="3CF9BE7F" w14:textId="77777777" w:rsidR="00C30451" w:rsidRPr="003415CC" w:rsidRDefault="00C30451" w:rsidP="00C82045">
            <w:pPr>
              <w:pStyle w:val="EBBodyPara"/>
              <w:spacing w:line="276" w:lineRule="auto"/>
              <w:jc w:val="center"/>
              <w:rPr>
                <w:b/>
              </w:rPr>
            </w:pPr>
            <w:r w:rsidRPr="003415CC">
              <w:rPr>
                <w:b/>
              </w:rPr>
              <w:t>Total cost</w:t>
            </w:r>
          </w:p>
        </w:tc>
        <w:tc>
          <w:tcPr>
            <w:tcW w:w="1180" w:type="dxa"/>
            <w:tcBorders>
              <w:top w:val="nil"/>
              <w:left w:val="nil"/>
              <w:bottom w:val="single" w:sz="4" w:space="0" w:color="auto"/>
              <w:right w:val="single" w:sz="4" w:space="0" w:color="auto"/>
            </w:tcBorders>
            <w:shd w:val="clear" w:color="auto" w:fill="auto"/>
            <w:noWrap/>
            <w:vAlign w:val="bottom"/>
            <w:hideMark/>
          </w:tcPr>
          <w:p w14:paraId="540DDD2F" w14:textId="77777777" w:rsidR="00C30451" w:rsidRPr="003415CC" w:rsidRDefault="00C30451" w:rsidP="00C82045">
            <w:pPr>
              <w:pStyle w:val="EBBodyPara"/>
              <w:spacing w:line="276" w:lineRule="auto"/>
              <w:jc w:val="center"/>
            </w:pPr>
          </w:p>
        </w:tc>
        <w:tc>
          <w:tcPr>
            <w:tcW w:w="1120" w:type="dxa"/>
            <w:tcBorders>
              <w:top w:val="nil"/>
              <w:left w:val="nil"/>
              <w:bottom w:val="single" w:sz="4" w:space="0" w:color="auto"/>
              <w:right w:val="single" w:sz="4" w:space="0" w:color="auto"/>
            </w:tcBorders>
            <w:shd w:val="clear" w:color="auto" w:fill="auto"/>
            <w:noWrap/>
            <w:vAlign w:val="bottom"/>
            <w:hideMark/>
          </w:tcPr>
          <w:p w14:paraId="32EB461E" w14:textId="77777777" w:rsidR="00C30451" w:rsidRPr="003415CC" w:rsidRDefault="00C30451" w:rsidP="00C82045">
            <w:pPr>
              <w:pStyle w:val="EBBodyPara"/>
              <w:spacing w:line="276" w:lineRule="auto"/>
              <w:jc w:val="center"/>
            </w:pPr>
          </w:p>
        </w:tc>
        <w:tc>
          <w:tcPr>
            <w:tcW w:w="1420" w:type="dxa"/>
            <w:tcBorders>
              <w:top w:val="nil"/>
              <w:left w:val="nil"/>
              <w:bottom w:val="single" w:sz="4" w:space="0" w:color="auto"/>
              <w:right w:val="single" w:sz="4" w:space="0" w:color="auto"/>
            </w:tcBorders>
            <w:shd w:val="clear" w:color="auto" w:fill="auto"/>
            <w:noWrap/>
            <w:vAlign w:val="center"/>
            <w:hideMark/>
          </w:tcPr>
          <w:p w14:paraId="06EDB1E9" w14:textId="77777777" w:rsidR="00C30451" w:rsidRPr="003415CC" w:rsidRDefault="00C30451" w:rsidP="00C82045">
            <w:pPr>
              <w:pStyle w:val="EBBodyPara"/>
              <w:spacing w:line="276" w:lineRule="auto"/>
              <w:jc w:val="center"/>
              <w:rPr>
                <w:b/>
              </w:rPr>
            </w:pPr>
            <w:r w:rsidRPr="003415CC">
              <w:rPr>
                <w:b/>
              </w:rPr>
              <w:t>632</w:t>
            </w:r>
          </w:p>
        </w:tc>
      </w:tr>
    </w:tbl>
    <w:p w14:paraId="09CB22AB" w14:textId="77777777" w:rsidR="00C30451" w:rsidRPr="003415CC" w:rsidRDefault="00C30451" w:rsidP="00C82045">
      <w:pPr>
        <w:pStyle w:val="EBBodyPara"/>
        <w:spacing w:line="276" w:lineRule="auto"/>
      </w:pPr>
    </w:p>
    <w:p w14:paraId="50FDACEC" w14:textId="77777777" w:rsidR="00C30451" w:rsidRPr="003415CC" w:rsidRDefault="00C30451" w:rsidP="006C5AD5">
      <w:pPr>
        <w:pStyle w:val="EBBodyPara"/>
        <w:keepNext/>
        <w:spacing w:line="276" w:lineRule="auto"/>
        <w:jc w:val="center"/>
        <w:rPr>
          <w:b/>
        </w:rPr>
      </w:pPr>
      <w:r w:rsidRPr="003415CC">
        <w:rPr>
          <w:b/>
        </w:rPr>
        <w:lastRenderedPageBreak/>
        <w:t>Table A2</w:t>
      </w:r>
    </w:p>
    <w:p w14:paraId="2EDFB96B" w14:textId="77777777" w:rsidR="00C30451" w:rsidRPr="003415CC" w:rsidRDefault="00C30451" w:rsidP="006C5AD5">
      <w:pPr>
        <w:pStyle w:val="EBBodyPara"/>
        <w:keepNext/>
        <w:spacing w:line="276" w:lineRule="auto"/>
        <w:jc w:val="center"/>
        <w:rPr>
          <w:b/>
        </w:rPr>
      </w:pPr>
      <w:r w:rsidRPr="003415CC">
        <w:rPr>
          <w:b/>
        </w:rPr>
        <w:t>Costs of reporting on their approach to anti-bribery and corruption matters in subsequent years</w:t>
      </w:r>
    </w:p>
    <w:tbl>
      <w:tblPr>
        <w:tblW w:w="7064" w:type="dxa"/>
        <w:jc w:val="center"/>
        <w:tblInd w:w="103" w:type="dxa"/>
        <w:tblLook w:val="04A0" w:firstRow="1" w:lastRow="0" w:firstColumn="1" w:lastColumn="0" w:noHBand="0" w:noVBand="1"/>
      </w:tblPr>
      <w:tblGrid>
        <w:gridCol w:w="1598"/>
        <w:gridCol w:w="1320"/>
        <w:gridCol w:w="1217"/>
        <w:gridCol w:w="1109"/>
        <w:gridCol w:w="1020"/>
        <w:gridCol w:w="960"/>
      </w:tblGrid>
      <w:tr w:rsidR="00C30451" w:rsidRPr="003415CC" w14:paraId="5C443F4D" w14:textId="77777777" w:rsidTr="00C30451">
        <w:trPr>
          <w:trHeight w:val="1104"/>
          <w:jc w:val="center"/>
        </w:trPr>
        <w:tc>
          <w:tcPr>
            <w:tcW w:w="1527"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57D915FC" w14:textId="77777777" w:rsidR="00C30451" w:rsidRPr="003415CC" w:rsidRDefault="00C30451" w:rsidP="006C5AD5">
            <w:pPr>
              <w:pStyle w:val="EBBodyPara"/>
              <w:keepNext/>
              <w:spacing w:line="276" w:lineRule="auto"/>
              <w:jc w:val="center"/>
              <w:rPr>
                <w:b/>
              </w:rPr>
            </w:pPr>
          </w:p>
        </w:tc>
        <w:tc>
          <w:tcPr>
            <w:tcW w:w="1320" w:type="dxa"/>
            <w:tcBorders>
              <w:top w:val="single" w:sz="4" w:space="0" w:color="auto"/>
              <w:left w:val="nil"/>
              <w:bottom w:val="single" w:sz="4" w:space="0" w:color="auto"/>
              <w:right w:val="single" w:sz="4" w:space="0" w:color="auto"/>
            </w:tcBorders>
            <w:shd w:val="clear" w:color="000000" w:fill="D9D9D9"/>
            <w:vAlign w:val="bottom"/>
            <w:hideMark/>
          </w:tcPr>
          <w:p w14:paraId="3E2D55C4" w14:textId="77777777" w:rsidR="00C30451" w:rsidRPr="003415CC" w:rsidRDefault="00C30451" w:rsidP="006C5AD5">
            <w:pPr>
              <w:pStyle w:val="EBBodyPara"/>
              <w:keepNext/>
              <w:spacing w:line="276" w:lineRule="auto"/>
              <w:jc w:val="center"/>
              <w:rPr>
                <w:b/>
              </w:rPr>
            </w:pPr>
            <w:r w:rsidRPr="003415CC">
              <w:rPr>
                <w:b/>
              </w:rPr>
              <w:t>Average annual time costs, those who know (hrs)</w:t>
            </w:r>
          </w:p>
        </w:tc>
        <w:tc>
          <w:tcPr>
            <w:tcW w:w="1217" w:type="dxa"/>
            <w:tcBorders>
              <w:top w:val="single" w:sz="4" w:space="0" w:color="auto"/>
              <w:left w:val="nil"/>
              <w:bottom w:val="single" w:sz="4" w:space="0" w:color="auto"/>
              <w:right w:val="single" w:sz="4" w:space="0" w:color="auto"/>
            </w:tcBorders>
            <w:shd w:val="clear" w:color="000000" w:fill="D9D9D9"/>
            <w:vAlign w:val="bottom"/>
            <w:hideMark/>
          </w:tcPr>
          <w:p w14:paraId="6C400549" w14:textId="77777777" w:rsidR="00C30451" w:rsidRPr="003415CC" w:rsidRDefault="00C30451" w:rsidP="006C5AD5">
            <w:pPr>
              <w:pStyle w:val="EBBodyPara"/>
              <w:keepNext/>
              <w:spacing w:line="276" w:lineRule="auto"/>
              <w:jc w:val="center"/>
              <w:rPr>
                <w:b/>
              </w:rPr>
            </w:pPr>
            <w:r w:rsidRPr="003415CC">
              <w:rPr>
                <w:b/>
              </w:rPr>
              <w:t>Average annual time costs, those who predict</w:t>
            </w:r>
          </w:p>
        </w:tc>
        <w:tc>
          <w:tcPr>
            <w:tcW w:w="1020" w:type="dxa"/>
            <w:tcBorders>
              <w:top w:val="single" w:sz="4" w:space="0" w:color="auto"/>
              <w:left w:val="nil"/>
              <w:bottom w:val="single" w:sz="4" w:space="0" w:color="auto"/>
              <w:right w:val="single" w:sz="4" w:space="0" w:color="auto"/>
            </w:tcBorders>
            <w:shd w:val="clear" w:color="000000" w:fill="D9D9D9"/>
            <w:vAlign w:val="bottom"/>
            <w:hideMark/>
          </w:tcPr>
          <w:p w14:paraId="6F17AD7D" w14:textId="77777777" w:rsidR="00C30451" w:rsidRPr="003415CC" w:rsidRDefault="00C30451" w:rsidP="006C5AD5">
            <w:pPr>
              <w:pStyle w:val="EBBodyPara"/>
              <w:keepNext/>
              <w:spacing w:line="276" w:lineRule="auto"/>
              <w:jc w:val="center"/>
              <w:rPr>
                <w:b/>
              </w:rPr>
            </w:pPr>
            <w:r w:rsidRPr="003415CC">
              <w:rPr>
                <w:b/>
              </w:rPr>
              <w:t>Best estimate of time costs</w:t>
            </w:r>
          </w:p>
        </w:tc>
        <w:tc>
          <w:tcPr>
            <w:tcW w:w="1020" w:type="dxa"/>
            <w:tcBorders>
              <w:top w:val="single" w:sz="4" w:space="0" w:color="auto"/>
              <w:left w:val="nil"/>
              <w:bottom w:val="single" w:sz="4" w:space="0" w:color="auto"/>
              <w:right w:val="single" w:sz="4" w:space="0" w:color="auto"/>
            </w:tcBorders>
            <w:shd w:val="clear" w:color="000000" w:fill="D9D9D9"/>
            <w:vAlign w:val="center"/>
            <w:hideMark/>
          </w:tcPr>
          <w:p w14:paraId="7A678ADE" w14:textId="77777777" w:rsidR="00C30451" w:rsidRPr="003415CC" w:rsidRDefault="00C30451" w:rsidP="006C5AD5">
            <w:pPr>
              <w:pStyle w:val="EBBodyPara"/>
              <w:keepNext/>
              <w:spacing w:line="276" w:lineRule="auto"/>
              <w:jc w:val="center"/>
              <w:rPr>
                <w:b/>
              </w:rPr>
            </w:pPr>
            <w:r w:rsidRPr="003415CC">
              <w:rPr>
                <w:b/>
              </w:rPr>
              <w:t>Total cost per hour</w:t>
            </w:r>
            <w:r w:rsidRPr="003415CC">
              <w:rPr>
                <w:b/>
              </w:rPr>
              <w:br/>
              <w:t>£</w:t>
            </w:r>
          </w:p>
        </w:tc>
        <w:tc>
          <w:tcPr>
            <w:tcW w:w="960" w:type="dxa"/>
            <w:tcBorders>
              <w:top w:val="single" w:sz="4" w:space="0" w:color="auto"/>
              <w:left w:val="nil"/>
              <w:bottom w:val="single" w:sz="4" w:space="0" w:color="auto"/>
              <w:right w:val="single" w:sz="4" w:space="0" w:color="auto"/>
            </w:tcBorders>
            <w:shd w:val="clear" w:color="000000" w:fill="D9D9D9"/>
            <w:vAlign w:val="center"/>
            <w:hideMark/>
          </w:tcPr>
          <w:p w14:paraId="71476D97" w14:textId="77777777" w:rsidR="00C30451" w:rsidRPr="003415CC" w:rsidRDefault="00C30451" w:rsidP="006C5AD5">
            <w:pPr>
              <w:pStyle w:val="EBBodyPara"/>
              <w:keepNext/>
              <w:spacing w:line="276" w:lineRule="auto"/>
              <w:jc w:val="center"/>
              <w:rPr>
                <w:b/>
              </w:rPr>
            </w:pPr>
            <w:r w:rsidRPr="003415CC">
              <w:rPr>
                <w:b/>
              </w:rPr>
              <w:t>Total cost per firm</w:t>
            </w:r>
            <w:r w:rsidRPr="003415CC">
              <w:rPr>
                <w:b/>
              </w:rPr>
              <w:br/>
              <w:t>£</w:t>
            </w:r>
          </w:p>
        </w:tc>
      </w:tr>
      <w:tr w:rsidR="00C30451" w:rsidRPr="003415CC" w14:paraId="69547A5A" w14:textId="77777777" w:rsidTr="00C30451">
        <w:trPr>
          <w:trHeight w:val="288"/>
          <w:jc w:val="center"/>
        </w:trPr>
        <w:tc>
          <w:tcPr>
            <w:tcW w:w="1527" w:type="dxa"/>
            <w:tcBorders>
              <w:top w:val="nil"/>
              <w:left w:val="single" w:sz="4" w:space="0" w:color="auto"/>
              <w:bottom w:val="single" w:sz="4" w:space="0" w:color="auto"/>
              <w:right w:val="single" w:sz="4" w:space="0" w:color="auto"/>
            </w:tcBorders>
            <w:shd w:val="clear" w:color="auto" w:fill="auto"/>
            <w:noWrap/>
            <w:vAlign w:val="bottom"/>
            <w:hideMark/>
          </w:tcPr>
          <w:p w14:paraId="413D5A25" w14:textId="77777777" w:rsidR="00C30451" w:rsidRPr="003415CC" w:rsidRDefault="00C30451" w:rsidP="006C5AD5">
            <w:pPr>
              <w:pStyle w:val="EBBodyPara"/>
              <w:keepNext/>
              <w:spacing w:line="276" w:lineRule="auto"/>
              <w:jc w:val="center"/>
            </w:pPr>
            <w:r w:rsidRPr="003415CC">
              <w:t>Director</w:t>
            </w:r>
          </w:p>
        </w:tc>
        <w:tc>
          <w:tcPr>
            <w:tcW w:w="1320" w:type="dxa"/>
            <w:tcBorders>
              <w:top w:val="nil"/>
              <w:left w:val="nil"/>
              <w:bottom w:val="single" w:sz="4" w:space="0" w:color="auto"/>
              <w:right w:val="single" w:sz="4" w:space="0" w:color="auto"/>
            </w:tcBorders>
            <w:shd w:val="clear" w:color="auto" w:fill="auto"/>
            <w:noWrap/>
            <w:vAlign w:val="bottom"/>
            <w:hideMark/>
          </w:tcPr>
          <w:p w14:paraId="69B809DE" w14:textId="77777777" w:rsidR="00C30451" w:rsidRPr="003415CC" w:rsidRDefault="00C30451" w:rsidP="006C5AD5">
            <w:pPr>
              <w:pStyle w:val="EBBodyPara"/>
              <w:keepNext/>
              <w:spacing w:line="276" w:lineRule="auto"/>
              <w:jc w:val="center"/>
            </w:pPr>
            <w:r w:rsidRPr="003415CC">
              <w:t>3</w:t>
            </w:r>
          </w:p>
        </w:tc>
        <w:tc>
          <w:tcPr>
            <w:tcW w:w="1217" w:type="dxa"/>
            <w:tcBorders>
              <w:top w:val="nil"/>
              <w:left w:val="nil"/>
              <w:bottom w:val="single" w:sz="4" w:space="0" w:color="auto"/>
              <w:right w:val="single" w:sz="4" w:space="0" w:color="auto"/>
            </w:tcBorders>
            <w:shd w:val="clear" w:color="auto" w:fill="auto"/>
            <w:noWrap/>
            <w:vAlign w:val="bottom"/>
            <w:hideMark/>
          </w:tcPr>
          <w:p w14:paraId="545F6DFA" w14:textId="77777777" w:rsidR="00C30451" w:rsidRPr="003415CC" w:rsidRDefault="00C30451" w:rsidP="006C5AD5">
            <w:pPr>
              <w:pStyle w:val="EBBodyPara"/>
              <w:keepNext/>
              <w:spacing w:line="276" w:lineRule="auto"/>
              <w:jc w:val="center"/>
            </w:pPr>
            <w:r w:rsidRPr="003415CC">
              <w:t>3</w:t>
            </w:r>
          </w:p>
        </w:tc>
        <w:tc>
          <w:tcPr>
            <w:tcW w:w="1020" w:type="dxa"/>
            <w:tcBorders>
              <w:top w:val="nil"/>
              <w:left w:val="nil"/>
              <w:bottom w:val="single" w:sz="4" w:space="0" w:color="auto"/>
              <w:right w:val="single" w:sz="4" w:space="0" w:color="auto"/>
            </w:tcBorders>
            <w:shd w:val="clear" w:color="auto" w:fill="auto"/>
            <w:noWrap/>
            <w:vAlign w:val="bottom"/>
            <w:hideMark/>
          </w:tcPr>
          <w:p w14:paraId="6C0AF1F9" w14:textId="77777777" w:rsidR="00C30451" w:rsidRPr="003415CC" w:rsidRDefault="00C30451" w:rsidP="006C5AD5">
            <w:pPr>
              <w:pStyle w:val="EBBodyPara"/>
              <w:keepNext/>
              <w:spacing w:line="276" w:lineRule="auto"/>
              <w:jc w:val="center"/>
            </w:pPr>
            <w:r w:rsidRPr="003415CC">
              <w:t>3</w:t>
            </w:r>
          </w:p>
        </w:tc>
        <w:tc>
          <w:tcPr>
            <w:tcW w:w="1020" w:type="dxa"/>
            <w:tcBorders>
              <w:top w:val="nil"/>
              <w:left w:val="nil"/>
              <w:bottom w:val="single" w:sz="4" w:space="0" w:color="auto"/>
              <w:right w:val="single" w:sz="4" w:space="0" w:color="auto"/>
            </w:tcBorders>
            <w:shd w:val="clear" w:color="auto" w:fill="auto"/>
            <w:noWrap/>
            <w:vAlign w:val="center"/>
            <w:hideMark/>
          </w:tcPr>
          <w:p w14:paraId="7AF1DBB5" w14:textId="77777777" w:rsidR="00C30451" w:rsidRPr="003415CC" w:rsidRDefault="00C30451" w:rsidP="006C5AD5">
            <w:pPr>
              <w:pStyle w:val="EBBodyPara"/>
              <w:keepNext/>
              <w:spacing w:line="276" w:lineRule="auto"/>
              <w:jc w:val="center"/>
            </w:pPr>
            <w:r w:rsidRPr="003415CC">
              <w:t>67.30</w:t>
            </w:r>
          </w:p>
        </w:tc>
        <w:tc>
          <w:tcPr>
            <w:tcW w:w="960" w:type="dxa"/>
            <w:tcBorders>
              <w:top w:val="nil"/>
              <w:left w:val="nil"/>
              <w:bottom w:val="single" w:sz="4" w:space="0" w:color="auto"/>
              <w:right w:val="single" w:sz="4" w:space="0" w:color="auto"/>
            </w:tcBorders>
            <w:shd w:val="clear" w:color="auto" w:fill="auto"/>
            <w:noWrap/>
            <w:vAlign w:val="center"/>
            <w:hideMark/>
          </w:tcPr>
          <w:p w14:paraId="2B86B181" w14:textId="77777777" w:rsidR="00C30451" w:rsidRPr="003415CC" w:rsidRDefault="00C30451" w:rsidP="006C5AD5">
            <w:pPr>
              <w:pStyle w:val="EBBodyPara"/>
              <w:keepNext/>
              <w:spacing w:line="276" w:lineRule="auto"/>
              <w:jc w:val="center"/>
            </w:pPr>
            <w:r w:rsidRPr="003415CC">
              <w:t>202</w:t>
            </w:r>
          </w:p>
        </w:tc>
      </w:tr>
      <w:tr w:rsidR="00C30451" w:rsidRPr="003415CC" w14:paraId="76F0B68D" w14:textId="77777777" w:rsidTr="00C30451">
        <w:trPr>
          <w:trHeight w:val="288"/>
          <w:jc w:val="center"/>
        </w:trPr>
        <w:tc>
          <w:tcPr>
            <w:tcW w:w="1527" w:type="dxa"/>
            <w:tcBorders>
              <w:top w:val="nil"/>
              <w:left w:val="single" w:sz="4" w:space="0" w:color="auto"/>
              <w:bottom w:val="single" w:sz="4" w:space="0" w:color="auto"/>
              <w:right w:val="single" w:sz="4" w:space="0" w:color="auto"/>
            </w:tcBorders>
            <w:shd w:val="clear" w:color="auto" w:fill="auto"/>
            <w:noWrap/>
            <w:vAlign w:val="bottom"/>
            <w:hideMark/>
          </w:tcPr>
          <w:p w14:paraId="68E6BC63" w14:textId="77777777" w:rsidR="00C30451" w:rsidRPr="003415CC" w:rsidRDefault="00C30451" w:rsidP="006C5AD5">
            <w:pPr>
              <w:pStyle w:val="EBBodyPara"/>
              <w:keepNext/>
              <w:spacing w:line="276" w:lineRule="auto"/>
              <w:jc w:val="center"/>
            </w:pPr>
            <w:r w:rsidRPr="003415CC">
              <w:t>Professional</w:t>
            </w:r>
          </w:p>
        </w:tc>
        <w:tc>
          <w:tcPr>
            <w:tcW w:w="1320" w:type="dxa"/>
            <w:tcBorders>
              <w:top w:val="nil"/>
              <w:left w:val="nil"/>
              <w:bottom w:val="single" w:sz="4" w:space="0" w:color="auto"/>
              <w:right w:val="single" w:sz="4" w:space="0" w:color="auto"/>
            </w:tcBorders>
            <w:shd w:val="clear" w:color="auto" w:fill="auto"/>
            <w:noWrap/>
            <w:vAlign w:val="bottom"/>
            <w:hideMark/>
          </w:tcPr>
          <w:p w14:paraId="76D61F2B" w14:textId="77777777" w:rsidR="00C30451" w:rsidRPr="003415CC" w:rsidRDefault="00C30451" w:rsidP="006C5AD5">
            <w:pPr>
              <w:pStyle w:val="EBBodyPara"/>
              <w:keepNext/>
              <w:spacing w:line="276" w:lineRule="auto"/>
              <w:jc w:val="center"/>
            </w:pPr>
            <w:r w:rsidRPr="003415CC">
              <w:t>7</w:t>
            </w:r>
          </w:p>
        </w:tc>
        <w:tc>
          <w:tcPr>
            <w:tcW w:w="1217" w:type="dxa"/>
            <w:tcBorders>
              <w:top w:val="nil"/>
              <w:left w:val="nil"/>
              <w:bottom w:val="single" w:sz="4" w:space="0" w:color="auto"/>
              <w:right w:val="single" w:sz="4" w:space="0" w:color="auto"/>
            </w:tcBorders>
            <w:shd w:val="clear" w:color="auto" w:fill="auto"/>
            <w:noWrap/>
            <w:vAlign w:val="bottom"/>
            <w:hideMark/>
          </w:tcPr>
          <w:p w14:paraId="0F76A278" w14:textId="77777777" w:rsidR="00C30451" w:rsidRPr="003415CC" w:rsidRDefault="00C30451" w:rsidP="006C5AD5">
            <w:pPr>
              <w:pStyle w:val="EBBodyPara"/>
              <w:keepNext/>
              <w:spacing w:line="276" w:lineRule="auto"/>
              <w:jc w:val="center"/>
            </w:pPr>
            <w:r w:rsidRPr="003415CC">
              <w:t>4.5</w:t>
            </w:r>
          </w:p>
        </w:tc>
        <w:tc>
          <w:tcPr>
            <w:tcW w:w="1020" w:type="dxa"/>
            <w:tcBorders>
              <w:top w:val="nil"/>
              <w:left w:val="nil"/>
              <w:bottom w:val="single" w:sz="4" w:space="0" w:color="auto"/>
              <w:right w:val="single" w:sz="4" w:space="0" w:color="auto"/>
            </w:tcBorders>
            <w:shd w:val="clear" w:color="auto" w:fill="auto"/>
            <w:noWrap/>
            <w:vAlign w:val="bottom"/>
            <w:hideMark/>
          </w:tcPr>
          <w:p w14:paraId="55439402" w14:textId="77777777" w:rsidR="00C30451" w:rsidRPr="003415CC" w:rsidRDefault="00C30451" w:rsidP="006C5AD5">
            <w:pPr>
              <w:pStyle w:val="EBBodyPara"/>
              <w:keepNext/>
              <w:spacing w:line="276" w:lineRule="auto"/>
              <w:jc w:val="center"/>
            </w:pPr>
            <w:r w:rsidRPr="003415CC">
              <w:t>5.75</w:t>
            </w:r>
          </w:p>
        </w:tc>
        <w:tc>
          <w:tcPr>
            <w:tcW w:w="1020" w:type="dxa"/>
            <w:tcBorders>
              <w:top w:val="nil"/>
              <w:left w:val="nil"/>
              <w:bottom w:val="single" w:sz="4" w:space="0" w:color="auto"/>
              <w:right w:val="single" w:sz="4" w:space="0" w:color="auto"/>
            </w:tcBorders>
            <w:shd w:val="clear" w:color="auto" w:fill="auto"/>
            <w:noWrap/>
            <w:vAlign w:val="center"/>
            <w:hideMark/>
          </w:tcPr>
          <w:p w14:paraId="1C91F655" w14:textId="77777777" w:rsidR="00C30451" w:rsidRPr="003415CC" w:rsidRDefault="00C30451" w:rsidP="006C5AD5">
            <w:pPr>
              <w:pStyle w:val="EBBodyPara"/>
              <w:keepNext/>
              <w:spacing w:line="276" w:lineRule="auto"/>
              <w:jc w:val="center"/>
            </w:pPr>
            <w:r w:rsidRPr="003415CC">
              <w:t>29.95</w:t>
            </w:r>
          </w:p>
        </w:tc>
        <w:tc>
          <w:tcPr>
            <w:tcW w:w="960" w:type="dxa"/>
            <w:tcBorders>
              <w:top w:val="nil"/>
              <w:left w:val="nil"/>
              <w:bottom w:val="single" w:sz="4" w:space="0" w:color="auto"/>
              <w:right w:val="single" w:sz="4" w:space="0" w:color="auto"/>
            </w:tcBorders>
            <w:shd w:val="clear" w:color="auto" w:fill="auto"/>
            <w:noWrap/>
            <w:vAlign w:val="center"/>
            <w:hideMark/>
          </w:tcPr>
          <w:p w14:paraId="26A3DA0C" w14:textId="77777777" w:rsidR="00C30451" w:rsidRPr="003415CC" w:rsidRDefault="00C30451" w:rsidP="006C5AD5">
            <w:pPr>
              <w:pStyle w:val="EBBodyPara"/>
              <w:keepNext/>
              <w:spacing w:line="276" w:lineRule="auto"/>
              <w:jc w:val="center"/>
            </w:pPr>
            <w:r w:rsidRPr="003415CC">
              <w:t>172</w:t>
            </w:r>
          </w:p>
        </w:tc>
      </w:tr>
      <w:tr w:rsidR="00C30451" w:rsidRPr="003415CC" w14:paraId="54D19F06" w14:textId="77777777" w:rsidTr="00C30451">
        <w:trPr>
          <w:trHeight w:val="288"/>
          <w:jc w:val="center"/>
        </w:trPr>
        <w:tc>
          <w:tcPr>
            <w:tcW w:w="1527" w:type="dxa"/>
            <w:tcBorders>
              <w:top w:val="nil"/>
              <w:left w:val="single" w:sz="4" w:space="0" w:color="auto"/>
              <w:bottom w:val="single" w:sz="4" w:space="0" w:color="auto"/>
              <w:right w:val="single" w:sz="4" w:space="0" w:color="auto"/>
            </w:tcBorders>
            <w:shd w:val="clear" w:color="auto" w:fill="auto"/>
            <w:noWrap/>
            <w:vAlign w:val="bottom"/>
            <w:hideMark/>
          </w:tcPr>
          <w:p w14:paraId="0B984845" w14:textId="77777777" w:rsidR="00C30451" w:rsidRPr="003415CC" w:rsidRDefault="00C30451" w:rsidP="006C5AD5">
            <w:pPr>
              <w:pStyle w:val="EBBodyPara"/>
              <w:keepNext/>
              <w:spacing w:line="276" w:lineRule="auto"/>
              <w:jc w:val="center"/>
            </w:pPr>
            <w:r w:rsidRPr="003415CC">
              <w:t>Administrative</w:t>
            </w:r>
          </w:p>
        </w:tc>
        <w:tc>
          <w:tcPr>
            <w:tcW w:w="1320" w:type="dxa"/>
            <w:tcBorders>
              <w:top w:val="nil"/>
              <w:left w:val="nil"/>
              <w:bottom w:val="single" w:sz="4" w:space="0" w:color="auto"/>
              <w:right w:val="single" w:sz="4" w:space="0" w:color="auto"/>
            </w:tcBorders>
            <w:shd w:val="clear" w:color="auto" w:fill="auto"/>
            <w:noWrap/>
            <w:vAlign w:val="bottom"/>
            <w:hideMark/>
          </w:tcPr>
          <w:p w14:paraId="6C193B15" w14:textId="77777777" w:rsidR="00C30451" w:rsidRPr="003415CC" w:rsidRDefault="00C30451" w:rsidP="006C5AD5">
            <w:pPr>
              <w:pStyle w:val="EBBodyPara"/>
              <w:keepNext/>
              <w:spacing w:line="276" w:lineRule="auto"/>
              <w:jc w:val="center"/>
            </w:pPr>
            <w:r w:rsidRPr="003415CC">
              <w:t>0</w:t>
            </w:r>
          </w:p>
        </w:tc>
        <w:tc>
          <w:tcPr>
            <w:tcW w:w="1217" w:type="dxa"/>
            <w:tcBorders>
              <w:top w:val="nil"/>
              <w:left w:val="nil"/>
              <w:bottom w:val="single" w:sz="4" w:space="0" w:color="auto"/>
              <w:right w:val="single" w:sz="4" w:space="0" w:color="auto"/>
            </w:tcBorders>
            <w:shd w:val="clear" w:color="auto" w:fill="auto"/>
            <w:noWrap/>
            <w:vAlign w:val="bottom"/>
            <w:hideMark/>
          </w:tcPr>
          <w:p w14:paraId="1EFC816D" w14:textId="77777777" w:rsidR="00C30451" w:rsidRPr="003415CC" w:rsidRDefault="00C30451" w:rsidP="006C5AD5">
            <w:pPr>
              <w:pStyle w:val="EBBodyPara"/>
              <w:keepNext/>
              <w:spacing w:line="276" w:lineRule="auto"/>
              <w:jc w:val="center"/>
            </w:pPr>
            <w:r w:rsidRPr="003415CC">
              <w:t>7</w:t>
            </w:r>
          </w:p>
        </w:tc>
        <w:tc>
          <w:tcPr>
            <w:tcW w:w="1020" w:type="dxa"/>
            <w:tcBorders>
              <w:top w:val="nil"/>
              <w:left w:val="nil"/>
              <w:bottom w:val="single" w:sz="4" w:space="0" w:color="auto"/>
              <w:right w:val="single" w:sz="4" w:space="0" w:color="auto"/>
            </w:tcBorders>
            <w:shd w:val="clear" w:color="auto" w:fill="auto"/>
            <w:noWrap/>
            <w:vAlign w:val="bottom"/>
            <w:hideMark/>
          </w:tcPr>
          <w:p w14:paraId="57FE028C" w14:textId="77777777" w:rsidR="00C30451" w:rsidRPr="003415CC" w:rsidRDefault="00C30451" w:rsidP="006C5AD5">
            <w:pPr>
              <w:pStyle w:val="EBBodyPara"/>
              <w:keepNext/>
              <w:spacing w:line="276" w:lineRule="auto"/>
              <w:jc w:val="center"/>
            </w:pPr>
            <w:r w:rsidRPr="003415CC">
              <w:t>3.5</w:t>
            </w:r>
          </w:p>
        </w:tc>
        <w:tc>
          <w:tcPr>
            <w:tcW w:w="1020" w:type="dxa"/>
            <w:tcBorders>
              <w:top w:val="nil"/>
              <w:left w:val="nil"/>
              <w:bottom w:val="single" w:sz="4" w:space="0" w:color="auto"/>
              <w:right w:val="single" w:sz="4" w:space="0" w:color="auto"/>
            </w:tcBorders>
            <w:shd w:val="clear" w:color="auto" w:fill="auto"/>
            <w:noWrap/>
            <w:vAlign w:val="center"/>
            <w:hideMark/>
          </w:tcPr>
          <w:p w14:paraId="46B4876E" w14:textId="77777777" w:rsidR="00C30451" w:rsidRPr="003415CC" w:rsidRDefault="00C30451" w:rsidP="006C5AD5">
            <w:pPr>
              <w:pStyle w:val="EBBodyPara"/>
              <w:keepNext/>
              <w:spacing w:line="276" w:lineRule="auto"/>
              <w:jc w:val="center"/>
            </w:pPr>
            <w:r w:rsidRPr="003415CC">
              <w:t>15.71</w:t>
            </w:r>
          </w:p>
        </w:tc>
        <w:tc>
          <w:tcPr>
            <w:tcW w:w="960" w:type="dxa"/>
            <w:tcBorders>
              <w:top w:val="nil"/>
              <w:left w:val="nil"/>
              <w:bottom w:val="single" w:sz="4" w:space="0" w:color="auto"/>
              <w:right w:val="single" w:sz="4" w:space="0" w:color="auto"/>
            </w:tcBorders>
            <w:shd w:val="clear" w:color="auto" w:fill="auto"/>
            <w:noWrap/>
            <w:vAlign w:val="center"/>
            <w:hideMark/>
          </w:tcPr>
          <w:p w14:paraId="16BC673F" w14:textId="77777777" w:rsidR="00C30451" w:rsidRPr="003415CC" w:rsidRDefault="00C30451" w:rsidP="006C5AD5">
            <w:pPr>
              <w:pStyle w:val="EBBodyPara"/>
              <w:keepNext/>
              <w:spacing w:line="276" w:lineRule="auto"/>
              <w:jc w:val="center"/>
            </w:pPr>
            <w:r w:rsidRPr="003415CC">
              <w:t>55</w:t>
            </w:r>
          </w:p>
        </w:tc>
      </w:tr>
      <w:tr w:rsidR="00C30451" w:rsidRPr="003415CC" w14:paraId="47406A01" w14:textId="77777777" w:rsidTr="00C30451">
        <w:trPr>
          <w:trHeight w:val="288"/>
          <w:jc w:val="center"/>
        </w:trPr>
        <w:tc>
          <w:tcPr>
            <w:tcW w:w="1527" w:type="dxa"/>
            <w:tcBorders>
              <w:top w:val="nil"/>
              <w:left w:val="single" w:sz="4" w:space="0" w:color="auto"/>
              <w:bottom w:val="single" w:sz="4" w:space="0" w:color="auto"/>
              <w:right w:val="single" w:sz="4" w:space="0" w:color="auto"/>
            </w:tcBorders>
            <w:shd w:val="clear" w:color="auto" w:fill="auto"/>
            <w:noWrap/>
            <w:vAlign w:val="bottom"/>
            <w:hideMark/>
          </w:tcPr>
          <w:p w14:paraId="08CE796E" w14:textId="77777777" w:rsidR="00C30451" w:rsidRPr="003415CC" w:rsidRDefault="00C30451" w:rsidP="00C82045">
            <w:pPr>
              <w:pStyle w:val="EBBodyPara"/>
              <w:spacing w:line="276" w:lineRule="auto"/>
              <w:jc w:val="center"/>
              <w:rPr>
                <w:b/>
              </w:rPr>
            </w:pPr>
            <w:r w:rsidRPr="003415CC">
              <w:rPr>
                <w:b/>
              </w:rPr>
              <w:t>Total cost</w:t>
            </w:r>
          </w:p>
        </w:tc>
        <w:tc>
          <w:tcPr>
            <w:tcW w:w="1320" w:type="dxa"/>
            <w:tcBorders>
              <w:top w:val="nil"/>
              <w:left w:val="nil"/>
              <w:bottom w:val="single" w:sz="4" w:space="0" w:color="auto"/>
              <w:right w:val="single" w:sz="4" w:space="0" w:color="auto"/>
            </w:tcBorders>
            <w:shd w:val="clear" w:color="auto" w:fill="auto"/>
            <w:noWrap/>
            <w:vAlign w:val="bottom"/>
            <w:hideMark/>
          </w:tcPr>
          <w:p w14:paraId="7415390A" w14:textId="77777777" w:rsidR="00C30451" w:rsidRPr="003415CC" w:rsidRDefault="00C30451" w:rsidP="00C82045">
            <w:pPr>
              <w:pStyle w:val="EBBodyPara"/>
              <w:spacing w:line="276" w:lineRule="auto"/>
              <w:jc w:val="center"/>
            </w:pPr>
          </w:p>
        </w:tc>
        <w:tc>
          <w:tcPr>
            <w:tcW w:w="1217" w:type="dxa"/>
            <w:tcBorders>
              <w:top w:val="nil"/>
              <w:left w:val="nil"/>
              <w:bottom w:val="single" w:sz="4" w:space="0" w:color="auto"/>
              <w:right w:val="single" w:sz="4" w:space="0" w:color="auto"/>
            </w:tcBorders>
            <w:shd w:val="clear" w:color="auto" w:fill="auto"/>
            <w:noWrap/>
            <w:vAlign w:val="bottom"/>
            <w:hideMark/>
          </w:tcPr>
          <w:p w14:paraId="6D3A2ACB" w14:textId="77777777" w:rsidR="00C30451" w:rsidRPr="003415CC" w:rsidRDefault="00C30451" w:rsidP="00C82045">
            <w:pPr>
              <w:pStyle w:val="EBBodyPara"/>
              <w:spacing w:line="276" w:lineRule="auto"/>
              <w:jc w:val="center"/>
            </w:pPr>
          </w:p>
        </w:tc>
        <w:tc>
          <w:tcPr>
            <w:tcW w:w="1020" w:type="dxa"/>
            <w:tcBorders>
              <w:top w:val="nil"/>
              <w:left w:val="nil"/>
              <w:bottom w:val="single" w:sz="4" w:space="0" w:color="auto"/>
              <w:right w:val="single" w:sz="4" w:space="0" w:color="auto"/>
            </w:tcBorders>
            <w:shd w:val="clear" w:color="auto" w:fill="auto"/>
            <w:noWrap/>
            <w:vAlign w:val="bottom"/>
            <w:hideMark/>
          </w:tcPr>
          <w:p w14:paraId="6B8898D1" w14:textId="77777777" w:rsidR="00C30451" w:rsidRPr="003415CC" w:rsidRDefault="00C30451" w:rsidP="00C82045">
            <w:pPr>
              <w:pStyle w:val="EBBodyPara"/>
              <w:spacing w:line="276" w:lineRule="auto"/>
              <w:jc w:val="center"/>
            </w:pPr>
          </w:p>
        </w:tc>
        <w:tc>
          <w:tcPr>
            <w:tcW w:w="1020" w:type="dxa"/>
            <w:tcBorders>
              <w:top w:val="nil"/>
              <w:left w:val="nil"/>
              <w:bottom w:val="single" w:sz="4" w:space="0" w:color="auto"/>
              <w:right w:val="single" w:sz="4" w:space="0" w:color="auto"/>
            </w:tcBorders>
            <w:shd w:val="clear" w:color="auto" w:fill="auto"/>
            <w:noWrap/>
            <w:vAlign w:val="bottom"/>
            <w:hideMark/>
          </w:tcPr>
          <w:p w14:paraId="725B797E" w14:textId="77777777" w:rsidR="00C30451" w:rsidRPr="003415CC" w:rsidRDefault="00C30451" w:rsidP="00C82045">
            <w:pPr>
              <w:pStyle w:val="EBBodyPara"/>
              <w:spacing w:line="276" w:lineRule="auto"/>
              <w:jc w:val="center"/>
            </w:pPr>
          </w:p>
        </w:tc>
        <w:tc>
          <w:tcPr>
            <w:tcW w:w="960" w:type="dxa"/>
            <w:tcBorders>
              <w:top w:val="nil"/>
              <w:left w:val="nil"/>
              <w:bottom w:val="single" w:sz="4" w:space="0" w:color="auto"/>
              <w:right w:val="single" w:sz="4" w:space="0" w:color="auto"/>
            </w:tcBorders>
            <w:shd w:val="clear" w:color="auto" w:fill="auto"/>
            <w:noWrap/>
            <w:vAlign w:val="bottom"/>
            <w:hideMark/>
          </w:tcPr>
          <w:p w14:paraId="3A50C272" w14:textId="77777777" w:rsidR="00C30451" w:rsidRPr="003415CC" w:rsidRDefault="00C30451" w:rsidP="00C82045">
            <w:pPr>
              <w:pStyle w:val="EBBodyPara"/>
              <w:spacing w:line="276" w:lineRule="auto"/>
              <w:jc w:val="center"/>
              <w:rPr>
                <w:b/>
              </w:rPr>
            </w:pPr>
            <w:r w:rsidRPr="003415CC">
              <w:rPr>
                <w:b/>
              </w:rPr>
              <w:t>429</w:t>
            </w:r>
          </w:p>
        </w:tc>
      </w:tr>
    </w:tbl>
    <w:p w14:paraId="0D2F72FF" w14:textId="77777777" w:rsidR="00C30451" w:rsidRPr="003415CC" w:rsidRDefault="00C30451" w:rsidP="00C82045">
      <w:pPr>
        <w:pStyle w:val="EBBodyPara"/>
        <w:spacing w:line="276" w:lineRule="auto"/>
      </w:pPr>
    </w:p>
    <w:p w14:paraId="705B50D0" w14:textId="77777777" w:rsidR="00C30451" w:rsidRPr="003415CC" w:rsidRDefault="00C30451" w:rsidP="00C82045">
      <w:pPr>
        <w:pStyle w:val="EBBodyPara"/>
        <w:keepNext/>
        <w:spacing w:line="276" w:lineRule="auto"/>
        <w:jc w:val="center"/>
        <w:rPr>
          <w:b/>
        </w:rPr>
      </w:pPr>
      <w:r w:rsidRPr="003415CC">
        <w:rPr>
          <w:b/>
        </w:rPr>
        <w:t>Table A3</w:t>
      </w:r>
    </w:p>
    <w:p w14:paraId="7A3833E5" w14:textId="77777777" w:rsidR="00C30451" w:rsidRPr="003415CC" w:rsidRDefault="00C30451" w:rsidP="00C82045">
      <w:pPr>
        <w:pStyle w:val="EBBodyPara"/>
        <w:keepNext/>
        <w:spacing w:line="276" w:lineRule="auto"/>
        <w:jc w:val="center"/>
        <w:rPr>
          <w:b/>
        </w:rPr>
      </w:pPr>
      <w:r w:rsidRPr="003415CC">
        <w:rPr>
          <w:b/>
        </w:rPr>
        <w:t xml:space="preserve">Costs in the first year of reporting on their </w:t>
      </w:r>
      <w:r w:rsidR="00E62C3D">
        <w:rPr>
          <w:b/>
        </w:rPr>
        <w:t>d</w:t>
      </w:r>
      <w:r w:rsidRPr="003415CC">
        <w:rPr>
          <w:b/>
        </w:rPr>
        <w:t xml:space="preserve">iversity </w:t>
      </w:r>
      <w:r w:rsidR="00E62C3D">
        <w:rPr>
          <w:b/>
        </w:rPr>
        <w:t>p</w:t>
      </w:r>
      <w:r w:rsidRPr="003415CC">
        <w:rPr>
          <w:b/>
        </w:rPr>
        <w:t>olicy</w:t>
      </w:r>
    </w:p>
    <w:tbl>
      <w:tblPr>
        <w:tblW w:w="5127" w:type="dxa"/>
        <w:jc w:val="center"/>
        <w:tblInd w:w="103" w:type="dxa"/>
        <w:tblLook w:val="04A0" w:firstRow="1" w:lastRow="0" w:firstColumn="1" w:lastColumn="0" w:noHBand="0" w:noVBand="1"/>
      </w:tblPr>
      <w:tblGrid>
        <w:gridCol w:w="1598"/>
        <w:gridCol w:w="1180"/>
        <w:gridCol w:w="1120"/>
        <w:gridCol w:w="1420"/>
      </w:tblGrid>
      <w:tr w:rsidR="00C30451" w:rsidRPr="003415CC" w14:paraId="03E223F4" w14:textId="77777777" w:rsidTr="00C30451">
        <w:trPr>
          <w:trHeight w:val="1104"/>
          <w:jc w:val="center"/>
        </w:trPr>
        <w:tc>
          <w:tcPr>
            <w:tcW w:w="1407"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592BCD74" w14:textId="77777777" w:rsidR="00C30451" w:rsidRPr="003415CC" w:rsidRDefault="00C30451" w:rsidP="00C82045">
            <w:pPr>
              <w:pStyle w:val="EBBodyPara"/>
              <w:keepNext/>
              <w:spacing w:line="276" w:lineRule="auto"/>
              <w:jc w:val="center"/>
              <w:rPr>
                <w:b/>
              </w:rPr>
            </w:pPr>
            <w:r w:rsidRPr="003415CC">
              <w:rPr>
                <w:b/>
              </w:rPr>
              <w:t>Quoted companies level of Staff</w:t>
            </w:r>
          </w:p>
        </w:tc>
        <w:tc>
          <w:tcPr>
            <w:tcW w:w="1180" w:type="dxa"/>
            <w:tcBorders>
              <w:top w:val="single" w:sz="4" w:space="0" w:color="auto"/>
              <w:left w:val="nil"/>
              <w:bottom w:val="single" w:sz="4" w:space="0" w:color="auto"/>
              <w:right w:val="single" w:sz="4" w:space="0" w:color="auto"/>
            </w:tcBorders>
            <w:shd w:val="clear" w:color="000000" w:fill="D9D9D9"/>
            <w:vAlign w:val="center"/>
            <w:hideMark/>
          </w:tcPr>
          <w:p w14:paraId="0075BF53" w14:textId="77777777" w:rsidR="00C30451" w:rsidRPr="003415CC" w:rsidRDefault="00C30451" w:rsidP="00C82045">
            <w:pPr>
              <w:pStyle w:val="EBBodyPara"/>
              <w:keepNext/>
              <w:spacing w:line="276" w:lineRule="auto"/>
              <w:jc w:val="center"/>
              <w:rPr>
                <w:b/>
              </w:rPr>
            </w:pPr>
            <w:r w:rsidRPr="003415CC">
              <w:rPr>
                <w:b/>
              </w:rPr>
              <w:t>Average annual time costs (hours)</w:t>
            </w:r>
          </w:p>
        </w:tc>
        <w:tc>
          <w:tcPr>
            <w:tcW w:w="1120" w:type="dxa"/>
            <w:tcBorders>
              <w:top w:val="single" w:sz="4" w:space="0" w:color="auto"/>
              <w:left w:val="nil"/>
              <w:bottom w:val="single" w:sz="4" w:space="0" w:color="auto"/>
              <w:right w:val="single" w:sz="4" w:space="0" w:color="auto"/>
            </w:tcBorders>
            <w:shd w:val="clear" w:color="000000" w:fill="D9D9D9"/>
            <w:vAlign w:val="center"/>
            <w:hideMark/>
          </w:tcPr>
          <w:p w14:paraId="40398102" w14:textId="77777777" w:rsidR="00C30451" w:rsidRPr="003415CC" w:rsidRDefault="00C30451" w:rsidP="00C82045">
            <w:pPr>
              <w:pStyle w:val="EBBodyPara"/>
              <w:keepNext/>
              <w:spacing w:line="276" w:lineRule="auto"/>
              <w:jc w:val="center"/>
              <w:rPr>
                <w:b/>
              </w:rPr>
            </w:pPr>
            <w:r w:rsidRPr="003415CC">
              <w:rPr>
                <w:b/>
              </w:rPr>
              <w:t>Total cost per hour</w:t>
            </w:r>
            <w:r w:rsidRPr="003415CC">
              <w:rPr>
                <w:b/>
              </w:rPr>
              <w:br/>
              <w:t>£</w:t>
            </w:r>
          </w:p>
        </w:tc>
        <w:tc>
          <w:tcPr>
            <w:tcW w:w="1420" w:type="dxa"/>
            <w:tcBorders>
              <w:top w:val="single" w:sz="4" w:space="0" w:color="auto"/>
              <w:left w:val="nil"/>
              <w:bottom w:val="single" w:sz="4" w:space="0" w:color="auto"/>
              <w:right w:val="single" w:sz="4" w:space="0" w:color="auto"/>
            </w:tcBorders>
            <w:shd w:val="clear" w:color="000000" w:fill="D9D9D9"/>
            <w:vAlign w:val="center"/>
            <w:hideMark/>
          </w:tcPr>
          <w:p w14:paraId="791709DC" w14:textId="77777777" w:rsidR="00C30451" w:rsidRPr="003415CC" w:rsidRDefault="00C30451" w:rsidP="00C82045">
            <w:pPr>
              <w:pStyle w:val="EBBodyPara"/>
              <w:keepNext/>
              <w:spacing w:line="276" w:lineRule="auto"/>
              <w:jc w:val="center"/>
              <w:rPr>
                <w:b/>
              </w:rPr>
            </w:pPr>
            <w:r w:rsidRPr="003415CC">
              <w:rPr>
                <w:b/>
              </w:rPr>
              <w:t>Total cost per firm</w:t>
            </w:r>
            <w:r w:rsidRPr="003415CC">
              <w:rPr>
                <w:b/>
              </w:rPr>
              <w:br/>
              <w:t>£</w:t>
            </w:r>
          </w:p>
        </w:tc>
      </w:tr>
      <w:tr w:rsidR="00C30451" w:rsidRPr="003415CC" w14:paraId="46DB126F" w14:textId="77777777" w:rsidTr="00C30451">
        <w:trPr>
          <w:trHeight w:val="288"/>
          <w:jc w:val="center"/>
        </w:trPr>
        <w:tc>
          <w:tcPr>
            <w:tcW w:w="1407" w:type="dxa"/>
            <w:tcBorders>
              <w:top w:val="nil"/>
              <w:left w:val="single" w:sz="4" w:space="0" w:color="auto"/>
              <w:bottom w:val="single" w:sz="4" w:space="0" w:color="auto"/>
              <w:right w:val="single" w:sz="4" w:space="0" w:color="auto"/>
            </w:tcBorders>
            <w:shd w:val="clear" w:color="auto" w:fill="auto"/>
            <w:noWrap/>
            <w:vAlign w:val="bottom"/>
            <w:hideMark/>
          </w:tcPr>
          <w:p w14:paraId="1589F1D4" w14:textId="77777777" w:rsidR="00C30451" w:rsidRPr="003415CC" w:rsidRDefault="00C30451" w:rsidP="00C82045">
            <w:pPr>
              <w:pStyle w:val="EBBodyPara"/>
              <w:keepNext/>
              <w:spacing w:line="276" w:lineRule="auto"/>
              <w:jc w:val="center"/>
            </w:pPr>
            <w:r w:rsidRPr="003415CC">
              <w:t>Director</w:t>
            </w:r>
          </w:p>
        </w:tc>
        <w:tc>
          <w:tcPr>
            <w:tcW w:w="1180" w:type="dxa"/>
            <w:tcBorders>
              <w:top w:val="nil"/>
              <w:left w:val="nil"/>
              <w:bottom w:val="single" w:sz="4" w:space="0" w:color="auto"/>
              <w:right w:val="single" w:sz="4" w:space="0" w:color="auto"/>
            </w:tcBorders>
            <w:shd w:val="clear" w:color="auto" w:fill="auto"/>
            <w:noWrap/>
            <w:vAlign w:val="center"/>
            <w:hideMark/>
          </w:tcPr>
          <w:p w14:paraId="680F0F9B" w14:textId="77777777" w:rsidR="00C30451" w:rsidRPr="003415CC" w:rsidRDefault="00C30451" w:rsidP="00C82045">
            <w:pPr>
              <w:pStyle w:val="EBBodyPara"/>
              <w:keepNext/>
              <w:spacing w:line="276" w:lineRule="auto"/>
              <w:jc w:val="center"/>
            </w:pPr>
            <w:r w:rsidRPr="003415CC">
              <w:t>6</w:t>
            </w:r>
          </w:p>
        </w:tc>
        <w:tc>
          <w:tcPr>
            <w:tcW w:w="1120" w:type="dxa"/>
            <w:tcBorders>
              <w:top w:val="nil"/>
              <w:left w:val="nil"/>
              <w:bottom w:val="single" w:sz="4" w:space="0" w:color="auto"/>
              <w:right w:val="single" w:sz="4" w:space="0" w:color="auto"/>
            </w:tcBorders>
            <w:shd w:val="clear" w:color="auto" w:fill="auto"/>
            <w:noWrap/>
            <w:vAlign w:val="center"/>
            <w:hideMark/>
          </w:tcPr>
          <w:p w14:paraId="24D692FD" w14:textId="77777777" w:rsidR="00C30451" w:rsidRPr="003415CC" w:rsidRDefault="00C30451" w:rsidP="00C82045">
            <w:pPr>
              <w:pStyle w:val="EBBodyPara"/>
              <w:keepNext/>
              <w:spacing w:line="276" w:lineRule="auto"/>
              <w:jc w:val="center"/>
            </w:pPr>
            <w:r w:rsidRPr="003415CC">
              <w:t>67.30</w:t>
            </w:r>
          </w:p>
        </w:tc>
        <w:tc>
          <w:tcPr>
            <w:tcW w:w="1420" w:type="dxa"/>
            <w:tcBorders>
              <w:top w:val="nil"/>
              <w:left w:val="nil"/>
              <w:bottom w:val="single" w:sz="4" w:space="0" w:color="auto"/>
              <w:right w:val="single" w:sz="4" w:space="0" w:color="auto"/>
            </w:tcBorders>
            <w:shd w:val="clear" w:color="auto" w:fill="auto"/>
            <w:noWrap/>
            <w:vAlign w:val="center"/>
            <w:hideMark/>
          </w:tcPr>
          <w:p w14:paraId="56D1BA0B" w14:textId="77777777" w:rsidR="00C30451" w:rsidRPr="003415CC" w:rsidRDefault="00C30451" w:rsidP="00C82045">
            <w:pPr>
              <w:pStyle w:val="EBBodyPara"/>
              <w:keepNext/>
              <w:spacing w:line="276" w:lineRule="auto"/>
              <w:jc w:val="center"/>
            </w:pPr>
            <w:r w:rsidRPr="003415CC">
              <w:t>404</w:t>
            </w:r>
          </w:p>
        </w:tc>
      </w:tr>
      <w:tr w:rsidR="00C30451" w:rsidRPr="003415CC" w14:paraId="0FEAB760" w14:textId="77777777" w:rsidTr="00C30451">
        <w:trPr>
          <w:trHeight w:val="288"/>
          <w:jc w:val="center"/>
        </w:trPr>
        <w:tc>
          <w:tcPr>
            <w:tcW w:w="1407" w:type="dxa"/>
            <w:tcBorders>
              <w:top w:val="nil"/>
              <w:left w:val="single" w:sz="4" w:space="0" w:color="auto"/>
              <w:bottom w:val="single" w:sz="4" w:space="0" w:color="auto"/>
              <w:right w:val="single" w:sz="4" w:space="0" w:color="auto"/>
            </w:tcBorders>
            <w:shd w:val="clear" w:color="auto" w:fill="auto"/>
            <w:noWrap/>
            <w:vAlign w:val="bottom"/>
            <w:hideMark/>
          </w:tcPr>
          <w:p w14:paraId="5D5F0F61" w14:textId="77777777" w:rsidR="00C30451" w:rsidRPr="003415CC" w:rsidRDefault="00C30451" w:rsidP="00C82045">
            <w:pPr>
              <w:pStyle w:val="EBBodyPara"/>
              <w:keepNext/>
              <w:spacing w:line="276" w:lineRule="auto"/>
              <w:jc w:val="center"/>
            </w:pPr>
            <w:r w:rsidRPr="003415CC">
              <w:t>Professional</w:t>
            </w:r>
          </w:p>
        </w:tc>
        <w:tc>
          <w:tcPr>
            <w:tcW w:w="1180" w:type="dxa"/>
            <w:tcBorders>
              <w:top w:val="nil"/>
              <w:left w:val="nil"/>
              <w:bottom w:val="single" w:sz="4" w:space="0" w:color="auto"/>
              <w:right w:val="single" w:sz="4" w:space="0" w:color="auto"/>
            </w:tcBorders>
            <w:shd w:val="clear" w:color="auto" w:fill="auto"/>
            <w:noWrap/>
            <w:vAlign w:val="center"/>
            <w:hideMark/>
          </w:tcPr>
          <w:p w14:paraId="22DDDB06" w14:textId="77777777" w:rsidR="00C30451" w:rsidRPr="003415CC" w:rsidRDefault="00C30451" w:rsidP="00C82045">
            <w:pPr>
              <w:pStyle w:val="EBBodyPara"/>
              <w:keepNext/>
              <w:spacing w:line="276" w:lineRule="auto"/>
              <w:jc w:val="center"/>
            </w:pPr>
            <w:r w:rsidRPr="003415CC">
              <w:t>12</w:t>
            </w:r>
          </w:p>
        </w:tc>
        <w:tc>
          <w:tcPr>
            <w:tcW w:w="1120" w:type="dxa"/>
            <w:tcBorders>
              <w:top w:val="nil"/>
              <w:left w:val="nil"/>
              <w:bottom w:val="single" w:sz="4" w:space="0" w:color="auto"/>
              <w:right w:val="single" w:sz="4" w:space="0" w:color="auto"/>
            </w:tcBorders>
            <w:shd w:val="clear" w:color="auto" w:fill="auto"/>
            <w:noWrap/>
            <w:vAlign w:val="center"/>
            <w:hideMark/>
          </w:tcPr>
          <w:p w14:paraId="34284667" w14:textId="77777777" w:rsidR="00C30451" w:rsidRPr="003415CC" w:rsidRDefault="00C30451" w:rsidP="00C82045">
            <w:pPr>
              <w:pStyle w:val="EBBodyPara"/>
              <w:keepNext/>
              <w:spacing w:line="276" w:lineRule="auto"/>
              <w:jc w:val="center"/>
            </w:pPr>
            <w:r w:rsidRPr="003415CC">
              <w:t>29.95</w:t>
            </w:r>
          </w:p>
        </w:tc>
        <w:tc>
          <w:tcPr>
            <w:tcW w:w="1420" w:type="dxa"/>
            <w:tcBorders>
              <w:top w:val="nil"/>
              <w:left w:val="nil"/>
              <w:bottom w:val="single" w:sz="4" w:space="0" w:color="auto"/>
              <w:right w:val="single" w:sz="4" w:space="0" w:color="auto"/>
            </w:tcBorders>
            <w:shd w:val="clear" w:color="auto" w:fill="auto"/>
            <w:noWrap/>
            <w:vAlign w:val="center"/>
            <w:hideMark/>
          </w:tcPr>
          <w:p w14:paraId="0821B35D" w14:textId="77777777" w:rsidR="00C30451" w:rsidRPr="003415CC" w:rsidRDefault="00C30451" w:rsidP="00C82045">
            <w:pPr>
              <w:pStyle w:val="EBBodyPara"/>
              <w:keepNext/>
              <w:spacing w:line="276" w:lineRule="auto"/>
              <w:jc w:val="center"/>
            </w:pPr>
            <w:r w:rsidRPr="003415CC">
              <w:t>359</w:t>
            </w:r>
          </w:p>
        </w:tc>
      </w:tr>
      <w:tr w:rsidR="00C30451" w:rsidRPr="003415CC" w14:paraId="291685A9" w14:textId="77777777" w:rsidTr="00C30451">
        <w:trPr>
          <w:trHeight w:val="288"/>
          <w:jc w:val="center"/>
        </w:trPr>
        <w:tc>
          <w:tcPr>
            <w:tcW w:w="1407" w:type="dxa"/>
            <w:tcBorders>
              <w:top w:val="nil"/>
              <w:left w:val="single" w:sz="4" w:space="0" w:color="auto"/>
              <w:bottom w:val="single" w:sz="4" w:space="0" w:color="auto"/>
              <w:right w:val="single" w:sz="4" w:space="0" w:color="auto"/>
            </w:tcBorders>
            <w:shd w:val="clear" w:color="auto" w:fill="auto"/>
            <w:noWrap/>
            <w:vAlign w:val="bottom"/>
            <w:hideMark/>
          </w:tcPr>
          <w:p w14:paraId="3A89A761" w14:textId="77777777" w:rsidR="00C30451" w:rsidRPr="003415CC" w:rsidRDefault="00C30451" w:rsidP="00C82045">
            <w:pPr>
              <w:pStyle w:val="EBBodyPara"/>
              <w:keepNext/>
              <w:spacing w:line="276" w:lineRule="auto"/>
              <w:jc w:val="center"/>
            </w:pPr>
            <w:r w:rsidRPr="003415CC">
              <w:t>Administrative</w:t>
            </w:r>
          </w:p>
        </w:tc>
        <w:tc>
          <w:tcPr>
            <w:tcW w:w="1180" w:type="dxa"/>
            <w:tcBorders>
              <w:top w:val="nil"/>
              <w:left w:val="nil"/>
              <w:bottom w:val="single" w:sz="4" w:space="0" w:color="auto"/>
              <w:right w:val="single" w:sz="4" w:space="0" w:color="auto"/>
            </w:tcBorders>
            <w:shd w:val="clear" w:color="auto" w:fill="auto"/>
            <w:noWrap/>
            <w:vAlign w:val="center"/>
            <w:hideMark/>
          </w:tcPr>
          <w:p w14:paraId="4DE71558" w14:textId="77777777" w:rsidR="00C30451" w:rsidRPr="003415CC" w:rsidRDefault="00C30451" w:rsidP="00C82045">
            <w:pPr>
              <w:pStyle w:val="EBBodyPara"/>
              <w:keepNext/>
              <w:spacing w:line="276" w:lineRule="auto"/>
              <w:jc w:val="center"/>
            </w:pPr>
            <w:r w:rsidRPr="003415CC">
              <w:t>0</w:t>
            </w:r>
          </w:p>
        </w:tc>
        <w:tc>
          <w:tcPr>
            <w:tcW w:w="1120" w:type="dxa"/>
            <w:tcBorders>
              <w:top w:val="nil"/>
              <w:left w:val="nil"/>
              <w:bottom w:val="single" w:sz="4" w:space="0" w:color="auto"/>
              <w:right w:val="single" w:sz="4" w:space="0" w:color="auto"/>
            </w:tcBorders>
            <w:shd w:val="clear" w:color="auto" w:fill="auto"/>
            <w:noWrap/>
            <w:vAlign w:val="center"/>
            <w:hideMark/>
          </w:tcPr>
          <w:p w14:paraId="352ABA65" w14:textId="77777777" w:rsidR="00C30451" w:rsidRPr="003415CC" w:rsidRDefault="00C30451" w:rsidP="00C82045">
            <w:pPr>
              <w:pStyle w:val="EBBodyPara"/>
              <w:keepNext/>
              <w:spacing w:line="276" w:lineRule="auto"/>
              <w:jc w:val="center"/>
            </w:pPr>
            <w:r w:rsidRPr="003415CC">
              <w:t>15.71</w:t>
            </w:r>
          </w:p>
        </w:tc>
        <w:tc>
          <w:tcPr>
            <w:tcW w:w="1420" w:type="dxa"/>
            <w:tcBorders>
              <w:top w:val="nil"/>
              <w:left w:val="nil"/>
              <w:bottom w:val="single" w:sz="4" w:space="0" w:color="auto"/>
              <w:right w:val="single" w:sz="4" w:space="0" w:color="auto"/>
            </w:tcBorders>
            <w:shd w:val="clear" w:color="auto" w:fill="auto"/>
            <w:noWrap/>
            <w:vAlign w:val="center"/>
            <w:hideMark/>
          </w:tcPr>
          <w:p w14:paraId="433D7DF9" w14:textId="77777777" w:rsidR="00C30451" w:rsidRPr="003415CC" w:rsidRDefault="00C30451" w:rsidP="00C82045">
            <w:pPr>
              <w:pStyle w:val="EBBodyPara"/>
              <w:keepNext/>
              <w:spacing w:line="276" w:lineRule="auto"/>
              <w:jc w:val="center"/>
            </w:pPr>
            <w:r w:rsidRPr="003415CC">
              <w:t>-</w:t>
            </w:r>
          </w:p>
        </w:tc>
      </w:tr>
      <w:tr w:rsidR="00C30451" w:rsidRPr="003415CC" w14:paraId="6C629164" w14:textId="77777777" w:rsidTr="00C30451">
        <w:trPr>
          <w:trHeight w:val="288"/>
          <w:jc w:val="center"/>
        </w:trPr>
        <w:tc>
          <w:tcPr>
            <w:tcW w:w="1407" w:type="dxa"/>
            <w:tcBorders>
              <w:top w:val="nil"/>
              <w:left w:val="single" w:sz="4" w:space="0" w:color="auto"/>
              <w:bottom w:val="single" w:sz="4" w:space="0" w:color="auto"/>
              <w:right w:val="single" w:sz="4" w:space="0" w:color="auto"/>
            </w:tcBorders>
            <w:shd w:val="clear" w:color="auto" w:fill="auto"/>
            <w:noWrap/>
            <w:vAlign w:val="bottom"/>
            <w:hideMark/>
          </w:tcPr>
          <w:p w14:paraId="601273D1" w14:textId="77777777" w:rsidR="00C30451" w:rsidRPr="003415CC" w:rsidRDefault="00C30451" w:rsidP="00C82045">
            <w:pPr>
              <w:pStyle w:val="EBBodyPara"/>
              <w:spacing w:line="276" w:lineRule="auto"/>
              <w:jc w:val="center"/>
              <w:rPr>
                <w:b/>
              </w:rPr>
            </w:pPr>
            <w:r w:rsidRPr="003415CC">
              <w:rPr>
                <w:b/>
              </w:rPr>
              <w:t>Total cost</w:t>
            </w:r>
          </w:p>
        </w:tc>
        <w:tc>
          <w:tcPr>
            <w:tcW w:w="1180" w:type="dxa"/>
            <w:tcBorders>
              <w:top w:val="nil"/>
              <w:left w:val="nil"/>
              <w:bottom w:val="single" w:sz="4" w:space="0" w:color="auto"/>
              <w:right w:val="single" w:sz="4" w:space="0" w:color="auto"/>
            </w:tcBorders>
            <w:shd w:val="clear" w:color="auto" w:fill="auto"/>
            <w:noWrap/>
            <w:vAlign w:val="center"/>
            <w:hideMark/>
          </w:tcPr>
          <w:p w14:paraId="3EF20772" w14:textId="77777777" w:rsidR="00C30451" w:rsidRPr="003415CC" w:rsidRDefault="00C30451" w:rsidP="00C82045">
            <w:pPr>
              <w:pStyle w:val="EBBodyPara"/>
              <w:spacing w:line="276" w:lineRule="auto"/>
              <w:jc w:val="center"/>
            </w:pPr>
          </w:p>
        </w:tc>
        <w:tc>
          <w:tcPr>
            <w:tcW w:w="1120" w:type="dxa"/>
            <w:tcBorders>
              <w:top w:val="nil"/>
              <w:left w:val="nil"/>
              <w:bottom w:val="single" w:sz="4" w:space="0" w:color="auto"/>
              <w:right w:val="single" w:sz="4" w:space="0" w:color="auto"/>
            </w:tcBorders>
            <w:shd w:val="clear" w:color="auto" w:fill="auto"/>
            <w:noWrap/>
            <w:vAlign w:val="center"/>
            <w:hideMark/>
          </w:tcPr>
          <w:p w14:paraId="6614772E" w14:textId="77777777" w:rsidR="00C30451" w:rsidRPr="003415CC" w:rsidRDefault="00C30451" w:rsidP="00C82045">
            <w:pPr>
              <w:pStyle w:val="EBBodyPara"/>
              <w:spacing w:line="276" w:lineRule="auto"/>
              <w:jc w:val="center"/>
            </w:pPr>
          </w:p>
        </w:tc>
        <w:tc>
          <w:tcPr>
            <w:tcW w:w="1420" w:type="dxa"/>
            <w:tcBorders>
              <w:top w:val="nil"/>
              <w:left w:val="nil"/>
              <w:bottom w:val="single" w:sz="4" w:space="0" w:color="auto"/>
              <w:right w:val="single" w:sz="4" w:space="0" w:color="auto"/>
            </w:tcBorders>
            <w:shd w:val="clear" w:color="auto" w:fill="auto"/>
            <w:noWrap/>
            <w:vAlign w:val="center"/>
            <w:hideMark/>
          </w:tcPr>
          <w:p w14:paraId="3A2D0697" w14:textId="77777777" w:rsidR="00C30451" w:rsidRPr="003415CC" w:rsidRDefault="00C30451" w:rsidP="00C82045">
            <w:pPr>
              <w:pStyle w:val="EBBodyPara"/>
              <w:spacing w:line="276" w:lineRule="auto"/>
              <w:jc w:val="center"/>
              <w:rPr>
                <w:b/>
              </w:rPr>
            </w:pPr>
            <w:r w:rsidRPr="003415CC">
              <w:rPr>
                <w:b/>
              </w:rPr>
              <w:t>763</w:t>
            </w:r>
          </w:p>
        </w:tc>
      </w:tr>
    </w:tbl>
    <w:p w14:paraId="1C708E8F" w14:textId="77777777" w:rsidR="00C30451" w:rsidRPr="003415CC" w:rsidRDefault="00C30451" w:rsidP="00C82045">
      <w:pPr>
        <w:pStyle w:val="EBBodyPara"/>
        <w:spacing w:line="276" w:lineRule="auto"/>
        <w:rPr>
          <w:b/>
        </w:rPr>
      </w:pPr>
    </w:p>
    <w:p w14:paraId="2519C6B6" w14:textId="77777777" w:rsidR="00C30451" w:rsidRPr="003415CC" w:rsidRDefault="00C30451" w:rsidP="00C82045">
      <w:pPr>
        <w:pStyle w:val="EBBodyPara"/>
        <w:spacing w:line="276" w:lineRule="auto"/>
        <w:jc w:val="center"/>
        <w:rPr>
          <w:b/>
        </w:rPr>
      </w:pPr>
      <w:r w:rsidRPr="003415CC">
        <w:rPr>
          <w:b/>
        </w:rPr>
        <w:t>Table A4</w:t>
      </w:r>
    </w:p>
    <w:p w14:paraId="68E907E3" w14:textId="77777777" w:rsidR="00C30451" w:rsidRPr="003415CC" w:rsidRDefault="00C30451" w:rsidP="00C82045">
      <w:pPr>
        <w:pStyle w:val="EBBodyPara"/>
        <w:spacing w:line="276" w:lineRule="auto"/>
        <w:jc w:val="center"/>
        <w:rPr>
          <w:b/>
        </w:rPr>
      </w:pPr>
      <w:r w:rsidRPr="003415CC">
        <w:rPr>
          <w:b/>
        </w:rPr>
        <w:t xml:space="preserve">Costs of reporting on their </w:t>
      </w:r>
      <w:r w:rsidR="005C62E3">
        <w:rPr>
          <w:b/>
        </w:rPr>
        <w:t>d</w:t>
      </w:r>
      <w:r w:rsidRPr="003415CC">
        <w:rPr>
          <w:b/>
        </w:rPr>
        <w:t>iversity policy in subsequent years</w:t>
      </w:r>
    </w:p>
    <w:tbl>
      <w:tblPr>
        <w:tblW w:w="6999" w:type="dxa"/>
        <w:jc w:val="center"/>
        <w:tblInd w:w="103" w:type="dxa"/>
        <w:tblLook w:val="04A0" w:firstRow="1" w:lastRow="0" w:firstColumn="1" w:lastColumn="0" w:noHBand="0" w:noVBand="1"/>
      </w:tblPr>
      <w:tblGrid>
        <w:gridCol w:w="1598"/>
        <w:gridCol w:w="1403"/>
        <w:gridCol w:w="1302"/>
        <w:gridCol w:w="1109"/>
        <w:gridCol w:w="956"/>
        <w:gridCol w:w="960"/>
      </w:tblGrid>
      <w:tr w:rsidR="00C30451" w:rsidRPr="003415CC" w14:paraId="57E736BB" w14:textId="77777777" w:rsidTr="00C30451">
        <w:trPr>
          <w:trHeight w:val="1380"/>
          <w:jc w:val="center"/>
        </w:trPr>
        <w:tc>
          <w:tcPr>
            <w:tcW w:w="1527"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4EE06C27" w14:textId="77777777" w:rsidR="00C30451" w:rsidRPr="003415CC" w:rsidRDefault="00C30451" w:rsidP="00C82045">
            <w:pPr>
              <w:pStyle w:val="EBBodyPara"/>
              <w:spacing w:line="276" w:lineRule="auto"/>
              <w:jc w:val="center"/>
              <w:rPr>
                <w:b/>
              </w:rPr>
            </w:pPr>
          </w:p>
        </w:tc>
        <w:tc>
          <w:tcPr>
            <w:tcW w:w="1403" w:type="dxa"/>
            <w:tcBorders>
              <w:top w:val="single" w:sz="4" w:space="0" w:color="auto"/>
              <w:left w:val="nil"/>
              <w:bottom w:val="single" w:sz="4" w:space="0" w:color="auto"/>
              <w:right w:val="single" w:sz="4" w:space="0" w:color="auto"/>
            </w:tcBorders>
            <w:shd w:val="clear" w:color="000000" w:fill="D9D9D9"/>
            <w:vAlign w:val="center"/>
            <w:hideMark/>
          </w:tcPr>
          <w:p w14:paraId="12A1E219" w14:textId="77777777" w:rsidR="00C30451" w:rsidRPr="003415CC" w:rsidRDefault="00C30451" w:rsidP="00C82045">
            <w:pPr>
              <w:pStyle w:val="EBBodyPara"/>
              <w:spacing w:line="276" w:lineRule="auto"/>
              <w:jc w:val="center"/>
              <w:rPr>
                <w:b/>
              </w:rPr>
            </w:pPr>
            <w:r w:rsidRPr="003415CC">
              <w:rPr>
                <w:b/>
              </w:rPr>
              <w:t>Average annual time costs, those who know (hrs)</w:t>
            </w:r>
          </w:p>
        </w:tc>
        <w:tc>
          <w:tcPr>
            <w:tcW w:w="1302" w:type="dxa"/>
            <w:tcBorders>
              <w:top w:val="single" w:sz="4" w:space="0" w:color="auto"/>
              <w:left w:val="nil"/>
              <w:bottom w:val="single" w:sz="4" w:space="0" w:color="auto"/>
              <w:right w:val="single" w:sz="4" w:space="0" w:color="auto"/>
            </w:tcBorders>
            <w:shd w:val="clear" w:color="000000" w:fill="D9D9D9"/>
            <w:vAlign w:val="center"/>
            <w:hideMark/>
          </w:tcPr>
          <w:p w14:paraId="676B88F6" w14:textId="77777777" w:rsidR="00C30451" w:rsidRPr="003415CC" w:rsidRDefault="00C30451" w:rsidP="00C82045">
            <w:pPr>
              <w:pStyle w:val="EBBodyPara"/>
              <w:spacing w:line="276" w:lineRule="auto"/>
              <w:jc w:val="center"/>
              <w:rPr>
                <w:b/>
              </w:rPr>
            </w:pPr>
            <w:r w:rsidRPr="003415CC">
              <w:rPr>
                <w:b/>
              </w:rPr>
              <w:t>Average annual time costs, those who predict</w:t>
            </w:r>
          </w:p>
        </w:tc>
        <w:tc>
          <w:tcPr>
            <w:tcW w:w="851" w:type="dxa"/>
            <w:tcBorders>
              <w:top w:val="single" w:sz="4" w:space="0" w:color="auto"/>
              <w:left w:val="nil"/>
              <w:bottom w:val="single" w:sz="4" w:space="0" w:color="auto"/>
              <w:right w:val="single" w:sz="4" w:space="0" w:color="auto"/>
            </w:tcBorders>
            <w:shd w:val="clear" w:color="000000" w:fill="D9D9D9"/>
            <w:vAlign w:val="center"/>
            <w:hideMark/>
          </w:tcPr>
          <w:p w14:paraId="237221D5" w14:textId="77777777" w:rsidR="00C30451" w:rsidRPr="003415CC" w:rsidRDefault="00C30451" w:rsidP="00C82045">
            <w:pPr>
              <w:pStyle w:val="EBBodyPara"/>
              <w:spacing w:line="276" w:lineRule="auto"/>
              <w:jc w:val="center"/>
              <w:rPr>
                <w:b/>
              </w:rPr>
            </w:pPr>
            <w:r w:rsidRPr="003415CC">
              <w:rPr>
                <w:b/>
              </w:rPr>
              <w:t>Best estimate of time costs</w:t>
            </w:r>
          </w:p>
        </w:tc>
        <w:tc>
          <w:tcPr>
            <w:tcW w:w="956" w:type="dxa"/>
            <w:tcBorders>
              <w:top w:val="single" w:sz="4" w:space="0" w:color="auto"/>
              <w:left w:val="nil"/>
              <w:bottom w:val="single" w:sz="4" w:space="0" w:color="auto"/>
              <w:right w:val="single" w:sz="4" w:space="0" w:color="auto"/>
            </w:tcBorders>
            <w:shd w:val="clear" w:color="000000" w:fill="D9D9D9"/>
            <w:vAlign w:val="center"/>
            <w:hideMark/>
          </w:tcPr>
          <w:p w14:paraId="6C88A166" w14:textId="77777777" w:rsidR="00C30451" w:rsidRPr="003415CC" w:rsidRDefault="00C30451" w:rsidP="00C82045">
            <w:pPr>
              <w:pStyle w:val="EBBodyPara"/>
              <w:spacing w:line="276" w:lineRule="auto"/>
              <w:jc w:val="center"/>
              <w:rPr>
                <w:b/>
              </w:rPr>
            </w:pPr>
            <w:r w:rsidRPr="003415CC">
              <w:rPr>
                <w:b/>
              </w:rPr>
              <w:t>Total cost per hour</w:t>
            </w:r>
            <w:r w:rsidRPr="003415CC">
              <w:rPr>
                <w:b/>
              </w:rPr>
              <w:br/>
              <w:t>£</w:t>
            </w:r>
          </w:p>
        </w:tc>
        <w:tc>
          <w:tcPr>
            <w:tcW w:w="960" w:type="dxa"/>
            <w:tcBorders>
              <w:top w:val="single" w:sz="4" w:space="0" w:color="auto"/>
              <w:left w:val="nil"/>
              <w:bottom w:val="single" w:sz="4" w:space="0" w:color="auto"/>
              <w:right w:val="single" w:sz="4" w:space="0" w:color="auto"/>
            </w:tcBorders>
            <w:shd w:val="clear" w:color="000000" w:fill="D9D9D9"/>
            <w:vAlign w:val="center"/>
            <w:hideMark/>
          </w:tcPr>
          <w:p w14:paraId="50A4A8A9" w14:textId="77777777" w:rsidR="00C30451" w:rsidRPr="003415CC" w:rsidRDefault="00C30451" w:rsidP="00C82045">
            <w:pPr>
              <w:pStyle w:val="EBBodyPara"/>
              <w:spacing w:line="276" w:lineRule="auto"/>
              <w:jc w:val="center"/>
              <w:rPr>
                <w:b/>
              </w:rPr>
            </w:pPr>
            <w:r w:rsidRPr="003415CC">
              <w:rPr>
                <w:b/>
              </w:rPr>
              <w:t>Total cost per firm</w:t>
            </w:r>
            <w:r w:rsidRPr="003415CC">
              <w:rPr>
                <w:b/>
              </w:rPr>
              <w:br/>
              <w:t>£</w:t>
            </w:r>
          </w:p>
        </w:tc>
      </w:tr>
      <w:tr w:rsidR="00C30451" w:rsidRPr="003415CC" w14:paraId="008E91CB" w14:textId="77777777" w:rsidTr="00C30451">
        <w:trPr>
          <w:trHeight w:val="288"/>
          <w:jc w:val="center"/>
        </w:trPr>
        <w:tc>
          <w:tcPr>
            <w:tcW w:w="1527" w:type="dxa"/>
            <w:tcBorders>
              <w:top w:val="nil"/>
              <w:left w:val="single" w:sz="4" w:space="0" w:color="auto"/>
              <w:bottom w:val="single" w:sz="4" w:space="0" w:color="auto"/>
              <w:right w:val="single" w:sz="4" w:space="0" w:color="auto"/>
            </w:tcBorders>
            <w:shd w:val="clear" w:color="auto" w:fill="auto"/>
            <w:noWrap/>
            <w:vAlign w:val="bottom"/>
            <w:hideMark/>
          </w:tcPr>
          <w:p w14:paraId="5C2B8DE1" w14:textId="77777777" w:rsidR="00C30451" w:rsidRPr="003415CC" w:rsidRDefault="00C30451" w:rsidP="00C82045">
            <w:pPr>
              <w:pStyle w:val="EBBodyPara"/>
              <w:spacing w:line="276" w:lineRule="auto"/>
              <w:jc w:val="center"/>
            </w:pPr>
            <w:r w:rsidRPr="003415CC">
              <w:t>Director</w:t>
            </w:r>
          </w:p>
        </w:tc>
        <w:tc>
          <w:tcPr>
            <w:tcW w:w="1403" w:type="dxa"/>
            <w:tcBorders>
              <w:top w:val="nil"/>
              <w:left w:val="nil"/>
              <w:bottom w:val="single" w:sz="4" w:space="0" w:color="auto"/>
              <w:right w:val="single" w:sz="4" w:space="0" w:color="auto"/>
            </w:tcBorders>
            <w:shd w:val="clear" w:color="auto" w:fill="auto"/>
            <w:noWrap/>
            <w:vAlign w:val="center"/>
            <w:hideMark/>
          </w:tcPr>
          <w:p w14:paraId="0DEEEACD" w14:textId="77777777" w:rsidR="00C30451" w:rsidRPr="003415CC" w:rsidRDefault="00C30451" w:rsidP="00C82045">
            <w:pPr>
              <w:pStyle w:val="EBBodyPara"/>
              <w:spacing w:line="276" w:lineRule="auto"/>
              <w:jc w:val="center"/>
            </w:pPr>
            <w:r w:rsidRPr="003415CC">
              <w:t>2</w:t>
            </w:r>
          </w:p>
        </w:tc>
        <w:tc>
          <w:tcPr>
            <w:tcW w:w="1302" w:type="dxa"/>
            <w:tcBorders>
              <w:top w:val="nil"/>
              <w:left w:val="nil"/>
              <w:bottom w:val="single" w:sz="4" w:space="0" w:color="auto"/>
              <w:right w:val="single" w:sz="4" w:space="0" w:color="auto"/>
            </w:tcBorders>
            <w:shd w:val="clear" w:color="auto" w:fill="auto"/>
            <w:noWrap/>
            <w:vAlign w:val="center"/>
            <w:hideMark/>
          </w:tcPr>
          <w:p w14:paraId="21B269D4" w14:textId="77777777" w:rsidR="00C30451" w:rsidRPr="003415CC" w:rsidRDefault="00C30451" w:rsidP="00C82045">
            <w:pPr>
              <w:pStyle w:val="EBBodyPara"/>
              <w:spacing w:line="276" w:lineRule="auto"/>
              <w:jc w:val="center"/>
            </w:pPr>
            <w:r w:rsidRPr="003415CC">
              <w:t>3</w:t>
            </w:r>
          </w:p>
        </w:tc>
        <w:tc>
          <w:tcPr>
            <w:tcW w:w="851" w:type="dxa"/>
            <w:tcBorders>
              <w:top w:val="nil"/>
              <w:left w:val="nil"/>
              <w:bottom w:val="single" w:sz="4" w:space="0" w:color="auto"/>
              <w:right w:val="single" w:sz="4" w:space="0" w:color="auto"/>
            </w:tcBorders>
            <w:shd w:val="clear" w:color="auto" w:fill="auto"/>
            <w:noWrap/>
            <w:vAlign w:val="center"/>
            <w:hideMark/>
          </w:tcPr>
          <w:p w14:paraId="5492BC10" w14:textId="77777777" w:rsidR="00C30451" w:rsidRPr="003415CC" w:rsidRDefault="00C30451" w:rsidP="00C82045">
            <w:pPr>
              <w:pStyle w:val="EBBodyPara"/>
              <w:spacing w:line="276" w:lineRule="auto"/>
              <w:jc w:val="center"/>
            </w:pPr>
            <w:r w:rsidRPr="003415CC">
              <w:t>2.5</w:t>
            </w:r>
          </w:p>
        </w:tc>
        <w:tc>
          <w:tcPr>
            <w:tcW w:w="956" w:type="dxa"/>
            <w:tcBorders>
              <w:top w:val="nil"/>
              <w:left w:val="nil"/>
              <w:bottom w:val="single" w:sz="4" w:space="0" w:color="auto"/>
              <w:right w:val="single" w:sz="4" w:space="0" w:color="auto"/>
            </w:tcBorders>
            <w:shd w:val="clear" w:color="auto" w:fill="auto"/>
            <w:noWrap/>
            <w:vAlign w:val="center"/>
            <w:hideMark/>
          </w:tcPr>
          <w:p w14:paraId="1C4587AF" w14:textId="77777777" w:rsidR="00C30451" w:rsidRPr="003415CC" w:rsidRDefault="00C30451" w:rsidP="00C82045">
            <w:pPr>
              <w:pStyle w:val="EBBodyPara"/>
              <w:spacing w:line="276" w:lineRule="auto"/>
              <w:jc w:val="center"/>
            </w:pPr>
            <w:r w:rsidRPr="003415CC">
              <w:t>67.30</w:t>
            </w:r>
          </w:p>
        </w:tc>
        <w:tc>
          <w:tcPr>
            <w:tcW w:w="960" w:type="dxa"/>
            <w:tcBorders>
              <w:top w:val="nil"/>
              <w:left w:val="nil"/>
              <w:bottom w:val="single" w:sz="4" w:space="0" w:color="auto"/>
              <w:right w:val="single" w:sz="4" w:space="0" w:color="auto"/>
            </w:tcBorders>
            <w:shd w:val="clear" w:color="auto" w:fill="auto"/>
            <w:noWrap/>
            <w:vAlign w:val="center"/>
            <w:hideMark/>
          </w:tcPr>
          <w:p w14:paraId="3272FE32" w14:textId="77777777" w:rsidR="00C30451" w:rsidRPr="003415CC" w:rsidRDefault="00C30451" w:rsidP="00C82045">
            <w:pPr>
              <w:pStyle w:val="EBBodyPara"/>
              <w:spacing w:line="276" w:lineRule="auto"/>
              <w:jc w:val="center"/>
            </w:pPr>
            <w:r w:rsidRPr="003415CC">
              <w:t>168</w:t>
            </w:r>
          </w:p>
        </w:tc>
      </w:tr>
      <w:tr w:rsidR="00C30451" w:rsidRPr="003415CC" w14:paraId="43ABE6D9" w14:textId="77777777" w:rsidTr="00C30451">
        <w:trPr>
          <w:trHeight w:val="288"/>
          <w:jc w:val="center"/>
        </w:trPr>
        <w:tc>
          <w:tcPr>
            <w:tcW w:w="1527" w:type="dxa"/>
            <w:tcBorders>
              <w:top w:val="nil"/>
              <w:left w:val="single" w:sz="4" w:space="0" w:color="auto"/>
              <w:bottom w:val="single" w:sz="4" w:space="0" w:color="auto"/>
              <w:right w:val="single" w:sz="4" w:space="0" w:color="auto"/>
            </w:tcBorders>
            <w:shd w:val="clear" w:color="auto" w:fill="auto"/>
            <w:noWrap/>
            <w:vAlign w:val="bottom"/>
            <w:hideMark/>
          </w:tcPr>
          <w:p w14:paraId="787BD31D" w14:textId="77777777" w:rsidR="00C30451" w:rsidRPr="003415CC" w:rsidRDefault="00C30451" w:rsidP="00C82045">
            <w:pPr>
              <w:pStyle w:val="EBBodyPara"/>
              <w:spacing w:line="276" w:lineRule="auto"/>
              <w:jc w:val="center"/>
            </w:pPr>
            <w:r w:rsidRPr="003415CC">
              <w:t>Professional</w:t>
            </w:r>
          </w:p>
        </w:tc>
        <w:tc>
          <w:tcPr>
            <w:tcW w:w="1403" w:type="dxa"/>
            <w:tcBorders>
              <w:top w:val="nil"/>
              <w:left w:val="nil"/>
              <w:bottom w:val="single" w:sz="4" w:space="0" w:color="auto"/>
              <w:right w:val="single" w:sz="4" w:space="0" w:color="auto"/>
            </w:tcBorders>
            <w:shd w:val="clear" w:color="auto" w:fill="auto"/>
            <w:noWrap/>
            <w:vAlign w:val="center"/>
            <w:hideMark/>
          </w:tcPr>
          <w:p w14:paraId="415EEC7B" w14:textId="77777777" w:rsidR="00C30451" w:rsidRPr="003415CC" w:rsidRDefault="00C30451" w:rsidP="00C82045">
            <w:pPr>
              <w:pStyle w:val="EBBodyPara"/>
              <w:spacing w:line="276" w:lineRule="auto"/>
              <w:jc w:val="center"/>
            </w:pPr>
            <w:r w:rsidRPr="003415CC">
              <w:t>6</w:t>
            </w:r>
          </w:p>
        </w:tc>
        <w:tc>
          <w:tcPr>
            <w:tcW w:w="1302" w:type="dxa"/>
            <w:tcBorders>
              <w:top w:val="nil"/>
              <w:left w:val="nil"/>
              <w:bottom w:val="single" w:sz="4" w:space="0" w:color="auto"/>
              <w:right w:val="single" w:sz="4" w:space="0" w:color="auto"/>
            </w:tcBorders>
            <w:shd w:val="clear" w:color="auto" w:fill="auto"/>
            <w:noWrap/>
            <w:vAlign w:val="center"/>
            <w:hideMark/>
          </w:tcPr>
          <w:p w14:paraId="71A3141B" w14:textId="77777777" w:rsidR="00C30451" w:rsidRPr="003415CC" w:rsidRDefault="00C30451" w:rsidP="00C82045">
            <w:pPr>
              <w:pStyle w:val="EBBodyPara"/>
              <w:spacing w:line="276" w:lineRule="auto"/>
              <w:jc w:val="center"/>
            </w:pPr>
            <w:r w:rsidRPr="003415CC">
              <w:t>9.5</w:t>
            </w:r>
          </w:p>
        </w:tc>
        <w:tc>
          <w:tcPr>
            <w:tcW w:w="851" w:type="dxa"/>
            <w:tcBorders>
              <w:top w:val="nil"/>
              <w:left w:val="nil"/>
              <w:bottom w:val="single" w:sz="4" w:space="0" w:color="auto"/>
              <w:right w:val="single" w:sz="4" w:space="0" w:color="auto"/>
            </w:tcBorders>
            <w:shd w:val="clear" w:color="auto" w:fill="auto"/>
            <w:noWrap/>
            <w:vAlign w:val="center"/>
            <w:hideMark/>
          </w:tcPr>
          <w:p w14:paraId="18473F74" w14:textId="77777777" w:rsidR="00C30451" w:rsidRPr="003415CC" w:rsidRDefault="00C30451" w:rsidP="00C82045">
            <w:pPr>
              <w:pStyle w:val="EBBodyPara"/>
              <w:spacing w:line="276" w:lineRule="auto"/>
              <w:jc w:val="center"/>
            </w:pPr>
            <w:r w:rsidRPr="003415CC">
              <w:t>7.75</w:t>
            </w:r>
          </w:p>
        </w:tc>
        <w:tc>
          <w:tcPr>
            <w:tcW w:w="956" w:type="dxa"/>
            <w:tcBorders>
              <w:top w:val="nil"/>
              <w:left w:val="nil"/>
              <w:bottom w:val="single" w:sz="4" w:space="0" w:color="auto"/>
              <w:right w:val="single" w:sz="4" w:space="0" w:color="auto"/>
            </w:tcBorders>
            <w:shd w:val="clear" w:color="auto" w:fill="auto"/>
            <w:noWrap/>
            <w:vAlign w:val="center"/>
            <w:hideMark/>
          </w:tcPr>
          <w:p w14:paraId="005A1159" w14:textId="77777777" w:rsidR="00C30451" w:rsidRPr="003415CC" w:rsidRDefault="00C30451" w:rsidP="00C82045">
            <w:pPr>
              <w:pStyle w:val="EBBodyPara"/>
              <w:spacing w:line="276" w:lineRule="auto"/>
              <w:jc w:val="center"/>
            </w:pPr>
            <w:r w:rsidRPr="003415CC">
              <w:t>29.95</w:t>
            </w:r>
          </w:p>
        </w:tc>
        <w:tc>
          <w:tcPr>
            <w:tcW w:w="960" w:type="dxa"/>
            <w:tcBorders>
              <w:top w:val="nil"/>
              <w:left w:val="nil"/>
              <w:bottom w:val="single" w:sz="4" w:space="0" w:color="auto"/>
              <w:right w:val="single" w:sz="4" w:space="0" w:color="auto"/>
            </w:tcBorders>
            <w:shd w:val="clear" w:color="auto" w:fill="auto"/>
            <w:noWrap/>
            <w:vAlign w:val="center"/>
            <w:hideMark/>
          </w:tcPr>
          <w:p w14:paraId="1A582C65" w14:textId="77777777" w:rsidR="00C30451" w:rsidRPr="003415CC" w:rsidRDefault="00C30451" w:rsidP="00C82045">
            <w:pPr>
              <w:pStyle w:val="EBBodyPara"/>
              <w:spacing w:line="276" w:lineRule="auto"/>
              <w:jc w:val="center"/>
            </w:pPr>
            <w:r w:rsidRPr="003415CC">
              <w:t>232</w:t>
            </w:r>
          </w:p>
        </w:tc>
      </w:tr>
      <w:tr w:rsidR="00C30451" w:rsidRPr="003415CC" w14:paraId="55317CEC" w14:textId="77777777" w:rsidTr="00C30451">
        <w:trPr>
          <w:trHeight w:val="288"/>
          <w:jc w:val="center"/>
        </w:trPr>
        <w:tc>
          <w:tcPr>
            <w:tcW w:w="1527" w:type="dxa"/>
            <w:tcBorders>
              <w:top w:val="nil"/>
              <w:left w:val="single" w:sz="4" w:space="0" w:color="auto"/>
              <w:bottom w:val="single" w:sz="4" w:space="0" w:color="auto"/>
              <w:right w:val="single" w:sz="4" w:space="0" w:color="auto"/>
            </w:tcBorders>
            <w:shd w:val="clear" w:color="auto" w:fill="auto"/>
            <w:noWrap/>
            <w:vAlign w:val="bottom"/>
            <w:hideMark/>
          </w:tcPr>
          <w:p w14:paraId="34C3F7F8" w14:textId="77777777" w:rsidR="00C30451" w:rsidRPr="003415CC" w:rsidRDefault="00C30451" w:rsidP="00C82045">
            <w:pPr>
              <w:pStyle w:val="EBBodyPara"/>
              <w:spacing w:line="276" w:lineRule="auto"/>
              <w:jc w:val="center"/>
            </w:pPr>
            <w:r w:rsidRPr="003415CC">
              <w:t>Administrative</w:t>
            </w:r>
          </w:p>
        </w:tc>
        <w:tc>
          <w:tcPr>
            <w:tcW w:w="1403" w:type="dxa"/>
            <w:tcBorders>
              <w:top w:val="nil"/>
              <w:left w:val="nil"/>
              <w:bottom w:val="single" w:sz="4" w:space="0" w:color="auto"/>
              <w:right w:val="single" w:sz="4" w:space="0" w:color="auto"/>
            </w:tcBorders>
            <w:shd w:val="clear" w:color="auto" w:fill="auto"/>
            <w:noWrap/>
            <w:vAlign w:val="center"/>
            <w:hideMark/>
          </w:tcPr>
          <w:p w14:paraId="5D0CA8AD" w14:textId="77777777" w:rsidR="00C30451" w:rsidRPr="003415CC" w:rsidRDefault="00C30451" w:rsidP="00C82045">
            <w:pPr>
              <w:pStyle w:val="EBBodyPara"/>
              <w:spacing w:line="276" w:lineRule="auto"/>
              <w:jc w:val="center"/>
            </w:pPr>
            <w:r w:rsidRPr="003415CC">
              <w:t>0</w:t>
            </w:r>
          </w:p>
        </w:tc>
        <w:tc>
          <w:tcPr>
            <w:tcW w:w="1302" w:type="dxa"/>
            <w:tcBorders>
              <w:top w:val="nil"/>
              <w:left w:val="nil"/>
              <w:bottom w:val="single" w:sz="4" w:space="0" w:color="auto"/>
              <w:right w:val="single" w:sz="4" w:space="0" w:color="auto"/>
            </w:tcBorders>
            <w:shd w:val="clear" w:color="auto" w:fill="auto"/>
            <w:noWrap/>
            <w:vAlign w:val="center"/>
            <w:hideMark/>
          </w:tcPr>
          <w:p w14:paraId="49AFEEE8" w14:textId="77777777" w:rsidR="00C30451" w:rsidRPr="003415CC" w:rsidRDefault="00C30451" w:rsidP="00C82045">
            <w:pPr>
              <w:pStyle w:val="EBBodyPara"/>
              <w:spacing w:line="276" w:lineRule="auto"/>
              <w:jc w:val="center"/>
            </w:pPr>
            <w:r w:rsidRPr="003415CC">
              <w:t>5</w:t>
            </w:r>
          </w:p>
        </w:tc>
        <w:tc>
          <w:tcPr>
            <w:tcW w:w="851" w:type="dxa"/>
            <w:tcBorders>
              <w:top w:val="nil"/>
              <w:left w:val="nil"/>
              <w:bottom w:val="single" w:sz="4" w:space="0" w:color="auto"/>
              <w:right w:val="single" w:sz="4" w:space="0" w:color="auto"/>
            </w:tcBorders>
            <w:shd w:val="clear" w:color="auto" w:fill="auto"/>
            <w:noWrap/>
            <w:vAlign w:val="center"/>
            <w:hideMark/>
          </w:tcPr>
          <w:p w14:paraId="7D6D0FFF" w14:textId="77777777" w:rsidR="00C30451" w:rsidRPr="003415CC" w:rsidRDefault="00C30451" w:rsidP="00C82045">
            <w:pPr>
              <w:pStyle w:val="EBBodyPara"/>
              <w:spacing w:line="276" w:lineRule="auto"/>
              <w:jc w:val="center"/>
            </w:pPr>
            <w:r w:rsidRPr="003415CC">
              <w:t>2.5</w:t>
            </w:r>
          </w:p>
        </w:tc>
        <w:tc>
          <w:tcPr>
            <w:tcW w:w="956" w:type="dxa"/>
            <w:tcBorders>
              <w:top w:val="nil"/>
              <w:left w:val="nil"/>
              <w:bottom w:val="single" w:sz="4" w:space="0" w:color="auto"/>
              <w:right w:val="single" w:sz="4" w:space="0" w:color="auto"/>
            </w:tcBorders>
            <w:shd w:val="clear" w:color="auto" w:fill="auto"/>
            <w:noWrap/>
            <w:vAlign w:val="center"/>
            <w:hideMark/>
          </w:tcPr>
          <w:p w14:paraId="5C0BA20C" w14:textId="77777777" w:rsidR="00C30451" w:rsidRPr="003415CC" w:rsidRDefault="00C30451" w:rsidP="00C82045">
            <w:pPr>
              <w:pStyle w:val="EBBodyPara"/>
              <w:spacing w:line="276" w:lineRule="auto"/>
              <w:jc w:val="center"/>
            </w:pPr>
            <w:r w:rsidRPr="003415CC">
              <w:t>15.71</w:t>
            </w:r>
          </w:p>
        </w:tc>
        <w:tc>
          <w:tcPr>
            <w:tcW w:w="960" w:type="dxa"/>
            <w:tcBorders>
              <w:top w:val="nil"/>
              <w:left w:val="nil"/>
              <w:bottom w:val="single" w:sz="4" w:space="0" w:color="auto"/>
              <w:right w:val="single" w:sz="4" w:space="0" w:color="auto"/>
            </w:tcBorders>
            <w:shd w:val="clear" w:color="auto" w:fill="auto"/>
            <w:noWrap/>
            <w:vAlign w:val="center"/>
            <w:hideMark/>
          </w:tcPr>
          <w:p w14:paraId="45547C4D" w14:textId="77777777" w:rsidR="00C30451" w:rsidRPr="003415CC" w:rsidRDefault="00C30451" w:rsidP="00C82045">
            <w:pPr>
              <w:pStyle w:val="EBBodyPara"/>
              <w:spacing w:line="276" w:lineRule="auto"/>
              <w:jc w:val="center"/>
            </w:pPr>
            <w:r w:rsidRPr="003415CC">
              <w:t>39</w:t>
            </w:r>
          </w:p>
        </w:tc>
      </w:tr>
      <w:tr w:rsidR="00C30451" w:rsidRPr="003415CC" w14:paraId="20399EE2" w14:textId="77777777" w:rsidTr="00C30451">
        <w:trPr>
          <w:trHeight w:val="288"/>
          <w:jc w:val="center"/>
        </w:trPr>
        <w:tc>
          <w:tcPr>
            <w:tcW w:w="1527" w:type="dxa"/>
            <w:tcBorders>
              <w:top w:val="nil"/>
              <w:left w:val="single" w:sz="4" w:space="0" w:color="auto"/>
              <w:bottom w:val="single" w:sz="4" w:space="0" w:color="auto"/>
              <w:right w:val="single" w:sz="4" w:space="0" w:color="auto"/>
            </w:tcBorders>
            <w:shd w:val="clear" w:color="auto" w:fill="auto"/>
            <w:noWrap/>
            <w:vAlign w:val="bottom"/>
            <w:hideMark/>
          </w:tcPr>
          <w:p w14:paraId="6692599A" w14:textId="77777777" w:rsidR="00C30451" w:rsidRPr="003415CC" w:rsidRDefault="00C30451" w:rsidP="00C82045">
            <w:pPr>
              <w:pStyle w:val="EBBodyPara"/>
              <w:spacing w:line="276" w:lineRule="auto"/>
              <w:jc w:val="center"/>
              <w:rPr>
                <w:b/>
              </w:rPr>
            </w:pPr>
            <w:r w:rsidRPr="003415CC">
              <w:rPr>
                <w:b/>
              </w:rPr>
              <w:t>Total cost</w:t>
            </w:r>
          </w:p>
        </w:tc>
        <w:tc>
          <w:tcPr>
            <w:tcW w:w="1403" w:type="dxa"/>
            <w:tcBorders>
              <w:top w:val="nil"/>
              <w:left w:val="nil"/>
              <w:bottom w:val="single" w:sz="4" w:space="0" w:color="auto"/>
              <w:right w:val="single" w:sz="4" w:space="0" w:color="auto"/>
            </w:tcBorders>
            <w:shd w:val="clear" w:color="auto" w:fill="auto"/>
            <w:noWrap/>
            <w:vAlign w:val="center"/>
            <w:hideMark/>
          </w:tcPr>
          <w:p w14:paraId="17844A0E" w14:textId="77777777" w:rsidR="00C30451" w:rsidRPr="003415CC" w:rsidRDefault="00C30451" w:rsidP="00C82045">
            <w:pPr>
              <w:pStyle w:val="EBBodyPara"/>
              <w:spacing w:line="276" w:lineRule="auto"/>
              <w:jc w:val="center"/>
            </w:pPr>
          </w:p>
        </w:tc>
        <w:tc>
          <w:tcPr>
            <w:tcW w:w="1302" w:type="dxa"/>
            <w:tcBorders>
              <w:top w:val="nil"/>
              <w:left w:val="nil"/>
              <w:bottom w:val="single" w:sz="4" w:space="0" w:color="auto"/>
              <w:right w:val="single" w:sz="4" w:space="0" w:color="auto"/>
            </w:tcBorders>
            <w:shd w:val="clear" w:color="auto" w:fill="auto"/>
            <w:noWrap/>
            <w:vAlign w:val="center"/>
            <w:hideMark/>
          </w:tcPr>
          <w:p w14:paraId="4919BE26" w14:textId="77777777" w:rsidR="00C30451" w:rsidRPr="003415CC" w:rsidRDefault="00C30451" w:rsidP="00C82045">
            <w:pPr>
              <w:pStyle w:val="EBBodyPara"/>
              <w:spacing w:line="276" w:lineRule="auto"/>
              <w:jc w:val="center"/>
            </w:pPr>
          </w:p>
        </w:tc>
        <w:tc>
          <w:tcPr>
            <w:tcW w:w="851" w:type="dxa"/>
            <w:tcBorders>
              <w:top w:val="nil"/>
              <w:left w:val="nil"/>
              <w:bottom w:val="single" w:sz="4" w:space="0" w:color="auto"/>
              <w:right w:val="single" w:sz="4" w:space="0" w:color="auto"/>
            </w:tcBorders>
            <w:shd w:val="clear" w:color="auto" w:fill="auto"/>
            <w:noWrap/>
            <w:vAlign w:val="center"/>
            <w:hideMark/>
          </w:tcPr>
          <w:p w14:paraId="7BA08115" w14:textId="77777777" w:rsidR="00C30451" w:rsidRPr="003415CC" w:rsidRDefault="00C30451" w:rsidP="00C82045">
            <w:pPr>
              <w:pStyle w:val="EBBodyPara"/>
              <w:spacing w:line="276" w:lineRule="auto"/>
              <w:jc w:val="center"/>
            </w:pPr>
          </w:p>
        </w:tc>
        <w:tc>
          <w:tcPr>
            <w:tcW w:w="956" w:type="dxa"/>
            <w:tcBorders>
              <w:top w:val="nil"/>
              <w:left w:val="nil"/>
              <w:bottom w:val="single" w:sz="4" w:space="0" w:color="auto"/>
              <w:right w:val="single" w:sz="4" w:space="0" w:color="auto"/>
            </w:tcBorders>
            <w:shd w:val="clear" w:color="auto" w:fill="auto"/>
            <w:noWrap/>
            <w:vAlign w:val="center"/>
            <w:hideMark/>
          </w:tcPr>
          <w:p w14:paraId="5784F531" w14:textId="77777777" w:rsidR="00C30451" w:rsidRPr="003415CC" w:rsidRDefault="00C30451" w:rsidP="00C82045">
            <w:pPr>
              <w:pStyle w:val="EBBodyPara"/>
              <w:spacing w:line="276" w:lineRule="auto"/>
              <w:jc w:val="center"/>
            </w:pPr>
          </w:p>
        </w:tc>
        <w:tc>
          <w:tcPr>
            <w:tcW w:w="960" w:type="dxa"/>
            <w:tcBorders>
              <w:top w:val="nil"/>
              <w:left w:val="nil"/>
              <w:bottom w:val="single" w:sz="4" w:space="0" w:color="auto"/>
              <w:right w:val="single" w:sz="4" w:space="0" w:color="auto"/>
            </w:tcBorders>
            <w:shd w:val="clear" w:color="auto" w:fill="auto"/>
            <w:noWrap/>
            <w:vAlign w:val="center"/>
            <w:hideMark/>
          </w:tcPr>
          <w:p w14:paraId="22BF4EAA" w14:textId="77777777" w:rsidR="00C30451" w:rsidRPr="003415CC" w:rsidRDefault="00C30451" w:rsidP="00C82045">
            <w:pPr>
              <w:pStyle w:val="EBBodyPara"/>
              <w:spacing w:line="276" w:lineRule="auto"/>
              <w:jc w:val="center"/>
              <w:rPr>
                <w:b/>
              </w:rPr>
            </w:pPr>
            <w:r w:rsidRPr="003415CC">
              <w:rPr>
                <w:b/>
              </w:rPr>
              <w:t>440</w:t>
            </w:r>
          </w:p>
        </w:tc>
      </w:tr>
    </w:tbl>
    <w:p w14:paraId="5D9116BF" w14:textId="77777777" w:rsidR="00C30451" w:rsidRPr="003415CC" w:rsidRDefault="00C30451" w:rsidP="00C82045">
      <w:pPr>
        <w:pStyle w:val="EBBodyPara"/>
        <w:spacing w:line="276" w:lineRule="auto"/>
        <w:rPr>
          <w:b/>
        </w:rPr>
      </w:pPr>
    </w:p>
    <w:p w14:paraId="222284A4" w14:textId="77777777" w:rsidR="00C30451" w:rsidRPr="006C5AD5" w:rsidRDefault="00C30451" w:rsidP="00C82045">
      <w:pPr>
        <w:pStyle w:val="EBBodyPara"/>
        <w:spacing w:line="276" w:lineRule="auto"/>
        <w:rPr>
          <w:b/>
        </w:rPr>
      </w:pPr>
      <w:r w:rsidRPr="003415CC">
        <w:rPr>
          <w:b/>
          <w:sz w:val="32"/>
          <w:szCs w:val="32"/>
        </w:rPr>
        <w:t>Annex B: Costs to Large Unquoted PIEs</w:t>
      </w:r>
    </w:p>
    <w:p w14:paraId="21474698" w14:textId="77777777" w:rsidR="004C00E7" w:rsidRDefault="004C00E7" w:rsidP="004C00E7">
      <w:pPr>
        <w:pStyle w:val="EBBodyPara"/>
        <w:spacing w:line="276" w:lineRule="auto"/>
        <w:jc w:val="both"/>
      </w:pPr>
      <w:r w:rsidRPr="00EB7A0C">
        <w:rPr>
          <w:rFonts w:eastAsia="SimSun"/>
          <w:spacing w:val="-5"/>
          <w:lang w:eastAsia="zh-CN"/>
        </w:rPr>
        <w:t xml:space="preserve">We </w:t>
      </w:r>
      <w:r>
        <w:rPr>
          <w:rFonts w:eastAsia="SimSun"/>
          <w:spacing w:val="-5"/>
          <w:lang w:eastAsia="zh-CN"/>
        </w:rPr>
        <w:t xml:space="preserve">have </w:t>
      </w:r>
      <w:r w:rsidRPr="00EB7A0C">
        <w:rPr>
          <w:rFonts w:eastAsia="SimSun"/>
          <w:spacing w:val="-5"/>
          <w:lang w:eastAsia="zh-CN"/>
        </w:rPr>
        <w:t xml:space="preserve">quantified costs for all PIEs affected by </w:t>
      </w:r>
      <w:r>
        <w:rPr>
          <w:rFonts w:eastAsia="SimSun"/>
          <w:spacing w:val="-5"/>
          <w:lang w:eastAsia="zh-CN"/>
        </w:rPr>
        <w:t xml:space="preserve">the options </w:t>
      </w:r>
      <w:r w:rsidRPr="00EB7A0C">
        <w:rPr>
          <w:rFonts w:eastAsia="SimSun"/>
          <w:spacing w:val="-5"/>
          <w:lang w:eastAsia="zh-CN"/>
        </w:rPr>
        <w:t xml:space="preserve">using responses to </w:t>
      </w:r>
      <w:r>
        <w:rPr>
          <w:rFonts w:eastAsia="SimSun"/>
          <w:spacing w:val="-5"/>
          <w:lang w:eastAsia="zh-CN"/>
        </w:rPr>
        <w:t>a survey that is part of the aforementioned</w:t>
      </w:r>
      <w:r w:rsidRPr="00EB7A0C">
        <w:rPr>
          <w:rFonts w:eastAsia="SimSun"/>
          <w:spacing w:val="-5"/>
          <w:lang w:eastAsia="zh-CN"/>
        </w:rPr>
        <w:t xml:space="preserve"> ongoing research project into the effects non-financial reporting had on company behaviour</w:t>
      </w:r>
      <w:r w:rsidRPr="00EB7A0C">
        <w:rPr>
          <w:rStyle w:val="FootnoteReference"/>
          <w:rFonts w:eastAsia="SimSun"/>
          <w:spacing w:val="-5"/>
          <w:lang w:eastAsia="zh-CN"/>
        </w:rPr>
        <w:footnoteReference w:id="42"/>
      </w:r>
      <w:r w:rsidRPr="00BA6CA2">
        <w:rPr>
          <w:rFonts w:eastAsia="SimSun"/>
          <w:spacing w:val="-5"/>
          <w:lang w:eastAsia="zh-CN"/>
        </w:rPr>
        <w:t xml:space="preserve">. </w:t>
      </w:r>
      <w:r w:rsidRPr="0049623C">
        <w:rPr>
          <w:rFonts w:eastAsia="SimSun"/>
          <w:spacing w:val="-5"/>
          <w:lang w:eastAsia="zh-CN"/>
        </w:rPr>
        <w:t xml:space="preserve">The research is to be based on 400 </w:t>
      </w:r>
      <w:r w:rsidRPr="0049623C">
        <w:rPr>
          <w:rFonts w:eastAsiaTheme="minorEastAsia"/>
          <w:kern w:val="24"/>
        </w:rPr>
        <w:t>computer assisted telephone interviews (</w:t>
      </w:r>
      <w:r w:rsidRPr="0049623C">
        <w:rPr>
          <w:rFonts w:eastAsia="SimSun"/>
          <w:spacing w:val="-5"/>
          <w:lang w:eastAsia="zh-CN"/>
        </w:rPr>
        <w:t xml:space="preserve">CATI) of companies including quoted and unquoted PIEs. It is currently in its fieldwork stage but we have been able to draw on the interim findings to inform this IA. </w:t>
      </w:r>
      <w:r w:rsidRPr="00BA6CA2">
        <w:rPr>
          <w:rFonts w:eastAsia="SimSun"/>
          <w:spacing w:val="-5"/>
          <w:lang w:eastAsia="zh-CN"/>
        </w:rPr>
        <w:t>Our estimates are based on the</w:t>
      </w:r>
      <w:r w:rsidRPr="0049623C">
        <w:t xml:space="preserve"> </w:t>
      </w:r>
      <w:r>
        <w:t xml:space="preserve">interim results of the </w:t>
      </w:r>
      <w:r w:rsidRPr="0049623C">
        <w:t>survey</w:t>
      </w:r>
      <w:r>
        <w:t xml:space="preserve">, which were provided in June 2016 and cover 285 companies. Respondents also included 16 unquoted PIEs with more than 500 employees. </w:t>
      </w:r>
    </w:p>
    <w:p w14:paraId="466C05D7" w14:textId="77777777" w:rsidR="004C00E7" w:rsidRDefault="004C00E7" w:rsidP="004C00E7">
      <w:pPr>
        <w:pStyle w:val="EBBodyPara"/>
        <w:spacing w:line="276" w:lineRule="auto"/>
        <w:jc w:val="both"/>
      </w:pPr>
      <w:r w:rsidRPr="003415CC">
        <w:rPr>
          <w:b/>
        </w:rPr>
        <w:t>Costs in the first year</w:t>
      </w:r>
      <w:r>
        <w:rPr>
          <w:b/>
        </w:rPr>
        <w:t xml:space="preserve">: </w:t>
      </w:r>
      <w:r w:rsidRPr="00581989">
        <w:t xml:space="preserve">We asked </w:t>
      </w:r>
      <w:r w:rsidR="00B04E96">
        <w:t xml:space="preserve">unquoted </w:t>
      </w:r>
      <w:r w:rsidRPr="00581989">
        <w:t>companies about the total costs in the first year</w:t>
      </w:r>
      <w:r w:rsidRPr="003415CC">
        <w:t xml:space="preserve"> </w:t>
      </w:r>
      <w:r>
        <w:t>of reporting on anti-bribery and corruption matters (this included familiarisation costs)</w:t>
      </w:r>
      <w:r w:rsidRPr="003415CC">
        <w:t xml:space="preserve">. These were reported </w:t>
      </w:r>
      <w:r>
        <w:t xml:space="preserve">only </w:t>
      </w:r>
      <w:r w:rsidRPr="003415CC">
        <w:t>by companies not already reporting on the additional matters. The cal</w:t>
      </w:r>
      <w:r>
        <w:t>culations are provided in Table B1</w:t>
      </w:r>
      <w:r w:rsidRPr="003415CC">
        <w:t>.</w:t>
      </w:r>
    </w:p>
    <w:p w14:paraId="3928F407" w14:textId="77777777" w:rsidR="00C61C35" w:rsidRPr="006753F0" w:rsidRDefault="00C61C35" w:rsidP="00C61C35">
      <w:pPr>
        <w:pStyle w:val="EBBodyPara"/>
        <w:spacing w:line="276" w:lineRule="auto"/>
        <w:jc w:val="center"/>
        <w:rPr>
          <w:b/>
        </w:rPr>
      </w:pPr>
      <w:r w:rsidRPr="006753F0">
        <w:rPr>
          <w:b/>
        </w:rPr>
        <w:t>Table B1</w:t>
      </w:r>
    </w:p>
    <w:p w14:paraId="73269219" w14:textId="77777777" w:rsidR="00C61C35" w:rsidRPr="006753F0" w:rsidRDefault="00C61C35" w:rsidP="00C61C35">
      <w:pPr>
        <w:pStyle w:val="EBBodyPara"/>
        <w:spacing w:line="276" w:lineRule="auto"/>
        <w:jc w:val="center"/>
        <w:rPr>
          <w:b/>
        </w:rPr>
      </w:pPr>
      <w:r w:rsidRPr="006753F0">
        <w:rPr>
          <w:b/>
        </w:rPr>
        <w:t>Costs in the first year of reporting on their approach to anti-bribery and corruption matters</w:t>
      </w:r>
    </w:p>
    <w:tbl>
      <w:tblPr>
        <w:tblW w:w="5680" w:type="dxa"/>
        <w:jc w:val="center"/>
        <w:tblInd w:w="103" w:type="dxa"/>
        <w:tblLook w:val="04A0" w:firstRow="1" w:lastRow="0" w:firstColumn="1" w:lastColumn="0" w:noHBand="0" w:noVBand="1"/>
      </w:tblPr>
      <w:tblGrid>
        <w:gridCol w:w="1598"/>
        <w:gridCol w:w="1300"/>
        <w:gridCol w:w="1320"/>
        <w:gridCol w:w="1700"/>
      </w:tblGrid>
      <w:tr w:rsidR="00C61C35" w:rsidRPr="003415CC" w14:paraId="5AB7454C" w14:textId="77777777" w:rsidTr="00AC7763">
        <w:trPr>
          <w:trHeight w:val="828"/>
          <w:jc w:val="center"/>
        </w:trPr>
        <w:tc>
          <w:tcPr>
            <w:tcW w:w="13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29BFB5F4" w14:textId="77777777" w:rsidR="00C61C35" w:rsidRPr="006753F0" w:rsidRDefault="00C61C35" w:rsidP="00AC7763">
            <w:pPr>
              <w:pStyle w:val="EBBodyPara"/>
              <w:spacing w:line="276" w:lineRule="auto"/>
              <w:jc w:val="center"/>
              <w:rPr>
                <w:b/>
              </w:rPr>
            </w:pPr>
          </w:p>
        </w:tc>
        <w:tc>
          <w:tcPr>
            <w:tcW w:w="1300" w:type="dxa"/>
            <w:tcBorders>
              <w:top w:val="single" w:sz="4" w:space="0" w:color="auto"/>
              <w:left w:val="nil"/>
              <w:bottom w:val="single" w:sz="4" w:space="0" w:color="auto"/>
              <w:right w:val="single" w:sz="4" w:space="0" w:color="auto"/>
            </w:tcBorders>
            <w:shd w:val="clear" w:color="000000" w:fill="D9D9D9"/>
            <w:vAlign w:val="center"/>
            <w:hideMark/>
          </w:tcPr>
          <w:p w14:paraId="3AB428A2" w14:textId="77777777" w:rsidR="00C61C35" w:rsidRPr="006753F0" w:rsidRDefault="00C61C35" w:rsidP="00AC7763">
            <w:pPr>
              <w:pStyle w:val="EBBodyPara"/>
              <w:spacing w:line="276" w:lineRule="auto"/>
              <w:jc w:val="center"/>
              <w:rPr>
                <w:b/>
              </w:rPr>
            </w:pPr>
            <w:r w:rsidRPr="006753F0">
              <w:rPr>
                <w:b/>
              </w:rPr>
              <w:t>Average annual time costs (hours)</w:t>
            </w:r>
          </w:p>
        </w:tc>
        <w:tc>
          <w:tcPr>
            <w:tcW w:w="1320" w:type="dxa"/>
            <w:tcBorders>
              <w:top w:val="single" w:sz="4" w:space="0" w:color="auto"/>
              <w:left w:val="nil"/>
              <w:bottom w:val="single" w:sz="4" w:space="0" w:color="auto"/>
              <w:right w:val="single" w:sz="4" w:space="0" w:color="auto"/>
            </w:tcBorders>
            <w:shd w:val="clear" w:color="000000" w:fill="D9D9D9"/>
            <w:vAlign w:val="center"/>
            <w:hideMark/>
          </w:tcPr>
          <w:p w14:paraId="2C87A445" w14:textId="77777777" w:rsidR="00C61C35" w:rsidRPr="006753F0" w:rsidRDefault="00C61C35" w:rsidP="00AC7763">
            <w:pPr>
              <w:pStyle w:val="EBBodyPara"/>
              <w:spacing w:line="276" w:lineRule="auto"/>
              <w:jc w:val="center"/>
              <w:rPr>
                <w:b/>
              </w:rPr>
            </w:pPr>
            <w:r w:rsidRPr="006753F0">
              <w:rPr>
                <w:b/>
              </w:rPr>
              <w:t>Total cost per hour</w:t>
            </w:r>
            <w:r w:rsidRPr="006753F0">
              <w:rPr>
                <w:b/>
              </w:rPr>
              <w:br/>
              <w:t>£</w:t>
            </w:r>
          </w:p>
        </w:tc>
        <w:tc>
          <w:tcPr>
            <w:tcW w:w="1700" w:type="dxa"/>
            <w:tcBorders>
              <w:top w:val="single" w:sz="4" w:space="0" w:color="auto"/>
              <w:left w:val="nil"/>
              <w:bottom w:val="single" w:sz="4" w:space="0" w:color="auto"/>
              <w:right w:val="single" w:sz="4" w:space="0" w:color="auto"/>
            </w:tcBorders>
            <w:shd w:val="clear" w:color="000000" w:fill="D9D9D9"/>
            <w:vAlign w:val="center"/>
            <w:hideMark/>
          </w:tcPr>
          <w:p w14:paraId="6AB5C79A" w14:textId="77777777" w:rsidR="00C61C35" w:rsidRPr="006753F0" w:rsidRDefault="00C61C35" w:rsidP="00AC7763">
            <w:pPr>
              <w:pStyle w:val="EBBodyPara"/>
              <w:spacing w:line="276" w:lineRule="auto"/>
              <w:jc w:val="center"/>
              <w:rPr>
                <w:b/>
              </w:rPr>
            </w:pPr>
            <w:r w:rsidRPr="006753F0">
              <w:rPr>
                <w:b/>
              </w:rPr>
              <w:t>Total cost per firm</w:t>
            </w:r>
            <w:r w:rsidRPr="006753F0">
              <w:rPr>
                <w:b/>
              </w:rPr>
              <w:br/>
              <w:t>£</w:t>
            </w:r>
          </w:p>
        </w:tc>
      </w:tr>
      <w:tr w:rsidR="00C61C35" w:rsidRPr="003415CC" w14:paraId="4302C876" w14:textId="77777777" w:rsidTr="00AC7763">
        <w:trPr>
          <w:trHeight w:val="288"/>
          <w:jc w:val="center"/>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43EA5318" w14:textId="77777777" w:rsidR="00C61C35" w:rsidRPr="003415CC" w:rsidRDefault="00C61C35" w:rsidP="00AC7763">
            <w:pPr>
              <w:pStyle w:val="EBBodyPara"/>
              <w:spacing w:line="276" w:lineRule="auto"/>
              <w:jc w:val="center"/>
            </w:pPr>
            <w:r w:rsidRPr="003415CC">
              <w:t>Director</w:t>
            </w:r>
          </w:p>
        </w:tc>
        <w:tc>
          <w:tcPr>
            <w:tcW w:w="1300" w:type="dxa"/>
            <w:tcBorders>
              <w:top w:val="nil"/>
              <w:left w:val="nil"/>
              <w:bottom w:val="single" w:sz="4" w:space="0" w:color="auto"/>
              <w:right w:val="single" w:sz="4" w:space="0" w:color="auto"/>
            </w:tcBorders>
            <w:shd w:val="clear" w:color="auto" w:fill="auto"/>
            <w:noWrap/>
            <w:vAlign w:val="center"/>
            <w:hideMark/>
          </w:tcPr>
          <w:p w14:paraId="0F829B6F" w14:textId="77777777" w:rsidR="00C61C35" w:rsidRPr="003415CC" w:rsidRDefault="00C61C35" w:rsidP="00AC7763">
            <w:pPr>
              <w:pStyle w:val="EBBodyPara"/>
              <w:spacing w:line="276" w:lineRule="auto"/>
              <w:jc w:val="center"/>
            </w:pPr>
            <w:r w:rsidRPr="003415CC">
              <w:t>5</w:t>
            </w:r>
          </w:p>
        </w:tc>
        <w:tc>
          <w:tcPr>
            <w:tcW w:w="1320" w:type="dxa"/>
            <w:tcBorders>
              <w:top w:val="nil"/>
              <w:left w:val="nil"/>
              <w:bottom w:val="single" w:sz="4" w:space="0" w:color="auto"/>
              <w:right w:val="single" w:sz="4" w:space="0" w:color="auto"/>
            </w:tcBorders>
            <w:shd w:val="clear" w:color="auto" w:fill="auto"/>
            <w:noWrap/>
            <w:vAlign w:val="center"/>
            <w:hideMark/>
          </w:tcPr>
          <w:p w14:paraId="2091B164" w14:textId="77777777" w:rsidR="00C61C35" w:rsidRPr="003415CC" w:rsidRDefault="00C61C35" w:rsidP="00AC7763">
            <w:pPr>
              <w:pStyle w:val="EBBodyPara"/>
              <w:spacing w:line="276" w:lineRule="auto"/>
              <w:jc w:val="center"/>
            </w:pPr>
            <w:r w:rsidRPr="003415CC">
              <w:t>67.30</w:t>
            </w:r>
          </w:p>
        </w:tc>
        <w:tc>
          <w:tcPr>
            <w:tcW w:w="1700" w:type="dxa"/>
            <w:tcBorders>
              <w:top w:val="nil"/>
              <w:left w:val="nil"/>
              <w:bottom w:val="single" w:sz="4" w:space="0" w:color="auto"/>
              <w:right w:val="single" w:sz="4" w:space="0" w:color="auto"/>
            </w:tcBorders>
            <w:shd w:val="clear" w:color="auto" w:fill="auto"/>
            <w:noWrap/>
            <w:vAlign w:val="center"/>
            <w:hideMark/>
          </w:tcPr>
          <w:p w14:paraId="104F086C" w14:textId="77777777" w:rsidR="00C61C35" w:rsidRPr="003415CC" w:rsidRDefault="00C61C35" w:rsidP="00AC7763">
            <w:pPr>
              <w:pStyle w:val="EBBodyPara"/>
              <w:spacing w:line="276" w:lineRule="auto"/>
              <w:jc w:val="center"/>
            </w:pPr>
            <w:r w:rsidRPr="003415CC">
              <w:t>336</w:t>
            </w:r>
          </w:p>
        </w:tc>
      </w:tr>
      <w:tr w:rsidR="00C61C35" w:rsidRPr="003415CC" w14:paraId="7587704D" w14:textId="77777777" w:rsidTr="00AC7763">
        <w:trPr>
          <w:trHeight w:val="288"/>
          <w:jc w:val="center"/>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5CD13DAB" w14:textId="77777777" w:rsidR="00C61C35" w:rsidRPr="003415CC" w:rsidRDefault="00C61C35" w:rsidP="00AC7763">
            <w:pPr>
              <w:pStyle w:val="EBBodyPara"/>
              <w:spacing w:line="276" w:lineRule="auto"/>
              <w:jc w:val="center"/>
            </w:pPr>
            <w:r w:rsidRPr="003415CC">
              <w:t>Professional</w:t>
            </w:r>
          </w:p>
        </w:tc>
        <w:tc>
          <w:tcPr>
            <w:tcW w:w="1300" w:type="dxa"/>
            <w:tcBorders>
              <w:top w:val="nil"/>
              <w:left w:val="nil"/>
              <w:bottom w:val="single" w:sz="4" w:space="0" w:color="auto"/>
              <w:right w:val="single" w:sz="4" w:space="0" w:color="auto"/>
            </w:tcBorders>
            <w:shd w:val="clear" w:color="auto" w:fill="auto"/>
            <w:noWrap/>
            <w:vAlign w:val="center"/>
            <w:hideMark/>
          </w:tcPr>
          <w:p w14:paraId="6237AB0D" w14:textId="77777777" w:rsidR="00C61C35" w:rsidRPr="003415CC" w:rsidRDefault="00C61C35" w:rsidP="00AC7763">
            <w:pPr>
              <w:pStyle w:val="EBBodyPara"/>
              <w:spacing w:line="276" w:lineRule="auto"/>
              <w:jc w:val="center"/>
            </w:pPr>
            <w:r w:rsidRPr="003415CC">
              <w:t>20</w:t>
            </w:r>
          </w:p>
        </w:tc>
        <w:tc>
          <w:tcPr>
            <w:tcW w:w="1320" w:type="dxa"/>
            <w:tcBorders>
              <w:top w:val="nil"/>
              <w:left w:val="nil"/>
              <w:bottom w:val="single" w:sz="4" w:space="0" w:color="auto"/>
              <w:right w:val="single" w:sz="4" w:space="0" w:color="auto"/>
            </w:tcBorders>
            <w:shd w:val="clear" w:color="auto" w:fill="auto"/>
            <w:noWrap/>
            <w:vAlign w:val="center"/>
            <w:hideMark/>
          </w:tcPr>
          <w:p w14:paraId="0CA9FB13" w14:textId="77777777" w:rsidR="00C61C35" w:rsidRPr="003415CC" w:rsidRDefault="00C61C35" w:rsidP="00AC7763">
            <w:pPr>
              <w:pStyle w:val="EBBodyPara"/>
              <w:spacing w:line="276" w:lineRule="auto"/>
              <w:jc w:val="center"/>
            </w:pPr>
            <w:r w:rsidRPr="003415CC">
              <w:t>29.95</w:t>
            </w:r>
          </w:p>
        </w:tc>
        <w:tc>
          <w:tcPr>
            <w:tcW w:w="1700" w:type="dxa"/>
            <w:tcBorders>
              <w:top w:val="nil"/>
              <w:left w:val="nil"/>
              <w:bottom w:val="single" w:sz="4" w:space="0" w:color="auto"/>
              <w:right w:val="single" w:sz="4" w:space="0" w:color="auto"/>
            </w:tcBorders>
            <w:shd w:val="clear" w:color="auto" w:fill="auto"/>
            <w:noWrap/>
            <w:vAlign w:val="center"/>
            <w:hideMark/>
          </w:tcPr>
          <w:p w14:paraId="7011CA36" w14:textId="77777777" w:rsidR="00C61C35" w:rsidRPr="003415CC" w:rsidRDefault="00C61C35" w:rsidP="00AC7763">
            <w:pPr>
              <w:pStyle w:val="EBBodyPara"/>
              <w:spacing w:line="276" w:lineRule="auto"/>
              <w:jc w:val="center"/>
            </w:pPr>
            <w:r w:rsidRPr="003415CC">
              <w:t>599</w:t>
            </w:r>
          </w:p>
        </w:tc>
      </w:tr>
      <w:tr w:rsidR="00C61C35" w:rsidRPr="003415CC" w14:paraId="608B1380" w14:textId="77777777" w:rsidTr="00AC7763">
        <w:trPr>
          <w:trHeight w:val="288"/>
          <w:jc w:val="center"/>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67EC2F62" w14:textId="77777777" w:rsidR="00C61C35" w:rsidRPr="003415CC" w:rsidRDefault="00C61C35" w:rsidP="00AC7763">
            <w:pPr>
              <w:pStyle w:val="EBBodyPara"/>
              <w:spacing w:line="276" w:lineRule="auto"/>
              <w:jc w:val="center"/>
            </w:pPr>
            <w:r w:rsidRPr="003415CC">
              <w:t>Administrative</w:t>
            </w:r>
          </w:p>
        </w:tc>
        <w:tc>
          <w:tcPr>
            <w:tcW w:w="1300" w:type="dxa"/>
            <w:tcBorders>
              <w:top w:val="nil"/>
              <w:left w:val="nil"/>
              <w:bottom w:val="single" w:sz="4" w:space="0" w:color="auto"/>
              <w:right w:val="single" w:sz="4" w:space="0" w:color="auto"/>
            </w:tcBorders>
            <w:shd w:val="clear" w:color="auto" w:fill="auto"/>
            <w:noWrap/>
            <w:vAlign w:val="center"/>
            <w:hideMark/>
          </w:tcPr>
          <w:p w14:paraId="6AE2B4B7" w14:textId="77777777" w:rsidR="00C61C35" w:rsidRPr="003415CC" w:rsidRDefault="00C61C35" w:rsidP="00AC7763">
            <w:pPr>
              <w:pStyle w:val="EBBodyPara"/>
              <w:spacing w:line="276" w:lineRule="auto"/>
              <w:jc w:val="center"/>
            </w:pPr>
            <w:r w:rsidRPr="003415CC">
              <w:t>1</w:t>
            </w:r>
          </w:p>
        </w:tc>
        <w:tc>
          <w:tcPr>
            <w:tcW w:w="1320" w:type="dxa"/>
            <w:tcBorders>
              <w:top w:val="nil"/>
              <w:left w:val="nil"/>
              <w:bottom w:val="single" w:sz="4" w:space="0" w:color="auto"/>
              <w:right w:val="single" w:sz="4" w:space="0" w:color="auto"/>
            </w:tcBorders>
            <w:shd w:val="clear" w:color="auto" w:fill="auto"/>
            <w:noWrap/>
            <w:vAlign w:val="center"/>
            <w:hideMark/>
          </w:tcPr>
          <w:p w14:paraId="163BC2D3" w14:textId="77777777" w:rsidR="00C61C35" w:rsidRPr="003415CC" w:rsidRDefault="00C61C35" w:rsidP="00AC7763">
            <w:pPr>
              <w:pStyle w:val="EBBodyPara"/>
              <w:spacing w:line="276" w:lineRule="auto"/>
              <w:jc w:val="center"/>
            </w:pPr>
            <w:r w:rsidRPr="003415CC">
              <w:t>15.71</w:t>
            </w:r>
          </w:p>
        </w:tc>
        <w:tc>
          <w:tcPr>
            <w:tcW w:w="1700" w:type="dxa"/>
            <w:tcBorders>
              <w:top w:val="nil"/>
              <w:left w:val="nil"/>
              <w:bottom w:val="single" w:sz="4" w:space="0" w:color="auto"/>
              <w:right w:val="single" w:sz="4" w:space="0" w:color="auto"/>
            </w:tcBorders>
            <w:shd w:val="clear" w:color="auto" w:fill="auto"/>
            <w:noWrap/>
            <w:vAlign w:val="center"/>
            <w:hideMark/>
          </w:tcPr>
          <w:p w14:paraId="0DADD32D" w14:textId="77777777" w:rsidR="00C61C35" w:rsidRPr="003415CC" w:rsidRDefault="00C61C35" w:rsidP="00AC7763">
            <w:pPr>
              <w:pStyle w:val="EBBodyPara"/>
              <w:spacing w:line="276" w:lineRule="auto"/>
              <w:jc w:val="center"/>
            </w:pPr>
            <w:r w:rsidRPr="003415CC">
              <w:t>16</w:t>
            </w:r>
          </w:p>
        </w:tc>
      </w:tr>
      <w:tr w:rsidR="00C61C35" w:rsidRPr="003415CC" w14:paraId="426A55FD" w14:textId="77777777" w:rsidTr="00AC7763">
        <w:trPr>
          <w:trHeight w:val="288"/>
          <w:jc w:val="center"/>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52781181" w14:textId="77777777" w:rsidR="00C61C35" w:rsidRPr="003415CC" w:rsidRDefault="00C61C35" w:rsidP="00AC7763">
            <w:pPr>
              <w:pStyle w:val="EBBodyPara"/>
              <w:spacing w:line="276" w:lineRule="auto"/>
              <w:jc w:val="center"/>
              <w:rPr>
                <w:b/>
              </w:rPr>
            </w:pPr>
            <w:r w:rsidRPr="003415CC">
              <w:rPr>
                <w:b/>
              </w:rPr>
              <w:t>Total cost</w:t>
            </w:r>
          </w:p>
        </w:tc>
        <w:tc>
          <w:tcPr>
            <w:tcW w:w="1300" w:type="dxa"/>
            <w:tcBorders>
              <w:top w:val="nil"/>
              <w:left w:val="nil"/>
              <w:bottom w:val="single" w:sz="4" w:space="0" w:color="auto"/>
              <w:right w:val="single" w:sz="4" w:space="0" w:color="auto"/>
            </w:tcBorders>
            <w:shd w:val="clear" w:color="auto" w:fill="auto"/>
            <w:noWrap/>
            <w:vAlign w:val="center"/>
            <w:hideMark/>
          </w:tcPr>
          <w:p w14:paraId="6344734E" w14:textId="77777777" w:rsidR="00C61C35" w:rsidRPr="003415CC" w:rsidRDefault="00C61C35" w:rsidP="00AC7763">
            <w:pPr>
              <w:pStyle w:val="EBBodyPara"/>
              <w:spacing w:line="276" w:lineRule="auto"/>
              <w:jc w:val="center"/>
            </w:pPr>
          </w:p>
        </w:tc>
        <w:tc>
          <w:tcPr>
            <w:tcW w:w="1320" w:type="dxa"/>
            <w:tcBorders>
              <w:top w:val="nil"/>
              <w:left w:val="nil"/>
              <w:bottom w:val="single" w:sz="4" w:space="0" w:color="auto"/>
              <w:right w:val="single" w:sz="4" w:space="0" w:color="auto"/>
            </w:tcBorders>
            <w:shd w:val="clear" w:color="auto" w:fill="auto"/>
            <w:noWrap/>
            <w:vAlign w:val="center"/>
            <w:hideMark/>
          </w:tcPr>
          <w:p w14:paraId="54085153" w14:textId="77777777" w:rsidR="00C61C35" w:rsidRPr="003415CC" w:rsidRDefault="00C61C35" w:rsidP="00AC7763">
            <w:pPr>
              <w:pStyle w:val="EBBodyPara"/>
              <w:spacing w:line="276" w:lineRule="auto"/>
              <w:jc w:val="center"/>
            </w:pPr>
          </w:p>
        </w:tc>
        <w:tc>
          <w:tcPr>
            <w:tcW w:w="1700" w:type="dxa"/>
            <w:tcBorders>
              <w:top w:val="nil"/>
              <w:left w:val="nil"/>
              <w:bottom w:val="single" w:sz="4" w:space="0" w:color="auto"/>
              <w:right w:val="single" w:sz="4" w:space="0" w:color="auto"/>
            </w:tcBorders>
            <w:shd w:val="clear" w:color="auto" w:fill="auto"/>
            <w:noWrap/>
            <w:vAlign w:val="center"/>
            <w:hideMark/>
          </w:tcPr>
          <w:p w14:paraId="5E24BCC2" w14:textId="77777777" w:rsidR="00C61C35" w:rsidRPr="003415CC" w:rsidRDefault="00C61C35" w:rsidP="00AC7763">
            <w:pPr>
              <w:pStyle w:val="EBBodyPara"/>
              <w:spacing w:line="276" w:lineRule="auto"/>
              <w:jc w:val="center"/>
              <w:rPr>
                <w:b/>
              </w:rPr>
            </w:pPr>
            <w:r w:rsidRPr="003415CC">
              <w:rPr>
                <w:b/>
              </w:rPr>
              <w:t>951</w:t>
            </w:r>
          </w:p>
        </w:tc>
      </w:tr>
    </w:tbl>
    <w:p w14:paraId="047199E3" w14:textId="77777777" w:rsidR="00C61C35" w:rsidRDefault="00C61C35" w:rsidP="004C00E7">
      <w:pPr>
        <w:pStyle w:val="EBBodyPara"/>
        <w:spacing w:line="276" w:lineRule="auto"/>
        <w:jc w:val="both"/>
      </w:pPr>
    </w:p>
    <w:p w14:paraId="15295E2D" w14:textId="77777777" w:rsidR="004C00E7" w:rsidRDefault="00C61C35" w:rsidP="004C00E7">
      <w:pPr>
        <w:pStyle w:val="EBBodyPara"/>
        <w:spacing w:line="276" w:lineRule="auto"/>
        <w:jc w:val="both"/>
      </w:pPr>
      <w:r>
        <w:rPr>
          <w:b/>
        </w:rPr>
        <w:t>Su</w:t>
      </w:r>
      <w:r w:rsidR="004C00E7" w:rsidRPr="003415CC">
        <w:rPr>
          <w:b/>
        </w:rPr>
        <w:t>bsequent year costs</w:t>
      </w:r>
      <w:r w:rsidR="004C00E7" w:rsidRPr="003415CC">
        <w:t xml:space="preserve"> were reported by </w:t>
      </w:r>
      <w:r w:rsidR="00B04E96">
        <w:t xml:space="preserve">unquoted </w:t>
      </w:r>
      <w:r w:rsidR="004C00E7" w:rsidRPr="003415CC">
        <w:t xml:space="preserve">companies who already report on the matter (and therefore were an estimate of costs they already incur) as well as </w:t>
      </w:r>
      <w:r w:rsidR="00B04E96">
        <w:t xml:space="preserve">unquoted </w:t>
      </w:r>
      <w:r w:rsidR="004C00E7" w:rsidRPr="003415CC">
        <w:t xml:space="preserve">companies who do not report on the matter (and therefore </w:t>
      </w:r>
      <w:r w:rsidR="004C00E7">
        <w:t>predicted</w:t>
      </w:r>
      <w:r w:rsidR="004C00E7" w:rsidRPr="003415CC">
        <w:t xml:space="preserve"> costs they would incur if the requirement was placed on them</w:t>
      </w:r>
      <w:r w:rsidR="004C00E7">
        <w:t>). We took</w:t>
      </w:r>
      <w:r w:rsidR="004C00E7" w:rsidRPr="003415CC">
        <w:t xml:space="preserve"> the mean of these two reported averages to arrive at our best estimate of costs to reporting companies in subsequent years. The cal</w:t>
      </w:r>
      <w:r>
        <w:t>culations are provided in Table B2</w:t>
      </w:r>
      <w:r w:rsidR="004C00E7" w:rsidRPr="003415CC">
        <w:t>.</w:t>
      </w:r>
    </w:p>
    <w:p w14:paraId="6F0EAD7A" w14:textId="77777777" w:rsidR="00C61C35" w:rsidRPr="003415CC" w:rsidRDefault="00C61C35" w:rsidP="00C61C35">
      <w:pPr>
        <w:pStyle w:val="EBBodyPara"/>
        <w:keepNext/>
        <w:spacing w:line="276" w:lineRule="auto"/>
        <w:jc w:val="center"/>
        <w:rPr>
          <w:b/>
        </w:rPr>
      </w:pPr>
      <w:r w:rsidRPr="003415CC">
        <w:rPr>
          <w:b/>
        </w:rPr>
        <w:lastRenderedPageBreak/>
        <w:t>Table B2</w:t>
      </w:r>
    </w:p>
    <w:p w14:paraId="212205F4" w14:textId="77777777" w:rsidR="00C61C35" w:rsidRPr="003415CC" w:rsidRDefault="00C61C35" w:rsidP="00C61C35">
      <w:pPr>
        <w:pStyle w:val="EBBodyPara"/>
        <w:keepNext/>
        <w:spacing w:line="276" w:lineRule="auto"/>
        <w:jc w:val="center"/>
        <w:rPr>
          <w:b/>
        </w:rPr>
      </w:pPr>
      <w:r w:rsidRPr="003415CC">
        <w:rPr>
          <w:b/>
        </w:rPr>
        <w:t>Costs of reporting on their approach to anti-bribery and corruption matters in subsequent years</w:t>
      </w:r>
    </w:p>
    <w:tbl>
      <w:tblPr>
        <w:tblW w:w="7420" w:type="dxa"/>
        <w:jc w:val="center"/>
        <w:tblInd w:w="103" w:type="dxa"/>
        <w:tblLook w:val="04A0" w:firstRow="1" w:lastRow="0" w:firstColumn="1" w:lastColumn="0" w:noHBand="0" w:noVBand="1"/>
      </w:tblPr>
      <w:tblGrid>
        <w:gridCol w:w="1598"/>
        <w:gridCol w:w="1300"/>
        <w:gridCol w:w="1320"/>
        <w:gridCol w:w="1520"/>
        <w:gridCol w:w="960"/>
        <w:gridCol w:w="960"/>
      </w:tblGrid>
      <w:tr w:rsidR="00C61C35" w:rsidRPr="003415CC" w14:paraId="67A173D9" w14:textId="77777777" w:rsidTr="00AC7763">
        <w:trPr>
          <w:trHeight w:val="1104"/>
          <w:jc w:val="center"/>
        </w:trPr>
        <w:tc>
          <w:tcPr>
            <w:tcW w:w="13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314B1305" w14:textId="77777777" w:rsidR="00C61C35" w:rsidRPr="003415CC" w:rsidRDefault="00C61C35" w:rsidP="00C61C35">
            <w:pPr>
              <w:pStyle w:val="EBBodyPara"/>
              <w:keepNext/>
              <w:spacing w:line="276" w:lineRule="auto"/>
              <w:jc w:val="center"/>
              <w:rPr>
                <w:b/>
              </w:rPr>
            </w:pPr>
          </w:p>
        </w:tc>
        <w:tc>
          <w:tcPr>
            <w:tcW w:w="1300" w:type="dxa"/>
            <w:tcBorders>
              <w:top w:val="single" w:sz="4" w:space="0" w:color="auto"/>
              <w:left w:val="nil"/>
              <w:bottom w:val="single" w:sz="4" w:space="0" w:color="auto"/>
              <w:right w:val="single" w:sz="4" w:space="0" w:color="auto"/>
            </w:tcBorders>
            <w:shd w:val="clear" w:color="000000" w:fill="D9D9D9"/>
            <w:vAlign w:val="bottom"/>
            <w:hideMark/>
          </w:tcPr>
          <w:p w14:paraId="28257531" w14:textId="77777777" w:rsidR="00C61C35" w:rsidRPr="003415CC" w:rsidRDefault="00C61C35" w:rsidP="00C61C35">
            <w:pPr>
              <w:pStyle w:val="EBBodyPara"/>
              <w:keepNext/>
              <w:spacing w:line="276" w:lineRule="auto"/>
              <w:jc w:val="center"/>
              <w:rPr>
                <w:b/>
              </w:rPr>
            </w:pPr>
            <w:r w:rsidRPr="003415CC">
              <w:rPr>
                <w:b/>
              </w:rPr>
              <w:t>Average annual time costs, those who know (hrs)</w:t>
            </w:r>
          </w:p>
        </w:tc>
        <w:tc>
          <w:tcPr>
            <w:tcW w:w="1320" w:type="dxa"/>
            <w:tcBorders>
              <w:top w:val="single" w:sz="4" w:space="0" w:color="auto"/>
              <w:left w:val="nil"/>
              <w:bottom w:val="single" w:sz="4" w:space="0" w:color="auto"/>
              <w:right w:val="single" w:sz="4" w:space="0" w:color="auto"/>
            </w:tcBorders>
            <w:shd w:val="clear" w:color="000000" w:fill="D9D9D9"/>
            <w:vAlign w:val="bottom"/>
            <w:hideMark/>
          </w:tcPr>
          <w:p w14:paraId="400DB27E" w14:textId="77777777" w:rsidR="00C61C35" w:rsidRPr="003415CC" w:rsidRDefault="00C61C35" w:rsidP="00C61C35">
            <w:pPr>
              <w:pStyle w:val="EBBodyPara"/>
              <w:keepNext/>
              <w:spacing w:line="276" w:lineRule="auto"/>
              <w:jc w:val="center"/>
              <w:rPr>
                <w:b/>
              </w:rPr>
            </w:pPr>
            <w:r w:rsidRPr="003415CC">
              <w:rPr>
                <w:b/>
              </w:rPr>
              <w:t>Average annual time costs, those who predict</w:t>
            </w:r>
          </w:p>
        </w:tc>
        <w:tc>
          <w:tcPr>
            <w:tcW w:w="1520" w:type="dxa"/>
            <w:tcBorders>
              <w:top w:val="single" w:sz="4" w:space="0" w:color="auto"/>
              <w:left w:val="nil"/>
              <w:bottom w:val="single" w:sz="4" w:space="0" w:color="auto"/>
              <w:right w:val="single" w:sz="4" w:space="0" w:color="auto"/>
            </w:tcBorders>
            <w:shd w:val="clear" w:color="000000" w:fill="D9D9D9"/>
            <w:vAlign w:val="bottom"/>
            <w:hideMark/>
          </w:tcPr>
          <w:p w14:paraId="68854F82" w14:textId="77777777" w:rsidR="00C61C35" w:rsidRPr="003415CC" w:rsidRDefault="00C61C35" w:rsidP="00C61C35">
            <w:pPr>
              <w:pStyle w:val="EBBodyPara"/>
              <w:keepNext/>
              <w:spacing w:line="276" w:lineRule="auto"/>
              <w:jc w:val="center"/>
              <w:rPr>
                <w:b/>
              </w:rPr>
            </w:pPr>
            <w:r w:rsidRPr="003415CC">
              <w:rPr>
                <w:b/>
              </w:rPr>
              <w:t>Best estimate of time costs</w:t>
            </w:r>
          </w:p>
        </w:tc>
        <w:tc>
          <w:tcPr>
            <w:tcW w:w="960" w:type="dxa"/>
            <w:tcBorders>
              <w:top w:val="single" w:sz="4" w:space="0" w:color="auto"/>
              <w:left w:val="nil"/>
              <w:bottom w:val="single" w:sz="4" w:space="0" w:color="auto"/>
              <w:right w:val="single" w:sz="4" w:space="0" w:color="auto"/>
            </w:tcBorders>
            <w:shd w:val="clear" w:color="000000" w:fill="D9D9D9"/>
            <w:vAlign w:val="center"/>
            <w:hideMark/>
          </w:tcPr>
          <w:p w14:paraId="5D480FDB" w14:textId="77777777" w:rsidR="00C61C35" w:rsidRPr="003415CC" w:rsidRDefault="00C61C35" w:rsidP="00C61C35">
            <w:pPr>
              <w:pStyle w:val="EBBodyPara"/>
              <w:keepNext/>
              <w:spacing w:line="276" w:lineRule="auto"/>
              <w:jc w:val="center"/>
              <w:rPr>
                <w:b/>
              </w:rPr>
            </w:pPr>
            <w:r w:rsidRPr="003415CC">
              <w:rPr>
                <w:b/>
              </w:rPr>
              <w:t>Total cost per hour</w:t>
            </w:r>
            <w:r w:rsidRPr="003415CC">
              <w:rPr>
                <w:b/>
              </w:rPr>
              <w:br/>
              <w:t>£</w:t>
            </w:r>
          </w:p>
        </w:tc>
        <w:tc>
          <w:tcPr>
            <w:tcW w:w="960" w:type="dxa"/>
            <w:tcBorders>
              <w:top w:val="single" w:sz="4" w:space="0" w:color="auto"/>
              <w:left w:val="nil"/>
              <w:bottom w:val="single" w:sz="4" w:space="0" w:color="auto"/>
              <w:right w:val="single" w:sz="4" w:space="0" w:color="auto"/>
            </w:tcBorders>
            <w:shd w:val="clear" w:color="000000" w:fill="D9D9D9"/>
            <w:vAlign w:val="center"/>
            <w:hideMark/>
          </w:tcPr>
          <w:p w14:paraId="30953866" w14:textId="77777777" w:rsidR="00C61C35" w:rsidRPr="003415CC" w:rsidRDefault="00C61C35" w:rsidP="00C61C35">
            <w:pPr>
              <w:pStyle w:val="EBBodyPara"/>
              <w:keepNext/>
              <w:spacing w:line="276" w:lineRule="auto"/>
              <w:jc w:val="center"/>
              <w:rPr>
                <w:b/>
              </w:rPr>
            </w:pPr>
            <w:r w:rsidRPr="003415CC">
              <w:rPr>
                <w:b/>
              </w:rPr>
              <w:t>Total cost per firm</w:t>
            </w:r>
            <w:r w:rsidRPr="003415CC">
              <w:rPr>
                <w:b/>
              </w:rPr>
              <w:br/>
              <w:t>£</w:t>
            </w:r>
          </w:p>
        </w:tc>
      </w:tr>
      <w:tr w:rsidR="00C61C35" w:rsidRPr="003415CC" w14:paraId="3EDA6E7F" w14:textId="77777777" w:rsidTr="00AC7763">
        <w:trPr>
          <w:trHeight w:val="288"/>
          <w:jc w:val="center"/>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37E64105" w14:textId="77777777" w:rsidR="00C61C35" w:rsidRPr="003415CC" w:rsidRDefault="00C61C35" w:rsidP="00C61C35">
            <w:pPr>
              <w:pStyle w:val="EBBodyPara"/>
              <w:keepNext/>
              <w:spacing w:line="276" w:lineRule="auto"/>
              <w:jc w:val="center"/>
            </w:pPr>
            <w:r w:rsidRPr="003415CC">
              <w:t>Director</w:t>
            </w:r>
          </w:p>
        </w:tc>
        <w:tc>
          <w:tcPr>
            <w:tcW w:w="1300" w:type="dxa"/>
            <w:tcBorders>
              <w:top w:val="nil"/>
              <w:left w:val="nil"/>
              <w:bottom w:val="single" w:sz="4" w:space="0" w:color="auto"/>
              <w:right w:val="single" w:sz="4" w:space="0" w:color="auto"/>
            </w:tcBorders>
            <w:shd w:val="clear" w:color="auto" w:fill="auto"/>
            <w:noWrap/>
            <w:vAlign w:val="center"/>
            <w:hideMark/>
          </w:tcPr>
          <w:p w14:paraId="175939F5" w14:textId="77777777" w:rsidR="00C61C35" w:rsidRPr="003415CC" w:rsidRDefault="00C61C35" w:rsidP="00C61C35">
            <w:pPr>
              <w:pStyle w:val="EBBodyPara"/>
              <w:keepNext/>
              <w:spacing w:line="276" w:lineRule="auto"/>
              <w:jc w:val="center"/>
            </w:pPr>
            <w:r w:rsidRPr="003415CC">
              <w:t>1</w:t>
            </w:r>
          </w:p>
        </w:tc>
        <w:tc>
          <w:tcPr>
            <w:tcW w:w="1320" w:type="dxa"/>
            <w:tcBorders>
              <w:top w:val="nil"/>
              <w:left w:val="nil"/>
              <w:bottom w:val="single" w:sz="4" w:space="0" w:color="auto"/>
              <w:right w:val="single" w:sz="4" w:space="0" w:color="auto"/>
            </w:tcBorders>
            <w:shd w:val="clear" w:color="auto" w:fill="auto"/>
            <w:noWrap/>
            <w:vAlign w:val="center"/>
            <w:hideMark/>
          </w:tcPr>
          <w:p w14:paraId="55111703" w14:textId="77777777" w:rsidR="00C61C35" w:rsidRPr="003415CC" w:rsidRDefault="00C61C35" w:rsidP="00C61C35">
            <w:pPr>
              <w:pStyle w:val="EBBodyPara"/>
              <w:keepNext/>
              <w:spacing w:line="276" w:lineRule="auto"/>
              <w:jc w:val="center"/>
            </w:pPr>
            <w:r w:rsidRPr="003415CC">
              <w:t>3</w:t>
            </w:r>
          </w:p>
        </w:tc>
        <w:tc>
          <w:tcPr>
            <w:tcW w:w="1520" w:type="dxa"/>
            <w:tcBorders>
              <w:top w:val="nil"/>
              <w:left w:val="nil"/>
              <w:bottom w:val="single" w:sz="4" w:space="0" w:color="auto"/>
              <w:right w:val="single" w:sz="4" w:space="0" w:color="auto"/>
            </w:tcBorders>
            <w:shd w:val="clear" w:color="auto" w:fill="auto"/>
            <w:noWrap/>
            <w:vAlign w:val="center"/>
            <w:hideMark/>
          </w:tcPr>
          <w:p w14:paraId="0BACB1F9" w14:textId="77777777" w:rsidR="00C61C35" w:rsidRPr="003415CC" w:rsidRDefault="00C61C35" w:rsidP="00C61C35">
            <w:pPr>
              <w:pStyle w:val="EBBodyPara"/>
              <w:keepNext/>
              <w:spacing w:line="276" w:lineRule="auto"/>
              <w:jc w:val="center"/>
            </w:pPr>
            <w:r w:rsidRPr="003415CC">
              <w:t>2</w:t>
            </w:r>
          </w:p>
        </w:tc>
        <w:tc>
          <w:tcPr>
            <w:tcW w:w="960" w:type="dxa"/>
            <w:tcBorders>
              <w:top w:val="nil"/>
              <w:left w:val="nil"/>
              <w:bottom w:val="single" w:sz="4" w:space="0" w:color="auto"/>
              <w:right w:val="single" w:sz="4" w:space="0" w:color="auto"/>
            </w:tcBorders>
            <w:shd w:val="clear" w:color="auto" w:fill="auto"/>
            <w:noWrap/>
            <w:vAlign w:val="center"/>
            <w:hideMark/>
          </w:tcPr>
          <w:p w14:paraId="7B3455CD" w14:textId="77777777" w:rsidR="00C61C35" w:rsidRPr="003415CC" w:rsidRDefault="00C61C35" w:rsidP="00C61C35">
            <w:pPr>
              <w:pStyle w:val="EBBodyPara"/>
              <w:keepNext/>
              <w:spacing w:line="276" w:lineRule="auto"/>
              <w:jc w:val="center"/>
            </w:pPr>
            <w:r w:rsidRPr="003415CC">
              <w:t>67.30</w:t>
            </w:r>
          </w:p>
        </w:tc>
        <w:tc>
          <w:tcPr>
            <w:tcW w:w="960" w:type="dxa"/>
            <w:tcBorders>
              <w:top w:val="nil"/>
              <w:left w:val="nil"/>
              <w:bottom w:val="single" w:sz="4" w:space="0" w:color="auto"/>
              <w:right w:val="single" w:sz="4" w:space="0" w:color="auto"/>
            </w:tcBorders>
            <w:shd w:val="clear" w:color="auto" w:fill="auto"/>
            <w:noWrap/>
            <w:vAlign w:val="center"/>
            <w:hideMark/>
          </w:tcPr>
          <w:p w14:paraId="21CC8A18" w14:textId="77777777" w:rsidR="00C61C35" w:rsidRPr="003415CC" w:rsidRDefault="00C61C35" w:rsidP="00C61C35">
            <w:pPr>
              <w:pStyle w:val="EBBodyPara"/>
              <w:keepNext/>
              <w:spacing w:line="276" w:lineRule="auto"/>
              <w:jc w:val="center"/>
            </w:pPr>
            <w:r w:rsidRPr="003415CC">
              <w:t>135</w:t>
            </w:r>
          </w:p>
        </w:tc>
      </w:tr>
      <w:tr w:rsidR="00C61C35" w:rsidRPr="003415CC" w14:paraId="1F64A2F7" w14:textId="77777777" w:rsidTr="00AC7763">
        <w:trPr>
          <w:trHeight w:val="288"/>
          <w:jc w:val="center"/>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5CCDC551" w14:textId="77777777" w:rsidR="00C61C35" w:rsidRPr="003415CC" w:rsidRDefault="00C61C35" w:rsidP="00C61C35">
            <w:pPr>
              <w:pStyle w:val="EBBodyPara"/>
              <w:keepNext/>
              <w:spacing w:line="276" w:lineRule="auto"/>
              <w:jc w:val="center"/>
            </w:pPr>
            <w:r w:rsidRPr="003415CC">
              <w:t>Professional</w:t>
            </w:r>
          </w:p>
        </w:tc>
        <w:tc>
          <w:tcPr>
            <w:tcW w:w="1300" w:type="dxa"/>
            <w:tcBorders>
              <w:top w:val="nil"/>
              <w:left w:val="nil"/>
              <w:bottom w:val="single" w:sz="4" w:space="0" w:color="auto"/>
              <w:right w:val="single" w:sz="4" w:space="0" w:color="auto"/>
            </w:tcBorders>
            <w:shd w:val="clear" w:color="auto" w:fill="auto"/>
            <w:noWrap/>
            <w:vAlign w:val="center"/>
            <w:hideMark/>
          </w:tcPr>
          <w:p w14:paraId="5D17A3B1" w14:textId="77777777" w:rsidR="00C61C35" w:rsidRPr="003415CC" w:rsidRDefault="00C61C35" w:rsidP="00C61C35">
            <w:pPr>
              <w:pStyle w:val="EBBodyPara"/>
              <w:keepNext/>
              <w:spacing w:line="276" w:lineRule="auto"/>
              <w:jc w:val="center"/>
            </w:pPr>
            <w:r w:rsidRPr="003415CC">
              <w:t>3</w:t>
            </w:r>
          </w:p>
        </w:tc>
        <w:tc>
          <w:tcPr>
            <w:tcW w:w="1320" w:type="dxa"/>
            <w:tcBorders>
              <w:top w:val="nil"/>
              <w:left w:val="nil"/>
              <w:bottom w:val="single" w:sz="4" w:space="0" w:color="auto"/>
              <w:right w:val="single" w:sz="4" w:space="0" w:color="auto"/>
            </w:tcBorders>
            <w:shd w:val="clear" w:color="auto" w:fill="auto"/>
            <w:noWrap/>
            <w:vAlign w:val="center"/>
            <w:hideMark/>
          </w:tcPr>
          <w:p w14:paraId="6EEFB363" w14:textId="77777777" w:rsidR="00C61C35" w:rsidRPr="003415CC" w:rsidRDefault="00C61C35" w:rsidP="00C61C35">
            <w:pPr>
              <w:pStyle w:val="EBBodyPara"/>
              <w:keepNext/>
              <w:spacing w:line="276" w:lineRule="auto"/>
              <w:jc w:val="center"/>
            </w:pPr>
            <w:r w:rsidRPr="003415CC">
              <w:t>10</w:t>
            </w:r>
          </w:p>
        </w:tc>
        <w:tc>
          <w:tcPr>
            <w:tcW w:w="1520" w:type="dxa"/>
            <w:tcBorders>
              <w:top w:val="nil"/>
              <w:left w:val="nil"/>
              <w:bottom w:val="single" w:sz="4" w:space="0" w:color="auto"/>
              <w:right w:val="single" w:sz="4" w:space="0" w:color="auto"/>
            </w:tcBorders>
            <w:shd w:val="clear" w:color="auto" w:fill="auto"/>
            <w:noWrap/>
            <w:vAlign w:val="center"/>
            <w:hideMark/>
          </w:tcPr>
          <w:p w14:paraId="7CC1C0FE" w14:textId="77777777" w:rsidR="00C61C35" w:rsidRPr="003415CC" w:rsidRDefault="00C61C35" w:rsidP="00C61C35">
            <w:pPr>
              <w:pStyle w:val="EBBodyPara"/>
              <w:keepNext/>
              <w:spacing w:line="276" w:lineRule="auto"/>
              <w:jc w:val="center"/>
            </w:pPr>
            <w:r w:rsidRPr="003415CC">
              <w:t>6.5</w:t>
            </w:r>
          </w:p>
        </w:tc>
        <w:tc>
          <w:tcPr>
            <w:tcW w:w="960" w:type="dxa"/>
            <w:tcBorders>
              <w:top w:val="nil"/>
              <w:left w:val="nil"/>
              <w:bottom w:val="single" w:sz="4" w:space="0" w:color="auto"/>
              <w:right w:val="single" w:sz="4" w:space="0" w:color="auto"/>
            </w:tcBorders>
            <w:shd w:val="clear" w:color="auto" w:fill="auto"/>
            <w:noWrap/>
            <w:vAlign w:val="center"/>
            <w:hideMark/>
          </w:tcPr>
          <w:p w14:paraId="3015BCFF" w14:textId="77777777" w:rsidR="00C61C35" w:rsidRPr="003415CC" w:rsidRDefault="00C61C35" w:rsidP="00C61C35">
            <w:pPr>
              <w:pStyle w:val="EBBodyPara"/>
              <w:keepNext/>
              <w:spacing w:line="276" w:lineRule="auto"/>
              <w:jc w:val="center"/>
            </w:pPr>
            <w:r w:rsidRPr="003415CC">
              <w:t>29.95</w:t>
            </w:r>
          </w:p>
        </w:tc>
        <w:tc>
          <w:tcPr>
            <w:tcW w:w="960" w:type="dxa"/>
            <w:tcBorders>
              <w:top w:val="nil"/>
              <w:left w:val="nil"/>
              <w:bottom w:val="single" w:sz="4" w:space="0" w:color="auto"/>
              <w:right w:val="single" w:sz="4" w:space="0" w:color="auto"/>
            </w:tcBorders>
            <w:shd w:val="clear" w:color="auto" w:fill="auto"/>
            <w:noWrap/>
            <w:vAlign w:val="center"/>
            <w:hideMark/>
          </w:tcPr>
          <w:p w14:paraId="4D004BB1" w14:textId="77777777" w:rsidR="00C61C35" w:rsidRPr="003415CC" w:rsidRDefault="00C61C35" w:rsidP="00C61C35">
            <w:pPr>
              <w:pStyle w:val="EBBodyPara"/>
              <w:keepNext/>
              <w:spacing w:line="276" w:lineRule="auto"/>
              <w:jc w:val="center"/>
            </w:pPr>
            <w:r w:rsidRPr="003415CC">
              <w:t>195</w:t>
            </w:r>
          </w:p>
        </w:tc>
      </w:tr>
      <w:tr w:rsidR="00C61C35" w:rsidRPr="003415CC" w14:paraId="446CCA70" w14:textId="77777777" w:rsidTr="00AC7763">
        <w:trPr>
          <w:trHeight w:val="288"/>
          <w:jc w:val="center"/>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72CC9327" w14:textId="77777777" w:rsidR="00C61C35" w:rsidRPr="003415CC" w:rsidRDefault="00C61C35" w:rsidP="00C61C35">
            <w:pPr>
              <w:pStyle w:val="EBBodyPara"/>
              <w:keepNext/>
              <w:spacing w:line="276" w:lineRule="auto"/>
              <w:jc w:val="center"/>
            </w:pPr>
            <w:r w:rsidRPr="003415CC">
              <w:t>Administrative</w:t>
            </w:r>
          </w:p>
        </w:tc>
        <w:tc>
          <w:tcPr>
            <w:tcW w:w="1300" w:type="dxa"/>
            <w:tcBorders>
              <w:top w:val="nil"/>
              <w:left w:val="nil"/>
              <w:bottom w:val="single" w:sz="4" w:space="0" w:color="auto"/>
              <w:right w:val="single" w:sz="4" w:space="0" w:color="auto"/>
            </w:tcBorders>
            <w:shd w:val="clear" w:color="auto" w:fill="auto"/>
            <w:noWrap/>
            <w:vAlign w:val="center"/>
            <w:hideMark/>
          </w:tcPr>
          <w:p w14:paraId="2D362C91" w14:textId="77777777" w:rsidR="00C61C35" w:rsidRPr="003415CC" w:rsidRDefault="00C61C35" w:rsidP="00C61C35">
            <w:pPr>
              <w:pStyle w:val="EBBodyPara"/>
              <w:keepNext/>
              <w:spacing w:line="276" w:lineRule="auto"/>
              <w:jc w:val="center"/>
            </w:pPr>
            <w:r w:rsidRPr="003415CC">
              <w:t>2</w:t>
            </w:r>
          </w:p>
        </w:tc>
        <w:tc>
          <w:tcPr>
            <w:tcW w:w="1320" w:type="dxa"/>
            <w:tcBorders>
              <w:top w:val="nil"/>
              <w:left w:val="nil"/>
              <w:bottom w:val="single" w:sz="4" w:space="0" w:color="auto"/>
              <w:right w:val="single" w:sz="4" w:space="0" w:color="auto"/>
            </w:tcBorders>
            <w:shd w:val="clear" w:color="auto" w:fill="auto"/>
            <w:noWrap/>
            <w:vAlign w:val="center"/>
            <w:hideMark/>
          </w:tcPr>
          <w:p w14:paraId="125871A6" w14:textId="77777777" w:rsidR="00C61C35" w:rsidRPr="003415CC" w:rsidRDefault="00C61C35" w:rsidP="00C61C35">
            <w:pPr>
              <w:pStyle w:val="EBBodyPara"/>
              <w:keepNext/>
              <w:spacing w:line="276" w:lineRule="auto"/>
              <w:jc w:val="center"/>
            </w:pPr>
            <w:r w:rsidRPr="003415CC">
              <w:t>14</w:t>
            </w:r>
          </w:p>
        </w:tc>
        <w:tc>
          <w:tcPr>
            <w:tcW w:w="1520" w:type="dxa"/>
            <w:tcBorders>
              <w:top w:val="nil"/>
              <w:left w:val="nil"/>
              <w:bottom w:val="single" w:sz="4" w:space="0" w:color="auto"/>
              <w:right w:val="single" w:sz="4" w:space="0" w:color="auto"/>
            </w:tcBorders>
            <w:shd w:val="clear" w:color="auto" w:fill="auto"/>
            <w:noWrap/>
            <w:vAlign w:val="center"/>
            <w:hideMark/>
          </w:tcPr>
          <w:p w14:paraId="660C9EE8" w14:textId="77777777" w:rsidR="00C61C35" w:rsidRPr="003415CC" w:rsidRDefault="00C61C35" w:rsidP="00C61C35">
            <w:pPr>
              <w:pStyle w:val="EBBodyPara"/>
              <w:keepNext/>
              <w:spacing w:line="276" w:lineRule="auto"/>
              <w:jc w:val="center"/>
            </w:pPr>
            <w:r w:rsidRPr="003415CC">
              <w:t>8</w:t>
            </w:r>
          </w:p>
        </w:tc>
        <w:tc>
          <w:tcPr>
            <w:tcW w:w="960" w:type="dxa"/>
            <w:tcBorders>
              <w:top w:val="nil"/>
              <w:left w:val="nil"/>
              <w:bottom w:val="single" w:sz="4" w:space="0" w:color="auto"/>
              <w:right w:val="single" w:sz="4" w:space="0" w:color="auto"/>
            </w:tcBorders>
            <w:shd w:val="clear" w:color="auto" w:fill="auto"/>
            <w:noWrap/>
            <w:vAlign w:val="center"/>
            <w:hideMark/>
          </w:tcPr>
          <w:p w14:paraId="0D390D91" w14:textId="77777777" w:rsidR="00C61C35" w:rsidRPr="003415CC" w:rsidRDefault="00C61C35" w:rsidP="00C61C35">
            <w:pPr>
              <w:pStyle w:val="EBBodyPara"/>
              <w:keepNext/>
              <w:spacing w:line="276" w:lineRule="auto"/>
              <w:jc w:val="center"/>
            </w:pPr>
            <w:r w:rsidRPr="003415CC">
              <w:t>15.71</w:t>
            </w:r>
          </w:p>
        </w:tc>
        <w:tc>
          <w:tcPr>
            <w:tcW w:w="960" w:type="dxa"/>
            <w:tcBorders>
              <w:top w:val="nil"/>
              <w:left w:val="nil"/>
              <w:bottom w:val="single" w:sz="4" w:space="0" w:color="auto"/>
              <w:right w:val="single" w:sz="4" w:space="0" w:color="auto"/>
            </w:tcBorders>
            <w:shd w:val="clear" w:color="auto" w:fill="auto"/>
            <w:noWrap/>
            <w:vAlign w:val="center"/>
            <w:hideMark/>
          </w:tcPr>
          <w:p w14:paraId="60CA1AA3" w14:textId="77777777" w:rsidR="00C61C35" w:rsidRPr="003415CC" w:rsidRDefault="00C61C35" w:rsidP="00C61C35">
            <w:pPr>
              <w:pStyle w:val="EBBodyPara"/>
              <w:keepNext/>
              <w:spacing w:line="276" w:lineRule="auto"/>
              <w:jc w:val="center"/>
            </w:pPr>
            <w:r w:rsidRPr="003415CC">
              <w:t>126</w:t>
            </w:r>
          </w:p>
        </w:tc>
      </w:tr>
      <w:tr w:rsidR="00C61C35" w:rsidRPr="003415CC" w14:paraId="4F2B63B7" w14:textId="77777777" w:rsidTr="00AC7763">
        <w:trPr>
          <w:trHeight w:val="288"/>
          <w:jc w:val="center"/>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1C9F01C2" w14:textId="77777777" w:rsidR="00C61C35" w:rsidRPr="003415CC" w:rsidRDefault="00C61C35" w:rsidP="00C61C35">
            <w:pPr>
              <w:pStyle w:val="EBBodyPara"/>
              <w:keepNext/>
              <w:spacing w:line="276" w:lineRule="auto"/>
              <w:jc w:val="center"/>
              <w:rPr>
                <w:b/>
              </w:rPr>
            </w:pPr>
            <w:r w:rsidRPr="003415CC">
              <w:rPr>
                <w:b/>
              </w:rPr>
              <w:t>Total cost</w:t>
            </w:r>
          </w:p>
        </w:tc>
        <w:tc>
          <w:tcPr>
            <w:tcW w:w="1300" w:type="dxa"/>
            <w:tcBorders>
              <w:top w:val="nil"/>
              <w:left w:val="nil"/>
              <w:bottom w:val="single" w:sz="4" w:space="0" w:color="auto"/>
              <w:right w:val="single" w:sz="4" w:space="0" w:color="auto"/>
            </w:tcBorders>
            <w:shd w:val="clear" w:color="auto" w:fill="auto"/>
            <w:noWrap/>
            <w:vAlign w:val="center"/>
            <w:hideMark/>
          </w:tcPr>
          <w:p w14:paraId="1B132581" w14:textId="77777777" w:rsidR="00C61C35" w:rsidRPr="003415CC" w:rsidRDefault="00C61C35" w:rsidP="00C61C35">
            <w:pPr>
              <w:pStyle w:val="EBBodyPara"/>
              <w:keepNext/>
              <w:spacing w:line="276" w:lineRule="auto"/>
              <w:jc w:val="center"/>
            </w:pPr>
          </w:p>
        </w:tc>
        <w:tc>
          <w:tcPr>
            <w:tcW w:w="1320" w:type="dxa"/>
            <w:tcBorders>
              <w:top w:val="nil"/>
              <w:left w:val="nil"/>
              <w:bottom w:val="single" w:sz="4" w:space="0" w:color="auto"/>
              <w:right w:val="single" w:sz="4" w:space="0" w:color="auto"/>
            </w:tcBorders>
            <w:shd w:val="clear" w:color="auto" w:fill="auto"/>
            <w:noWrap/>
            <w:vAlign w:val="center"/>
            <w:hideMark/>
          </w:tcPr>
          <w:p w14:paraId="489277EA" w14:textId="77777777" w:rsidR="00C61C35" w:rsidRPr="003415CC" w:rsidRDefault="00C61C35" w:rsidP="00C61C35">
            <w:pPr>
              <w:pStyle w:val="EBBodyPara"/>
              <w:keepNext/>
              <w:spacing w:line="276" w:lineRule="auto"/>
              <w:jc w:val="center"/>
            </w:pPr>
          </w:p>
        </w:tc>
        <w:tc>
          <w:tcPr>
            <w:tcW w:w="1520" w:type="dxa"/>
            <w:tcBorders>
              <w:top w:val="nil"/>
              <w:left w:val="nil"/>
              <w:bottom w:val="single" w:sz="4" w:space="0" w:color="auto"/>
              <w:right w:val="single" w:sz="4" w:space="0" w:color="auto"/>
            </w:tcBorders>
            <w:shd w:val="clear" w:color="auto" w:fill="auto"/>
            <w:noWrap/>
            <w:vAlign w:val="center"/>
            <w:hideMark/>
          </w:tcPr>
          <w:p w14:paraId="360F32BC" w14:textId="77777777" w:rsidR="00C61C35" w:rsidRPr="003415CC" w:rsidRDefault="00C61C35" w:rsidP="00C61C35">
            <w:pPr>
              <w:pStyle w:val="EBBodyPara"/>
              <w:keepNext/>
              <w:spacing w:line="276" w:lineRule="auto"/>
              <w:jc w:val="center"/>
            </w:pPr>
          </w:p>
        </w:tc>
        <w:tc>
          <w:tcPr>
            <w:tcW w:w="960" w:type="dxa"/>
            <w:tcBorders>
              <w:top w:val="nil"/>
              <w:left w:val="nil"/>
              <w:bottom w:val="single" w:sz="4" w:space="0" w:color="auto"/>
              <w:right w:val="single" w:sz="4" w:space="0" w:color="auto"/>
            </w:tcBorders>
            <w:shd w:val="clear" w:color="auto" w:fill="auto"/>
            <w:noWrap/>
            <w:vAlign w:val="center"/>
            <w:hideMark/>
          </w:tcPr>
          <w:p w14:paraId="001A3144" w14:textId="77777777" w:rsidR="00C61C35" w:rsidRPr="003415CC" w:rsidRDefault="00C61C35" w:rsidP="00C61C35">
            <w:pPr>
              <w:pStyle w:val="EBBodyPara"/>
              <w:keepNext/>
              <w:spacing w:line="276" w:lineRule="auto"/>
              <w:jc w:val="center"/>
            </w:pPr>
          </w:p>
        </w:tc>
        <w:tc>
          <w:tcPr>
            <w:tcW w:w="960" w:type="dxa"/>
            <w:tcBorders>
              <w:top w:val="nil"/>
              <w:left w:val="nil"/>
              <w:bottom w:val="single" w:sz="4" w:space="0" w:color="auto"/>
              <w:right w:val="single" w:sz="4" w:space="0" w:color="auto"/>
            </w:tcBorders>
            <w:shd w:val="clear" w:color="auto" w:fill="auto"/>
            <w:noWrap/>
            <w:vAlign w:val="center"/>
            <w:hideMark/>
          </w:tcPr>
          <w:p w14:paraId="07E09E73" w14:textId="77777777" w:rsidR="00C61C35" w:rsidRPr="003415CC" w:rsidRDefault="00C61C35" w:rsidP="00C61C35">
            <w:pPr>
              <w:pStyle w:val="EBBodyPara"/>
              <w:keepNext/>
              <w:spacing w:line="276" w:lineRule="auto"/>
              <w:jc w:val="center"/>
              <w:rPr>
                <w:b/>
              </w:rPr>
            </w:pPr>
            <w:r w:rsidRPr="003415CC">
              <w:rPr>
                <w:b/>
              </w:rPr>
              <w:t>455</w:t>
            </w:r>
          </w:p>
        </w:tc>
      </w:tr>
    </w:tbl>
    <w:p w14:paraId="4E9D45B4" w14:textId="77777777" w:rsidR="00C61C35" w:rsidRPr="003415CC" w:rsidRDefault="00C61C35" w:rsidP="00C61C35">
      <w:pPr>
        <w:pStyle w:val="EBBodyPara"/>
        <w:spacing w:line="276" w:lineRule="auto"/>
        <w:rPr>
          <w:b/>
        </w:rPr>
      </w:pPr>
    </w:p>
    <w:p w14:paraId="0287D9F8" w14:textId="77777777" w:rsidR="00C30451" w:rsidRPr="003415CC" w:rsidRDefault="00C30451" w:rsidP="00C82045">
      <w:pPr>
        <w:pStyle w:val="EBBodyPara"/>
        <w:spacing w:line="276" w:lineRule="auto"/>
        <w:jc w:val="both"/>
      </w:pPr>
      <w:r w:rsidRPr="003415CC">
        <w:t xml:space="preserve">For unquoted companies, we also had to estimate the </w:t>
      </w:r>
      <w:r w:rsidRPr="003415CC">
        <w:rPr>
          <w:b/>
        </w:rPr>
        <w:t>costs of meeting other requirements</w:t>
      </w:r>
      <w:r w:rsidRPr="003415CC">
        <w:t xml:space="preserve"> of the EU NFRD which mirror the requirements of the UK’s </w:t>
      </w:r>
      <w:r w:rsidR="00390FD2">
        <w:t>E</w:t>
      </w:r>
      <w:r w:rsidRPr="003415CC">
        <w:t xml:space="preserve">nhanced </w:t>
      </w:r>
      <w:r w:rsidR="00390FD2">
        <w:t>S</w:t>
      </w:r>
      <w:r w:rsidRPr="003415CC">
        <w:t xml:space="preserve">trategic </w:t>
      </w:r>
      <w:r w:rsidR="00390FD2">
        <w:t>R</w:t>
      </w:r>
      <w:r w:rsidRPr="003415CC">
        <w:t>eport, but which are not currently met by unquoted companies. We estimate the ongoing costs of the change as the difference between the average costs of companies already meeting the requirements and the costs to unquoted companies meeting the current requirements on them. This is shown in Table B4.</w:t>
      </w:r>
    </w:p>
    <w:p w14:paraId="30C1AED3" w14:textId="77777777" w:rsidR="00C30451" w:rsidRPr="003415CC" w:rsidRDefault="00C30451" w:rsidP="00C61C35">
      <w:pPr>
        <w:pStyle w:val="EBBodyPara"/>
        <w:spacing w:line="276" w:lineRule="auto"/>
        <w:jc w:val="both"/>
      </w:pPr>
      <w:r w:rsidRPr="003415CC">
        <w:t xml:space="preserve">Our survey requested companies to report the total ongoing costs of the current NFR reporting requirements on them, which we use above. However, unquoted companies are expected to have additional familiarisation time imposed on them from this change. We assume that the incremental familiarisation time costs to them of meeting additional requirements would be similar to that estimated for the new requirement to report on anti-bribery and corruption matters. Under the </w:t>
      </w:r>
      <w:r w:rsidR="001F396E">
        <w:t>NFRD</w:t>
      </w:r>
      <w:r w:rsidRPr="001F396E">
        <w:t xml:space="preserve"> they would also have to report on 3 additional matt</w:t>
      </w:r>
      <w:r w:rsidRPr="00BE0BD9">
        <w:t xml:space="preserve">ers - environmental matters, employee matters and human rights matters. We estimate the familiarisation time as the difference between the first year and subsequent year costs reported by them </w:t>
      </w:r>
      <w:r w:rsidR="003D78E8">
        <w:t xml:space="preserve">from the requirement to make </w:t>
      </w:r>
      <w:proofErr w:type="gramStart"/>
      <w:r w:rsidR="003D78E8">
        <w:t xml:space="preserve">an </w:t>
      </w:r>
      <w:r w:rsidRPr="00BE0BD9">
        <w:t>anti</w:t>
      </w:r>
      <w:proofErr w:type="gramEnd"/>
      <w:r w:rsidRPr="00BE0BD9">
        <w:t>-bribery and corruption sta</w:t>
      </w:r>
      <w:r w:rsidRPr="006753F0">
        <w:t>tement, multiplied by 3. The calculations are shown in</w:t>
      </w:r>
      <w:r w:rsidR="00C61C35">
        <w:t xml:space="preserve"> Table B3.</w:t>
      </w:r>
      <w:r w:rsidRPr="006753F0">
        <w:t xml:space="preserve"> </w:t>
      </w:r>
    </w:p>
    <w:p w14:paraId="115CA32F" w14:textId="77777777" w:rsidR="00C30451" w:rsidRPr="003415CC" w:rsidRDefault="00C30451" w:rsidP="00C61C35">
      <w:pPr>
        <w:pStyle w:val="EBBodyPara"/>
        <w:keepNext/>
        <w:spacing w:line="276" w:lineRule="auto"/>
        <w:jc w:val="center"/>
        <w:rPr>
          <w:b/>
        </w:rPr>
      </w:pPr>
      <w:r w:rsidRPr="003415CC">
        <w:rPr>
          <w:b/>
        </w:rPr>
        <w:lastRenderedPageBreak/>
        <w:t>Table B3</w:t>
      </w:r>
    </w:p>
    <w:p w14:paraId="29ECF3FA" w14:textId="77777777" w:rsidR="00C30451" w:rsidRPr="003415CC" w:rsidRDefault="00C30451" w:rsidP="00C61C35">
      <w:pPr>
        <w:pStyle w:val="EBBodyPara"/>
        <w:keepNext/>
        <w:spacing w:line="276" w:lineRule="auto"/>
        <w:jc w:val="center"/>
        <w:rPr>
          <w:b/>
        </w:rPr>
      </w:pPr>
      <w:r w:rsidRPr="003415CC">
        <w:rPr>
          <w:b/>
        </w:rPr>
        <w:t xml:space="preserve">First year costs of meeting other requirements of the EU NFRD which mirror the requirements of the UK’s </w:t>
      </w:r>
      <w:r w:rsidR="00390FD2">
        <w:rPr>
          <w:b/>
        </w:rPr>
        <w:t>E</w:t>
      </w:r>
      <w:r w:rsidRPr="003415CC">
        <w:rPr>
          <w:b/>
        </w:rPr>
        <w:t xml:space="preserve">nhanced </w:t>
      </w:r>
      <w:r w:rsidR="00390FD2">
        <w:rPr>
          <w:b/>
        </w:rPr>
        <w:t>S</w:t>
      </w:r>
      <w:r w:rsidRPr="003415CC">
        <w:rPr>
          <w:b/>
        </w:rPr>
        <w:t xml:space="preserve">trategic </w:t>
      </w:r>
      <w:r w:rsidR="00390FD2">
        <w:rPr>
          <w:b/>
        </w:rPr>
        <w:t>R</w:t>
      </w:r>
      <w:r w:rsidRPr="003415CC">
        <w:rPr>
          <w:b/>
        </w:rPr>
        <w:t>eport</w:t>
      </w:r>
    </w:p>
    <w:tbl>
      <w:tblPr>
        <w:tblW w:w="7773" w:type="dxa"/>
        <w:jc w:val="center"/>
        <w:tblInd w:w="103" w:type="dxa"/>
        <w:tblLook w:val="04A0" w:firstRow="1" w:lastRow="0" w:firstColumn="1" w:lastColumn="0" w:noHBand="0" w:noVBand="1"/>
      </w:tblPr>
      <w:tblGrid>
        <w:gridCol w:w="2011"/>
        <w:gridCol w:w="1268"/>
        <w:gridCol w:w="1451"/>
        <w:gridCol w:w="1708"/>
        <w:gridCol w:w="826"/>
        <w:gridCol w:w="824"/>
      </w:tblGrid>
      <w:tr w:rsidR="00C30451" w:rsidRPr="003415CC" w14:paraId="1399A00D" w14:textId="77777777" w:rsidTr="00C30451">
        <w:trPr>
          <w:trHeight w:val="1104"/>
          <w:jc w:val="center"/>
        </w:trPr>
        <w:tc>
          <w:tcPr>
            <w:tcW w:w="2011"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0258969D" w14:textId="77777777" w:rsidR="00C30451" w:rsidRPr="003415CC" w:rsidRDefault="00C30451" w:rsidP="00C61C35">
            <w:pPr>
              <w:pStyle w:val="EBBodyPara"/>
              <w:keepNext/>
              <w:spacing w:line="276" w:lineRule="auto"/>
              <w:jc w:val="center"/>
              <w:rPr>
                <w:b/>
              </w:rPr>
            </w:pPr>
          </w:p>
        </w:tc>
        <w:tc>
          <w:tcPr>
            <w:tcW w:w="1177" w:type="dxa"/>
            <w:tcBorders>
              <w:top w:val="single" w:sz="4" w:space="0" w:color="auto"/>
              <w:left w:val="nil"/>
              <w:bottom w:val="single" w:sz="4" w:space="0" w:color="auto"/>
              <w:right w:val="single" w:sz="4" w:space="0" w:color="auto"/>
            </w:tcBorders>
            <w:shd w:val="clear" w:color="000000" w:fill="D9D9D9"/>
            <w:vAlign w:val="bottom"/>
            <w:hideMark/>
          </w:tcPr>
          <w:p w14:paraId="1B96C1E1" w14:textId="77777777" w:rsidR="00C30451" w:rsidRPr="003415CC" w:rsidRDefault="00C30451" w:rsidP="00C61C35">
            <w:pPr>
              <w:pStyle w:val="EBBodyPara"/>
              <w:keepNext/>
              <w:spacing w:line="276" w:lineRule="auto"/>
              <w:jc w:val="center"/>
              <w:rPr>
                <w:b/>
              </w:rPr>
            </w:pPr>
            <w:r w:rsidRPr="003415CC">
              <w:rPr>
                <w:b/>
              </w:rPr>
              <w:t>Estimated time cost of anti-bribery statement in first year (hrs)</w:t>
            </w:r>
          </w:p>
        </w:tc>
        <w:tc>
          <w:tcPr>
            <w:tcW w:w="1280" w:type="dxa"/>
            <w:tcBorders>
              <w:top w:val="single" w:sz="4" w:space="0" w:color="auto"/>
              <w:left w:val="nil"/>
              <w:bottom w:val="single" w:sz="4" w:space="0" w:color="auto"/>
              <w:right w:val="single" w:sz="4" w:space="0" w:color="auto"/>
            </w:tcBorders>
            <w:shd w:val="clear" w:color="000000" w:fill="D9D9D9"/>
            <w:vAlign w:val="bottom"/>
            <w:hideMark/>
          </w:tcPr>
          <w:p w14:paraId="01989B1A" w14:textId="77777777" w:rsidR="00C30451" w:rsidRPr="003415CC" w:rsidRDefault="00C30451" w:rsidP="00BC4067">
            <w:pPr>
              <w:pStyle w:val="EBBodyPara"/>
              <w:keepNext/>
              <w:spacing w:line="276" w:lineRule="auto"/>
              <w:jc w:val="center"/>
              <w:rPr>
                <w:b/>
              </w:rPr>
            </w:pPr>
            <w:r w:rsidRPr="003415CC">
              <w:rPr>
                <w:b/>
              </w:rPr>
              <w:t>Estimated time cost of anti-bribery statement in subsequent years (hrs)</w:t>
            </w:r>
          </w:p>
        </w:tc>
        <w:tc>
          <w:tcPr>
            <w:tcW w:w="1655" w:type="dxa"/>
            <w:tcBorders>
              <w:top w:val="single" w:sz="4" w:space="0" w:color="auto"/>
              <w:left w:val="nil"/>
              <w:bottom w:val="single" w:sz="4" w:space="0" w:color="auto"/>
              <w:right w:val="single" w:sz="4" w:space="0" w:color="auto"/>
            </w:tcBorders>
            <w:shd w:val="clear" w:color="000000" w:fill="D9D9D9"/>
            <w:vAlign w:val="bottom"/>
            <w:hideMark/>
          </w:tcPr>
          <w:p w14:paraId="5682EE10" w14:textId="77777777" w:rsidR="00C30451" w:rsidRPr="003415CC" w:rsidRDefault="00C30451" w:rsidP="00C61C35">
            <w:pPr>
              <w:pStyle w:val="EBBodyPara"/>
              <w:keepNext/>
              <w:spacing w:line="276" w:lineRule="auto"/>
              <w:jc w:val="center"/>
              <w:rPr>
                <w:b/>
              </w:rPr>
            </w:pPr>
            <w:r w:rsidRPr="003415CC">
              <w:rPr>
                <w:b/>
              </w:rPr>
              <w:t>Estimated familiarisation time costs to unquoted PIEs (hrs)</w:t>
            </w:r>
          </w:p>
        </w:tc>
        <w:tc>
          <w:tcPr>
            <w:tcW w:w="826" w:type="dxa"/>
            <w:tcBorders>
              <w:top w:val="single" w:sz="4" w:space="0" w:color="auto"/>
              <w:left w:val="nil"/>
              <w:bottom w:val="single" w:sz="4" w:space="0" w:color="auto"/>
              <w:right w:val="single" w:sz="4" w:space="0" w:color="auto"/>
            </w:tcBorders>
            <w:shd w:val="clear" w:color="000000" w:fill="D9D9D9"/>
            <w:vAlign w:val="center"/>
            <w:hideMark/>
          </w:tcPr>
          <w:p w14:paraId="77F3CFCD" w14:textId="77777777" w:rsidR="00C30451" w:rsidRPr="003415CC" w:rsidRDefault="00C30451" w:rsidP="00C61C35">
            <w:pPr>
              <w:pStyle w:val="EBBodyPara"/>
              <w:keepNext/>
              <w:spacing w:line="276" w:lineRule="auto"/>
              <w:jc w:val="center"/>
              <w:rPr>
                <w:b/>
              </w:rPr>
            </w:pPr>
            <w:r w:rsidRPr="003415CC">
              <w:rPr>
                <w:b/>
              </w:rPr>
              <w:t>Total cost per hour</w:t>
            </w:r>
            <w:r w:rsidRPr="003415CC">
              <w:rPr>
                <w:b/>
              </w:rPr>
              <w:br/>
              <w:t>£</w:t>
            </w:r>
          </w:p>
        </w:tc>
        <w:tc>
          <w:tcPr>
            <w:tcW w:w="824" w:type="dxa"/>
            <w:tcBorders>
              <w:top w:val="single" w:sz="4" w:space="0" w:color="auto"/>
              <w:left w:val="nil"/>
              <w:bottom w:val="single" w:sz="4" w:space="0" w:color="auto"/>
              <w:right w:val="single" w:sz="4" w:space="0" w:color="auto"/>
            </w:tcBorders>
            <w:shd w:val="clear" w:color="000000" w:fill="D9D9D9"/>
            <w:vAlign w:val="center"/>
            <w:hideMark/>
          </w:tcPr>
          <w:p w14:paraId="5F77D7AB" w14:textId="77777777" w:rsidR="00C30451" w:rsidRPr="003415CC" w:rsidRDefault="00C30451" w:rsidP="00C61C35">
            <w:pPr>
              <w:pStyle w:val="EBBodyPara"/>
              <w:keepNext/>
              <w:spacing w:line="276" w:lineRule="auto"/>
              <w:jc w:val="center"/>
              <w:rPr>
                <w:b/>
              </w:rPr>
            </w:pPr>
            <w:r w:rsidRPr="003415CC">
              <w:rPr>
                <w:b/>
              </w:rPr>
              <w:t>Total cost per firm</w:t>
            </w:r>
            <w:r w:rsidRPr="003415CC">
              <w:rPr>
                <w:b/>
              </w:rPr>
              <w:br/>
              <w:t>£</w:t>
            </w:r>
          </w:p>
        </w:tc>
      </w:tr>
      <w:tr w:rsidR="00C30451" w:rsidRPr="003415CC" w14:paraId="0ED7B219" w14:textId="77777777" w:rsidTr="00C30451">
        <w:trPr>
          <w:trHeight w:val="288"/>
          <w:jc w:val="center"/>
        </w:trPr>
        <w:tc>
          <w:tcPr>
            <w:tcW w:w="2011" w:type="dxa"/>
            <w:tcBorders>
              <w:top w:val="nil"/>
              <w:left w:val="single" w:sz="4" w:space="0" w:color="auto"/>
              <w:bottom w:val="single" w:sz="4" w:space="0" w:color="auto"/>
              <w:right w:val="single" w:sz="4" w:space="0" w:color="auto"/>
            </w:tcBorders>
            <w:shd w:val="clear" w:color="auto" w:fill="auto"/>
            <w:noWrap/>
            <w:vAlign w:val="bottom"/>
            <w:hideMark/>
          </w:tcPr>
          <w:p w14:paraId="079DDFE7" w14:textId="77777777" w:rsidR="00C30451" w:rsidRPr="003415CC" w:rsidRDefault="00C30451" w:rsidP="00C61C35">
            <w:pPr>
              <w:pStyle w:val="EBBodyPara"/>
              <w:keepNext/>
              <w:spacing w:line="276" w:lineRule="auto"/>
              <w:jc w:val="center"/>
            </w:pPr>
            <w:r w:rsidRPr="003415CC">
              <w:t>Director</w:t>
            </w:r>
          </w:p>
        </w:tc>
        <w:tc>
          <w:tcPr>
            <w:tcW w:w="1177" w:type="dxa"/>
            <w:tcBorders>
              <w:top w:val="nil"/>
              <w:left w:val="nil"/>
              <w:bottom w:val="single" w:sz="4" w:space="0" w:color="auto"/>
              <w:right w:val="single" w:sz="4" w:space="0" w:color="auto"/>
            </w:tcBorders>
            <w:shd w:val="clear" w:color="auto" w:fill="auto"/>
            <w:noWrap/>
            <w:vAlign w:val="center"/>
            <w:hideMark/>
          </w:tcPr>
          <w:p w14:paraId="4EA357D7" w14:textId="77777777" w:rsidR="00C30451" w:rsidRPr="003415CC" w:rsidRDefault="00C30451" w:rsidP="00C61C35">
            <w:pPr>
              <w:pStyle w:val="EBBodyPara"/>
              <w:keepNext/>
              <w:spacing w:line="276" w:lineRule="auto"/>
              <w:jc w:val="center"/>
            </w:pPr>
            <w:r w:rsidRPr="003415CC">
              <w:t>5</w:t>
            </w:r>
          </w:p>
        </w:tc>
        <w:tc>
          <w:tcPr>
            <w:tcW w:w="1280" w:type="dxa"/>
            <w:tcBorders>
              <w:top w:val="nil"/>
              <w:left w:val="nil"/>
              <w:bottom w:val="single" w:sz="4" w:space="0" w:color="auto"/>
              <w:right w:val="single" w:sz="4" w:space="0" w:color="auto"/>
            </w:tcBorders>
            <w:shd w:val="clear" w:color="auto" w:fill="auto"/>
            <w:noWrap/>
            <w:vAlign w:val="center"/>
            <w:hideMark/>
          </w:tcPr>
          <w:p w14:paraId="6B6DB269" w14:textId="77777777" w:rsidR="00C30451" w:rsidRPr="003415CC" w:rsidRDefault="00C30451" w:rsidP="00C61C35">
            <w:pPr>
              <w:pStyle w:val="EBBodyPara"/>
              <w:keepNext/>
              <w:spacing w:line="276" w:lineRule="auto"/>
              <w:jc w:val="center"/>
            </w:pPr>
            <w:r w:rsidRPr="003415CC">
              <w:t>3</w:t>
            </w:r>
          </w:p>
        </w:tc>
        <w:tc>
          <w:tcPr>
            <w:tcW w:w="1655" w:type="dxa"/>
            <w:tcBorders>
              <w:top w:val="nil"/>
              <w:left w:val="nil"/>
              <w:bottom w:val="single" w:sz="4" w:space="0" w:color="auto"/>
              <w:right w:val="single" w:sz="4" w:space="0" w:color="auto"/>
            </w:tcBorders>
            <w:shd w:val="clear" w:color="auto" w:fill="auto"/>
            <w:noWrap/>
            <w:vAlign w:val="center"/>
            <w:hideMark/>
          </w:tcPr>
          <w:p w14:paraId="6A626825" w14:textId="77777777" w:rsidR="00C30451" w:rsidRPr="003415CC" w:rsidRDefault="00C30451" w:rsidP="00C61C35">
            <w:pPr>
              <w:pStyle w:val="EBBodyPara"/>
              <w:keepNext/>
              <w:spacing w:line="276" w:lineRule="auto"/>
              <w:jc w:val="center"/>
            </w:pPr>
            <w:r w:rsidRPr="003415CC">
              <w:t>2</w:t>
            </w:r>
          </w:p>
        </w:tc>
        <w:tc>
          <w:tcPr>
            <w:tcW w:w="826" w:type="dxa"/>
            <w:tcBorders>
              <w:top w:val="nil"/>
              <w:left w:val="nil"/>
              <w:bottom w:val="single" w:sz="4" w:space="0" w:color="auto"/>
              <w:right w:val="single" w:sz="4" w:space="0" w:color="auto"/>
            </w:tcBorders>
            <w:shd w:val="clear" w:color="auto" w:fill="auto"/>
            <w:noWrap/>
            <w:vAlign w:val="center"/>
            <w:hideMark/>
          </w:tcPr>
          <w:p w14:paraId="5C4232F9" w14:textId="77777777" w:rsidR="00C30451" w:rsidRPr="003415CC" w:rsidRDefault="00C30451" w:rsidP="00C61C35">
            <w:pPr>
              <w:pStyle w:val="EBBodyPara"/>
              <w:keepNext/>
              <w:spacing w:line="276" w:lineRule="auto"/>
              <w:jc w:val="center"/>
            </w:pPr>
            <w:r w:rsidRPr="003415CC">
              <w:t>67.30</w:t>
            </w:r>
          </w:p>
        </w:tc>
        <w:tc>
          <w:tcPr>
            <w:tcW w:w="824" w:type="dxa"/>
            <w:tcBorders>
              <w:top w:val="nil"/>
              <w:left w:val="nil"/>
              <w:bottom w:val="single" w:sz="4" w:space="0" w:color="auto"/>
              <w:right w:val="single" w:sz="4" w:space="0" w:color="auto"/>
            </w:tcBorders>
            <w:shd w:val="clear" w:color="auto" w:fill="auto"/>
            <w:noWrap/>
            <w:vAlign w:val="center"/>
            <w:hideMark/>
          </w:tcPr>
          <w:p w14:paraId="72AA6AFF" w14:textId="77777777" w:rsidR="00C30451" w:rsidRPr="003415CC" w:rsidRDefault="00C30451" w:rsidP="00C61C35">
            <w:pPr>
              <w:pStyle w:val="EBBodyPara"/>
              <w:keepNext/>
              <w:spacing w:line="276" w:lineRule="auto"/>
              <w:jc w:val="center"/>
            </w:pPr>
            <w:r w:rsidRPr="003415CC">
              <w:t>135</w:t>
            </w:r>
          </w:p>
        </w:tc>
      </w:tr>
      <w:tr w:rsidR="00C30451" w:rsidRPr="003415CC" w14:paraId="15BEA51F" w14:textId="77777777" w:rsidTr="00C30451">
        <w:trPr>
          <w:trHeight w:val="288"/>
          <w:jc w:val="center"/>
        </w:trPr>
        <w:tc>
          <w:tcPr>
            <w:tcW w:w="2011" w:type="dxa"/>
            <w:tcBorders>
              <w:top w:val="nil"/>
              <w:left w:val="single" w:sz="4" w:space="0" w:color="auto"/>
              <w:bottom w:val="single" w:sz="4" w:space="0" w:color="auto"/>
              <w:right w:val="single" w:sz="4" w:space="0" w:color="auto"/>
            </w:tcBorders>
            <w:shd w:val="clear" w:color="auto" w:fill="auto"/>
            <w:noWrap/>
            <w:vAlign w:val="bottom"/>
            <w:hideMark/>
          </w:tcPr>
          <w:p w14:paraId="03D82D7F" w14:textId="77777777" w:rsidR="00C30451" w:rsidRPr="003415CC" w:rsidRDefault="00C30451" w:rsidP="00C61C35">
            <w:pPr>
              <w:pStyle w:val="EBBodyPara"/>
              <w:keepNext/>
              <w:spacing w:line="276" w:lineRule="auto"/>
              <w:jc w:val="center"/>
            </w:pPr>
            <w:r w:rsidRPr="003415CC">
              <w:t>Professional</w:t>
            </w:r>
          </w:p>
        </w:tc>
        <w:tc>
          <w:tcPr>
            <w:tcW w:w="1177" w:type="dxa"/>
            <w:tcBorders>
              <w:top w:val="nil"/>
              <w:left w:val="nil"/>
              <w:bottom w:val="single" w:sz="4" w:space="0" w:color="auto"/>
              <w:right w:val="single" w:sz="4" w:space="0" w:color="auto"/>
            </w:tcBorders>
            <w:shd w:val="clear" w:color="auto" w:fill="auto"/>
            <w:noWrap/>
            <w:vAlign w:val="center"/>
            <w:hideMark/>
          </w:tcPr>
          <w:p w14:paraId="17560E65" w14:textId="77777777" w:rsidR="00C30451" w:rsidRPr="003415CC" w:rsidRDefault="00C30451" w:rsidP="00C61C35">
            <w:pPr>
              <w:pStyle w:val="EBBodyPara"/>
              <w:keepNext/>
              <w:spacing w:line="276" w:lineRule="auto"/>
              <w:jc w:val="center"/>
            </w:pPr>
            <w:r w:rsidRPr="003415CC">
              <w:t>20</w:t>
            </w:r>
          </w:p>
        </w:tc>
        <w:tc>
          <w:tcPr>
            <w:tcW w:w="1280" w:type="dxa"/>
            <w:tcBorders>
              <w:top w:val="nil"/>
              <w:left w:val="nil"/>
              <w:bottom w:val="single" w:sz="4" w:space="0" w:color="auto"/>
              <w:right w:val="single" w:sz="4" w:space="0" w:color="auto"/>
            </w:tcBorders>
            <w:shd w:val="clear" w:color="auto" w:fill="auto"/>
            <w:noWrap/>
            <w:vAlign w:val="center"/>
            <w:hideMark/>
          </w:tcPr>
          <w:p w14:paraId="5B730771" w14:textId="77777777" w:rsidR="00C30451" w:rsidRPr="003415CC" w:rsidRDefault="00C30451" w:rsidP="00C61C35">
            <w:pPr>
              <w:pStyle w:val="EBBodyPara"/>
              <w:keepNext/>
              <w:spacing w:line="276" w:lineRule="auto"/>
              <w:jc w:val="center"/>
            </w:pPr>
            <w:r w:rsidRPr="003415CC">
              <w:t>10</w:t>
            </w:r>
          </w:p>
        </w:tc>
        <w:tc>
          <w:tcPr>
            <w:tcW w:w="1655" w:type="dxa"/>
            <w:tcBorders>
              <w:top w:val="nil"/>
              <w:left w:val="nil"/>
              <w:bottom w:val="single" w:sz="4" w:space="0" w:color="auto"/>
              <w:right w:val="single" w:sz="4" w:space="0" w:color="auto"/>
            </w:tcBorders>
            <w:shd w:val="clear" w:color="auto" w:fill="auto"/>
            <w:noWrap/>
            <w:vAlign w:val="center"/>
            <w:hideMark/>
          </w:tcPr>
          <w:p w14:paraId="66F15037" w14:textId="77777777" w:rsidR="00C30451" w:rsidRPr="003415CC" w:rsidRDefault="00C30451" w:rsidP="00C61C35">
            <w:pPr>
              <w:pStyle w:val="EBBodyPara"/>
              <w:keepNext/>
              <w:spacing w:line="276" w:lineRule="auto"/>
              <w:jc w:val="center"/>
            </w:pPr>
            <w:r w:rsidRPr="003415CC">
              <w:t>10</w:t>
            </w:r>
          </w:p>
        </w:tc>
        <w:tc>
          <w:tcPr>
            <w:tcW w:w="826" w:type="dxa"/>
            <w:tcBorders>
              <w:top w:val="nil"/>
              <w:left w:val="nil"/>
              <w:bottom w:val="single" w:sz="4" w:space="0" w:color="auto"/>
              <w:right w:val="single" w:sz="4" w:space="0" w:color="auto"/>
            </w:tcBorders>
            <w:shd w:val="clear" w:color="auto" w:fill="auto"/>
            <w:noWrap/>
            <w:vAlign w:val="center"/>
            <w:hideMark/>
          </w:tcPr>
          <w:p w14:paraId="529F49D6" w14:textId="77777777" w:rsidR="00C30451" w:rsidRPr="003415CC" w:rsidRDefault="00C30451" w:rsidP="00C61C35">
            <w:pPr>
              <w:pStyle w:val="EBBodyPara"/>
              <w:keepNext/>
              <w:spacing w:line="276" w:lineRule="auto"/>
              <w:jc w:val="center"/>
            </w:pPr>
            <w:r w:rsidRPr="003415CC">
              <w:t>29.95</w:t>
            </w:r>
          </w:p>
        </w:tc>
        <w:tc>
          <w:tcPr>
            <w:tcW w:w="824" w:type="dxa"/>
            <w:tcBorders>
              <w:top w:val="nil"/>
              <w:left w:val="nil"/>
              <w:bottom w:val="single" w:sz="4" w:space="0" w:color="auto"/>
              <w:right w:val="single" w:sz="4" w:space="0" w:color="auto"/>
            </w:tcBorders>
            <w:shd w:val="clear" w:color="auto" w:fill="auto"/>
            <w:noWrap/>
            <w:vAlign w:val="center"/>
            <w:hideMark/>
          </w:tcPr>
          <w:p w14:paraId="43E07A3F" w14:textId="77777777" w:rsidR="00C30451" w:rsidRPr="003415CC" w:rsidRDefault="00C30451" w:rsidP="00C61C35">
            <w:pPr>
              <w:pStyle w:val="EBBodyPara"/>
              <w:keepNext/>
              <w:spacing w:line="276" w:lineRule="auto"/>
              <w:jc w:val="center"/>
            </w:pPr>
            <w:r w:rsidRPr="003415CC">
              <w:t>300</w:t>
            </w:r>
          </w:p>
        </w:tc>
      </w:tr>
      <w:tr w:rsidR="00C30451" w:rsidRPr="003415CC" w14:paraId="72CC160C" w14:textId="77777777" w:rsidTr="00C30451">
        <w:trPr>
          <w:trHeight w:val="288"/>
          <w:jc w:val="center"/>
        </w:trPr>
        <w:tc>
          <w:tcPr>
            <w:tcW w:w="2011" w:type="dxa"/>
            <w:tcBorders>
              <w:top w:val="nil"/>
              <w:left w:val="single" w:sz="4" w:space="0" w:color="auto"/>
              <w:bottom w:val="single" w:sz="4" w:space="0" w:color="auto"/>
              <w:right w:val="single" w:sz="4" w:space="0" w:color="auto"/>
            </w:tcBorders>
            <w:shd w:val="clear" w:color="auto" w:fill="auto"/>
            <w:noWrap/>
            <w:vAlign w:val="bottom"/>
            <w:hideMark/>
          </w:tcPr>
          <w:p w14:paraId="4DD14EC2" w14:textId="77777777" w:rsidR="00C30451" w:rsidRPr="003415CC" w:rsidRDefault="00C30451" w:rsidP="00C61C35">
            <w:pPr>
              <w:pStyle w:val="EBBodyPara"/>
              <w:keepNext/>
              <w:spacing w:line="276" w:lineRule="auto"/>
              <w:jc w:val="center"/>
            </w:pPr>
            <w:r w:rsidRPr="003415CC">
              <w:t>Administrative</w:t>
            </w:r>
          </w:p>
        </w:tc>
        <w:tc>
          <w:tcPr>
            <w:tcW w:w="1177" w:type="dxa"/>
            <w:tcBorders>
              <w:top w:val="nil"/>
              <w:left w:val="nil"/>
              <w:bottom w:val="single" w:sz="4" w:space="0" w:color="auto"/>
              <w:right w:val="single" w:sz="4" w:space="0" w:color="auto"/>
            </w:tcBorders>
            <w:shd w:val="clear" w:color="auto" w:fill="auto"/>
            <w:noWrap/>
            <w:vAlign w:val="center"/>
            <w:hideMark/>
          </w:tcPr>
          <w:p w14:paraId="71C740AA" w14:textId="77777777" w:rsidR="00C30451" w:rsidRPr="003415CC" w:rsidRDefault="00C30451" w:rsidP="00C61C35">
            <w:pPr>
              <w:pStyle w:val="EBBodyPara"/>
              <w:keepNext/>
              <w:spacing w:line="276" w:lineRule="auto"/>
              <w:jc w:val="center"/>
            </w:pPr>
            <w:r w:rsidRPr="003415CC">
              <w:t>1</w:t>
            </w:r>
          </w:p>
        </w:tc>
        <w:tc>
          <w:tcPr>
            <w:tcW w:w="1280" w:type="dxa"/>
            <w:tcBorders>
              <w:top w:val="nil"/>
              <w:left w:val="nil"/>
              <w:bottom w:val="single" w:sz="4" w:space="0" w:color="auto"/>
              <w:right w:val="single" w:sz="4" w:space="0" w:color="auto"/>
            </w:tcBorders>
            <w:shd w:val="clear" w:color="auto" w:fill="auto"/>
            <w:noWrap/>
            <w:vAlign w:val="center"/>
            <w:hideMark/>
          </w:tcPr>
          <w:p w14:paraId="0408B1F2" w14:textId="77777777" w:rsidR="00C30451" w:rsidRPr="003415CC" w:rsidRDefault="00C30451" w:rsidP="00C61C35">
            <w:pPr>
              <w:pStyle w:val="EBBodyPara"/>
              <w:keepNext/>
              <w:spacing w:line="276" w:lineRule="auto"/>
              <w:jc w:val="center"/>
            </w:pPr>
            <w:r w:rsidRPr="003415CC">
              <w:t>14</w:t>
            </w:r>
          </w:p>
        </w:tc>
        <w:tc>
          <w:tcPr>
            <w:tcW w:w="1655" w:type="dxa"/>
            <w:tcBorders>
              <w:top w:val="nil"/>
              <w:left w:val="nil"/>
              <w:bottom w:val="single" w:sz="4" w:space="0" w:color="auto"/>
              <w:right w:val="single" w:sz="4" w:space="0" w:color="auto"/>
            </w:tcBorders>
            <w:shd w:val="clear" w:color="auto" w:fill="auto"/>
            <w:noWrap/>
            <w:vAlign w:val="center"/>
            <w:hideMark/>
          </w:tcPr>
          <w:p w14:paraId="5C9F51E0" w14:textId="77777777" w:rsidR="00C30451" w:rsidRPr="003415CC" w:rsidRDefault="00C30451" w:rsidP="00C61C35">
            <w:pPr>
              <w:pStyle w:val="EBBodyPara"/>
              <w:keepNext/>
              <w:spacing w:line="276" w:lineRule="auto"/>
              <w:jc w:val="center"/>
            </w:pPr>
            <w:r w:rsidRPr="003415CC">
              <w:t>1</w:t>
            </w:r>
          </w:p>
        </w:tc>
        <w:tc>
          <w:tcPr>
            <w:tcW w:w="826" w:type="dxa"/>
            <w:tcBorders>
              <w:top w:val="nil"/>
              <w:left w:val="nil"/>
              <w:bottom w:val="single" w:sz="4" w:space="0" w:color="auto"/>
              <w:right w:val="single" w:sz="4" w:space="0" w:color="auto"/>
            </w:tcBorders>
            <w:shd w:val="clear" w:color="auto" w:fill="auto"/>
            <w:noWrap/>
            <w:vAlign w:val="center"/>
            <w:hideMark/>
          </w:tcPr>
          <w:p w14:paraId="6714EAB8" w14:textId="77777777" w:rsidR="00C30451" w:rsidRPr="003415CC" w:rsidRDefault="00C30451" w:rsidP="00C61C35">
            <w:pPr>
              <w:pStyle w:val="EBBodyPara"/>
              <w:keepNext/>
              <w:spacing w:line="276" w:lineRule="auto"/>
              <w:jc w:val="center"/>
            </w:pPr>
            <w:r w:rsidRPr="003415CC">
              <w:t>15.71</w:t>
            </w:r>
          </w:p>
        </w:tc>
        <w:tc>
          <w:tcPr>
            <w:tcW w:w="824" w:type="dxa"/>
            <w:tcBorders>
              <w:top w:val="nil"/>
              <w:left w:val="nil"/>
              <w:bottom w:val="single" w:sz="4" w:space="0" w:color="auto"/>
              <w:right w:val="single" w:sz="4" w:space="0" w:color="auto"/>
            </w:tcBorders>
            <w:shd w:val="clear" w:color="auto" w:fill="auto"/>
            <w:noWrap/>
            <w:vAlign w:val="center"/>
            <w:hideMark/>
          </w:tcPr>
          <w:p w14:paraId="287D87B6" w14:textId="77777777" w:rsidR="00C30451" w:rsidRPr="003415CC" w:rsidRDefault="00C30451" w:rsidP="00C61C35">
            <w:pPr>
              <w:pStyle w:val="EBBodyPara"/>
              <w:keepNext/>
              <w:spacing w:line="276" w:lineRule="auto"/>
              <w:jc w:val="center"/>
            </w:pPr>
            <w:r w:rsidRPr="003415CC">
              <w:t>16</w:t>
            </w:r>
          </w:p>
        </w:tc>
      </w:tr>
      <w:tr w:rsidR="00C30451" w:rsidRPr="003415CC" w14:paraId="77C21BDC" w14:textId="77777777" w:rsidTr="00C30451">
        <w:trPr>
          <w:trHeight w:val="288"/>
          <w:jc w:val="center"/>
        </w:trPr>
        <w:tc>
          <w:tcPr>
            <w:tcW w:w="2011" w:type="dxa"/>
            <w:tcBorders>
              <w:top w:val="nil"/>
              <w:left w:val="single" w:sz="4" w:space="0" w:color="auto"/>
              <w:bottom w:val="single" w:sz="4" w:space="0" w:color="auto"/>
              <w:right w:val="single" w:sz="4" w:space="0" w:color="auto"/>
            </w:tcBorders>
            <w:shd w:val="clear" w:color="auto" w:fill="auto"/>
            <w:noWrap/>
            <w:vAlign w:val="center"/>
            <w:hideMark/>
          </w:tcPr>
          <w:p w14:paraId="1A76CEC3" w14:textId="77777777" w:rsidR="00C30451" w:rsidRPr="003415CC" w:rsidRDefault="00C30451" w:rsidP="00C61C35">
            <w:pPr>
              <w:pStyle w:val="EBBodyPara"/>
              <w:keepNext/>
              <w:spacing w:line="276" w:lineRule="auto"/>
              <w:jc w:val="center"/>
            </w:pPr>
            <w:r w:rsidRPr="003415CC">
              <w:t>Total familiarisation cost</w:t>
            </w:r>
            <w:r w:rsidRPr="003415CC">
              <w:rPr>
                <w:b/>
              </w:rPr>
              <w:t xml:space="preserve"> of anti-bribery statement</w:t>
            </w:r>
          </w:p>
        </w:tc>
        <w:tc>
          <w:tcPr>
            <w:tcW w:w="1177" w:type="dxa"/>
            <w:tcBorders>
              <w:top w:val="nil"/>
              <w:left w:val="nil"/>
              <w:bottom w:val="single" w:sz="4" w:space="0" w:color="auto"/>
              <w:right w:val="nil"/>
            </w:tcBorders>
            <w:shd w:val="clear" w:color="auto" w:fill="auto"/>
            <w:noWrap/>
            <w:vAlign w:val="center"/>
            <w:hideMark/>
          </w:tcPr>
          <w:p w14:paraId="5AE6C0D1" w14:textId="77777777" w:rsidR="00C30451" w:rsidRPr="003415CC" w:rsidRDefault="00C30451" w:rsidP="00C61C35">
            <w:pPr>
              <w:pStyle w:val="EBBodyPara"/>
              <w:keepNext/>
              <w:spacing w:line="276" w:lineRule="auto"/>
              <w:jc w:val="center"/>
            </w:pPr>
          </w:p>
        </w:tc>
        <w:tc>
          <w:tcPr>
            <w:tcW w:w="1280" w:type="dxa"/>
            <w:tcBorders>
              <w:top w:val="nil"/>
              <w:left w:val="nil"/>
              <w:bottom w:val="single" w:sz="4" w:space="0" w:color="auto"/>
              <w:right w:val="nil"/>
            </w:tcBorders>
            <w:shd w:val="clear" w:color="auto" w:fill="auto"/>
            <w:noWrap/>
            <w:vAlign w:val="center"/>
            <w:hideMark/>
          </w:tcPr>
          <w:p w14:paraId="617FF1AF" w14:textId="77777777" w:rsidR="00C30451" w:rsidRPr="003415CC" w:rsidRDefault="00C30451" w:rsidP="00C61C35">
            <w:pPr>
              <w:pStyle w:val="EBBodyPara"/>
              <w:keepNext/>
              <w:spacing w:line="276" w:lineRule="auto"/>
              <w:jc w:val="center"/>
            </w:pPr>
          </w:p>
        </w:tc>
        <w:tc>
          <w:tcPr>
            <w:tcW w:w="1655" w:type="dxa"/>
            <w:tcBorders>
              <w:top w:val="nil"/>
              <w:left w:val="nil"/>
              <w:bottom w:val="single" w:sz="4" w:space="0" w:color="auto"/>
              <w:right w:val="nil"/>
            </w:tcBorders>
            <w:shd w:val="clear" w:color="auto" w:fill="auto"/>
            <w:noWrap/>
            <w:vAlign w:val="center"/>
            <w:hideMark/>
          </w:tcPr>
          <w:p w14:paraId="0467A5AA" w14:textId="77777777" w:rsidR="00C30451" w:rsidRPr="003415CC" w:rsidRDefault="00C30451" w:rsidP="00C61C35">
            <w:pPr>
              <w:pStyle w:val="EBBodyPara"/>
              <w:keepNext/>
              <w:spacing w:line="276" w:lineRule="auto"/>
              <w:jc w:val="center"/>
            </w:pPr>
          </w:p>
        </w:tc>
        <w:tc>
          <w:tcPr>
            <w:tcW w:w="826" w:type="dxa"/>
            <w:tcBorders>
              <w:top w:val="nil"/>
              <w:left w:val="nil"/>
              <w:bottom w:val="single" w:sz="4" w:space="0" w:color="auto"/>
              <w:right w:val="single" w:sz="4" w:space="0" w:color="auto"/>
            </w:tcBorders>
            <w:shd w:val="clear" w:color="auto" w:fill="auto"/>
            <w:noWrap/>
            <w:vAlign w:val="center"/>
            <w:hideMark/>
          </w:tcPr>
          <w:p w14:paraId="174B0B21" w14:textId="77777777" w:rsidR="00C30451" w:rsidRPr="003415CC" w:rsidRDefault="00C30451" w:rsidP="00C61C35">
            <w:pPr>
              <w:pStyle w:val="EBBodyPara"/>
              <w:keepNext/>
              <w:spacing w:line="276" w:lineRule="auto"/>
              <w:jc w:val="center"/>
            </w:pPr>
          </w:p>
        </w:tc>
        <w:tc>
          <w:tcPr>
            <w:tcW w:w="824" w:type="dxa"/>
            <w:tcBorders>
              <w:top w:val="nil"/>
              <w:left w:val="nil"/>
              <w:bottom w:val="single" w:sz="4" w:space="0" w:color="auto"/>
              <w:right w:val="single" w:sz="4" w:space="0" w:color="auto"/>
            </w:tcBorders>
            <w:shd w:val="clear" w:color="auto" w:fill="auto"/>
            <w:noWrap/>
            <w:vAlign w:val="center"/>
            <w:hideMark/>
          </w:tcPr>
          <w:p w14:paraId="34F6B673" w14:textId="77777777" w:rsidR="00C30451" w:rsidRPr="003415CC" w:rsidRDefault="00C30451" w:rsidP="00C61C35">
            <w:pPr>
              <w:pStyle w:val="EBBodyPara"/>
              <w:keepNext/>
              <w:spacing w:line="276" w:lineRule="auto"/>
              <w:jc w:val="center"/>
            </w:pPr>
            <w:r w:rsidRPr="003415CC">
              <w:t>450</w:t>
            </w:r>
          </w:p>
        </w:tc>
      </w:tr>
      <w:tr w:rsidR="00C30451" w:rsidRPr="003415CC" w14:paraId="43093D5B" w14:textId="77777777" w:rsidTr="00C30451">
        <w:trPr>
          <w:trHeight w:val="288"/>
          <w:jc w:val="center"/>
        </w:trPr>
        <w:tc>
          <w:tcPr>
            <w:tcW w:w="6949" w:type="dxa"/>
            <w:gridSpan w:val="5"/>
            <w:tcBorders>
              <w:top w:val="nil"/>
              <w:left w:val="single" w:sz="4" w:space="0" w:color="auto"/>
              <w:bottom w:val="single" w:sz="4" w:space="0" w:color="auto"/>
              <w:right w:val="single" w:sz="4" w:space="0" w:color="auto"/>
            </w:tcBorders>
            <w:shd w:val="clear" w:color="auto" w:fill="auto"/>
            <w:noWrap/>
            <w:vAlign w:val="center"/>
          </w:tcPr>
          <w:p w14:paraId="6CB3CF10" w14:textId="77777777" w:rsidR="00C30451" w:rsidRPr="003415CC" w:rsidRDefault="00C30451" w:rsidP="00C61C35">
            <w:pPr>
              <w:pStyle w:val="EBBodyPara"/>
              <w:keepNext/>
              <w:spacing w:line="276" w:lineRule="auto"/>
              <w:jc w:val="center"/>
            </w:pPr>
            <w:r w:rsidRPr="003415CC">
              <w:t>Total familiarisation costs of meeting other requirements (£450 X 3)</w:t>
            </w:r>
          </w:p>
        </w:tc>
        <w:tc>
          <w:tcPr>
            <w:tcW w:w="824" w:type="dxa"/>
            <w:tcBorders>
              <w:top w:val="nil"/>
              <w:left w:val="nil"/>
              <w:bottom w:val="single" w:sz="4" w:space="0" w:color="auto"/>
              <w:right w:val="single" w:sz="4" w:space="0" w:color="auto"/>
            </w:tcBorders>
            <w:shd w:val="clear" w:color="auto" w:fill="auto"/>
            <w:noWrap/>
            <w:vAlign w:val="center"/>
          </w:tcPr>
          <w:p w14:paraId="491B9AAA" w14:textId="77777777" w:rsidR="00C30451" w:rsidRPr="003415CC" w:rsidRDefault="00C30451" w:rsidP="00C61C35">
            <w:pPr>
              <w:pStyle w:val="EBBodyPara"/>
              <w:keepNext/>
              <w:spacing w:line="276" w:lineRule="auto"/>
              <w:jc w:val="center"/>
            </w:pPr>
            <w:r w:rsidRPr="003415CC">
              <w:t>1,349</w:t>
            </w:r>
          </w:p>
        </w:tc>
      </w:tr>
      <w:tr w:rsidR="00C30451" w:rsidRPr="003415CC" w14:paraId="020BA94A" w14:textId="77777777" w:rsidTr="00C30451">
        <w:trPr>
          <w:trHeight w:val="288"/>
          <w:jc w:val="center"/>
        </w:trPr>
        <w:tc>
          <w:tcPr>
            <w:tcW w:w="6949" w:type="dxa"/>
            <w:gridSpan w:val="5"/>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54839E7B" w14:textId="77777777" w:rsidR="00C30451" w:rsidRPr="003415CC" w:rsidRDefault="00C30451" w:rsidP="00C61C35">
            <w:pPr>
              <w:pStyle w:val="EBBodyPara"/>
              <w:keepNext/>
              <w:spacing w:line="276" w:lineRule="auto"/>
              <w:jc w:val="center"/>
            </w:pPr>
            <w:r w:rsidRPr="003415CC">
              <w:t>Total cost including first year reporting cost</w:t>
            </w:r>
          </w:p>
        </w:tc>
        <w:tc>
          <w:tcPr>
            <w:tcW w:w="824" w:type="dxa"/>
            <w:tcBorders>
              <w:top w:val="nil"/>
              <w:left w:val="nil"/>
              <w:bottom w:val="single" w:sz="4" w:space="0" w:color="auto"/>
              <w:right w:val="single" w:sz="4" w:space="0" w:color="auto"/>
            </w:tcBorders>
            <w:shd w:val="clear" w:color="auto" w:fill="auto"/>
            <w:noWrap/>
            <w:vAlign w:val="center"/>
            <w:hideMark/>
          </w:tcPr>
          <w:p w14:paraId="5863A707" w14:textId="77777777" w:rsidR="00C30451" w:rsidRPr="003415CC" w:rsidRDefault="00C30451" w:rsidP="00C61C35">
            <w:pPr>
              <w:pStyle w:val="EBBodyPara"/>
              <w:keepNext/>
              <w:spacing w:line="276" w:lineRule="auto"/>
              <w:jc w:val="center"/>
              <w:rPr>
                <w:b/>
              </w:rPr>
            </w:pPr>
            <w:r w:rsidRPr="003415CC">
              <w:rPr>
                <w:b/>
              </w:rPr>
              <w:t>3,713</w:t>
            </w:r>
          </w:p>
        </w:tc>
      </w:tr>
    </w:tbl>
    <w:p w14:paraId="146A2505" w14:textId="77777777" w:rsidR="00C30451" w:rsidRPr="003415CC" w:rsidRDefault="00C30451" w:rsidP="00C82045">
      <w:pPr>
        <w:pStyle w:val="EBBodyPara"/>
        <w:spacing w:line="276" w:lineRule="auto"/>
        <w:rPr>
          <w:b/>
        </w:rPr>
      </w:pPr>
    </w:p>
    <w:p w14:paraId="471AFFF1" w14:textId="77777777" w:rsidR="00C30451" w:rsidRPr="003415CC" w:rsidRDefault="00C30451" w:rsidP="00C82045">
      <w:pPr>
        <w:pStyle w:val="EBBodyPara"/>
        <w:keepNext/>
        <w:spacing w:line="276" w:lineRule="auto"/>
        <w:jc w:val="center"/>
        <w:rPr>
          <w:b/>
        </w:rPr>
      </w:pPr>
      <w:r w:rsidRPr="003415CC">
        <w:rPr>
          <w:b/>
        </w:rPr>
        <w:t>Table B4</w:t>
      </w:r>
    </w:p>
    <w:p w14:paraId="71D9AA32" w14:textId="77777777" w:rsidR="00C30451" w:rsidRPr="003415CC" w:rsidRDefault="00C30451" w:rsidP="00C82045">
      <w:pPr>
        <w:pStyle w:val="EBBodyPara"/>
        <w:keepNext/>
        <w:spacing w:line="276" w:lineRule="auto"/>
        <w:jc w:val="center"/>
        <w:rPr>
          <w:b/>
        </w:rPr>
      </w:pPr>
      <w:r w:rsidRPr="003415CC">
        <w:rPr>
          <w:b/>
        </w:rPr>
        <w:t xml:space="preserve">Annual costs of requirements of the EU NFRD which mirror the requirements of the UK’s </w:t>
      </w:r>
      <w:r w:rsidR="00390FD2">
        <w:rPr>
          <w:b/>
        </w:rPr>
        <w:t>E</w:t>
      </w:r>
      <w:r w:rsidRPr="003415CC">
        <w:rPr>
          <w:b/>
        </w:rPr>
        <w:t xml:space="preserve">nhanced </w:t>
      </w:r>
      <w:r w:rsidR="00390FD2">
        <w:rPr>
          <w:b/>
        </w:rPr>
        <w:t>S</w:t>
      </w:r>
      <w:r w:rsidRPr="003415CC">
        <w:rPr>
          <w:b/>
        </w:rPr>
        <w:t xml:space="preserve">trategic </w:t>
      </w:r>
      <w:r w:rsidR="00390FD2">
        <w:rPr>
          <w:b/>
        </w:rPr>
        <w:t>R</w:t>
      </w:r>
      <w:r w:rsidRPr="003415CC">
        <w:rPr>
          <w:b/>
        </w:rPr>
        <w:t>eport</w:t>
      </w:r>
    </w:p>
    <w:tbl>
      <w:tblPr>
        <w:tblW w:w="7787" w:type="dxa"/>
        <w:jc w:val="center"/>
        <w:tblInd w:w="103" w:type="dxa"/>
        <w:tblLook w:val="04A0" w:firstRow="1" w:lastRow="0" w:firstColumn="1" w:lastColumn="0" w:noHBand="0" w:noVBand="1"/>
      </w:tblPr>
      <w:tblGrid>
        <w:gridCol w:w="1598"/>
        <w:gridCol w:w="1366"/>
        <w:gridCol w:w="1640"/>
        <w:gridCol w:w="1520"/>
        <w:gridCol w:w="960"/>
        <w:gridCol w:w="960"/>
      </w:tblGrid>
      <w:tr w:rsidR="00C30451" w:rsidRPr="003415CC" w14:paraId="33C07D4B" w14:textId="77777777" w:rsidTr="00C30451">
        <w:trPr>
          <w:trHeight w:val="1656"/>
          <w:jc w:val="center"/>
        </w:trPr>
        <w:tc>
          <w:tcPr>
            <w:tcW w:w="1407"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466344B6" w14:textId="77777777" w:rsidR="00C30451" w:rsidRPr="003415CC" w:rsidRDefault="00C30451" w:rsidP="00C82045">
            <w:pPr>
              <w:pStyle w:val="EBBodyPara"/>
              <w:keepNext/>
              <w:spacing w:line="276" w:lineRule="auto"/>
              <w:rPr>
                <w:b/>
              </w:rPr>
            </w:pPr>
          </w:p>
        </w:tc>
        <w:tc>
          <w:tcPr>
            <w:tcW w:w="1300" w:type="dxa"/>
            <w:tcBorders>
              <w:top w:val="single" w:sz="4" w:space="0" w:color="auto"/>
              <w:left w:val="nil"/>
              <w:bottom w:val="single" w:sz="4" w:space="0" w:color="auto"/>
              <w:right w:val="single" w:sz="4" w:space="0" w:color="auto"/>
            </w:tcBorders>
            <w:shd w:val="clear" w:color="000000" w:fill="D9D9D9"/>
            <w:vAlign w:val="center"/>
            <w:hideMark/>
          </w:tcPr>
          <w:p w14:paraId="694FE064" w14:textId="77777777" w:rsidR="00C30451" w:rsidRPr="003415CC" w:rsidRDefault="00C30451" w:rsidP="00C82045">
            <w:pPr>
              <w:pStyle w:val="EBBodyPara"/>
              <w:keepNext/>
              <w:spacing w:line="276" w:lineRule="auto"/>
              <w:rPr>
                <w:b/>
              </w:rPr>
            </w:pPr>
            <w:r w:rsidRPr="003415CC">
              <w:rPr>
                <w:b/>
              </w:rPr>
              <w:t>Average annual time costs of current NFR to quoted companies (hrs)</w:t>
            </w:r>
          </w:p>
        </w:tc>
        <w:tc>
          <w:tcPr>
            <w:tcW w:w="1640" w:type="dxa"/>
            <w:tcBorders>
              <w:top w:val="single" w:sz="4" w:space="0" w:color="auto"/>
              <w:left w:val="nil"/>
              <w:bottom w:val="single" w:sz="4" w:space="0" w:color="auto"/>
              <w:right w:val="single" w:sz="4" w:space="0" w:color="auto"/>
            </w:tcBorders>
            <w:shd w:val="clear" w:color="000000" w:fill="D9D9D9"/>
            <w:vAlign w:val="center"/>
            <w:hideMark/>
          </w:tcPr>
          <w:p w14:paraId="38605A35" w14:textId="77777777" w:rsidR="00C30451" w:rsidRPr="003415CC" w:rsidRDefault="00C30451" w:rsidP="00C82045">
            <w:pPr>
              <w:pStyle w:val="EBBodyPara"/>
              <w:keepNext/>
              <w:spacing w:line="276" w:lineRule="auto"/>
              <w:rPr>
                <w:b/>
              </w:rPr>
            </w:pPr>
            <w:r w:rsidRPr="003415CC">
              <w:rPr>
                <w:b/>
              </w:rPr>
              <w:t>Average annual time costs of current NFR to unquoted companies (hrs)</w:t>
            </w:r>
          </w:p>
        </w:tc>
        <w:tc>
          <w:tcPr>
            <w:tcW w:w="1520" w:type="dxa"/>
            <w:tcBorders>
              <w:top w:val="single" w:sz="4" w:space="0" w:color="auto"/>
              <w:left w:val="nil"/>
              <w:bottom w:val="single" w:sz="4" w:space="0" w:color="auto"/>
              <w:right w:val="single" w:sz="4" w:space="0" w:color="auto"/>
            </w:tcBorders>
            <w:shd w:val="clear" w:color="000000" w:fill="D9D9D9"/>
            <w:vAlign w:val="center"/>
            <w:hideMark/>
          </w:tcPr>
          <w:p w14:paraId="63718316" w14:textId="77777777" w:rsidR="00C30451" w:rsidRPr="003415CC" w:rsidRDefault="00C30451" w:rsidP="00C82045">
            <w:pPr>
              <w:pStyle w:val="EBBodyPara"/>
              <w:keepNext/>
              <w:spacing w:line="276" w:lineRule="auto"/>
              <w:rPr>
                <w:b/>
              </w:rPr>
            </w:pPr>
            <w:r w:rsidRPr="003415CC">
              <w:rPr>
                <w:b/>
              </w:rPr>
              <w:t>Average annual incremental time costs to unquoted PIEs of the change (hrs)</w:t>
            </w:r>
          </w:p>
        </w:tc>
        <w:tc>
          <w:tcPr>
            <w:tcW w:w="960" w:type="dxa"/>
            <w:tcBorders>
              <w:top w:val="single" w:sz="4" w:space="0" w:color="auto"/>
              <w:left w:val="nil"/>
              <w:bottom w:val="single" w:sz="4" w:space="0" w:color="auto"/>
              <w:right w:val="single" w:sz="4" w:space="0" w:color="auto"/>
            </w:tcBorders>
            <w:shd w:val="clear" w:color="000000" w:fill="D9D9D9"/>
            <w:vAlign w:val="center"/>
            <w:hideMark/>
          </w:tcPr>
          <w:p w14:paraId="14BEC90C" w14:textId="77777777" w:rsidR="00C30451" w:rsidRPr="003415CC" w:rsidRDefault="00C30451" w:rsidP="00C82045">
            <w:pPr>
              <w:pStyle w:val="EBBodyPara"/>
              <w:keepNext/>
              <w:spacing w:line="276" w:lineRule="auto"/>
              <w:rPr>
                <w:b/>
              </w:rPr>
            </w:pPr>
            <w:r w:rsidRPr="003415CC">
              <w:rPr>
                <w:b/>
              </w:rPr>
              <w:t>Total cost per hour</w:t>
            </w:r>
            <w:r w:rsidRPr="003415CC">
              <w:rPr>
                <w:b/>
              </w:rPr>
              <w:br/>
              <w:t>£</w:t>
            </w:r>
          </w:p>
        </w:tc>
        <w:tc>
          <w:tcPr>
            <w:tcW w:w="960" w:type="dxa"/>
            <w:tcBorders>
              <w:top w:val="single" w:sz="4" w:space="0" w:color="auto"/>
              <w:left w:val="nil"/>
              <w:bottom w:val="single" w:sz="4" w:space="0" w:color="auto"/>
              <w:right w:val="single" w:sz="4" w:space="0" w:color="auto"/>
            </w:tcBorders>
            <w:shd w:val="clear" w:color="000000" w:fill="D9D9D9"/>
            <w:vAlign w:val="center"/>
            <w:hideMark/>
          </w:tcPr>
          <w:p w14:paraId="763393F8" w14:textId="77777777" w:rsidR="00C30451" w:rsidRPr="003415CC" w:rsidRDefault="00C30451" w:rsidP="00C82045">
            <w:pPr>
              <w:pStyle w:val="EBBodyPara"/>
              <w:keepNext/>
              <w:spacing w:line="276" w:lineRule="auto"/>
              <w:rPr>
                <w:b/>
              </w:rPr>
            </w:pPr>
            <w:r w:rsidRPr="003415CC">
              <w:rPr>
                <w:b/>
              </w:rPr>
              <w:t>Total cost per firm</w:t>
            </w:r>
            <w:r w:rsidRPr="003415CC">
              <w:rPr>
                <w:b/>
              </w:rPr>
              <w:br/>
              <w:t>£</w:t>
            </w:r>
          </w:p>
        </w:tc>
      </w:tr>
      <w:tr w:rsidR="00C30451" w:rsidRPr="003415CC" w14:paraId="0E39322D" w14:textId="77777777" w:rsidTr="00C30451">
        <w:trPr>
          <w:trHeight w:val="288"/>
          <w:jc w:val="center"/>
        </w:trPr>
        <w:tc>
          <w:tcPr>
            <w:tcW w:w="1407" w:type="dxa"/>
            <w:tcBorders>
              <w:top w:val="nil"/>
              <w:left w:val="single" w:sz="4" w:space="0" w:color="auto"/>
              <w:bottom w:val="single" w:sz="4" w:space="0" w:color="auto"/>
              <w:right w:val="single" w:sz="4" w:space="0" w:color="auto"/>
            </w:tcBorders>
            <w:shd w:val="clear" w:color="auto" w:fill="auto"/>
            <w:noWrap/>
            <w:vAlign w:val="bottom"/>
            <w:hideMark/>
          </w:tcPr>
          <w:p w14:paraId="7A9364CF" w14:textId="77777777" w:rsidR="00C30451" w:rsidRPr="003415CC" w:rsidRDefault="00C30451" w:rsidP="00C82045">
            <w:pPr>
              <w:pStyle w:val="EBBodyPara"/>
              <w:spacing w:line="276" w:lineRule="auto"/>
            </w:pPr>
            <w:r w:rsidRPr="003415CC">
              <w:t>Director</w:t>
            </w:r>
          </w:p>
        </w:tc>
        <w:tc>
          <w:tcPr>
            <w:tcW w:w="1300" w:type="dxa"/>
            <w:tcBorders>
              <w:top w:val="nil"/>
              <w:left w:val="nil"/>
              <w:bottom w:val="single" w:sz="4" w:space="0" w:color="auto"/>
              <w:right w:val="single" w:sz="4" w:space="0" w:color="auto"/>
            </w:tcBorders>
            <w:shd w:val="clear" w:color="auto" w:fill="auto"/>
            <w:noWrap/>
            <w:vAlign w:val="center"/>
            <w:hideMark/>
          </w:tcPr>
          <w:p w14:paraId="038F4CBE" w14:textId="77777777" w:rsidR="00C30451" w:rsidRPr="003415CC" w:rsidRDefault="00C30451" w:rsidP="00C82045">
            <w:pPr>
              <w:pStyle w:val="EBBodyPara"/>
              <w:spacing w:line="276" w:lineRule="auto"/>
            </w:pPr>
            <w:r w:rsidRPr="003415CC">
              <w:t>13.2</w:t>
            </w:r>
          </w:p>
        </w:tc>
        <w:tc>
          <w:tcPr>
            <w:tcW w:w="1640" w:type="dxa"/>
            <w:tcBorders>
              <w:top w:val="nil"/>
              <w:left w:val="nil"/>
              <w:bottom w:val="single" w:sz="4" w:space="0" w:color="auto"/>
              <w:right w:val="single" w:sz="4" w:space="0" w:color="auto"/>
            </w:tcBorders>
            <w:shd w:val="clear" w:color="auto" w:fill="auto"/>
            <w:noWrap/>
            <w:vAlign w:val="center"/>
            <w:hideMark/>
          </w:tcPr>
          <w:p w14:paraId="2B7FCBF3" w14:textId="77777777" w:rsidR="00C30451" w:rsidRPr="003415CC" w:rsidRDefault="00C30451" w:rsidP="00C82045">
            <w:pPr>
              <w:pStyle w:val="EBBodyPara"/>
              <w:spacing w:line="276" w:lineRule="auto"/>
            </w:pPr>
            <w:r w:rsidRPr="003415CC">
              <w:t>3.29</w:t>
            </w:r>
          </w:p>
        </w:tc>
        <w:tc>
          <w:tcPr>
            <w:tcW w:w="1520" w:type="dxa"/>
            <w:tcBorders>
              <w:top w:val="nil"/>
              <w:left w:val="nil"/>
              <w:bottom w:val="single" w:sz="4" w:space="0" w:color="auto"/>
              <w:right w:val="single" w:sz="4" w:space="0" w:color="auto"/>
            </w:tcBorders>
            <w:shd w:val="clear" w:color="auto" w:fill="auto"/>
            <w:noWrap/>
            <w:vAlign w:val="center"/>
            <w:hideMark/>
          </w:tcPr>
          <w:p w14:paraId="60BFE239" w14:textId="77777777" w:rsidR="00C30451" w:rsidRPr="003415CC" w:rsidRDefault="00C30451" w:rsidP="00C82045">
            <w:pPr>
              <w:pStyle w:val="EBBodyPara"/>
              <w:spacing w:line="276" w:lineRule="auto"/>
            </w:pPr>
            <w:r w:rsidRPr="003415CC">
              <w:t>9.91</w:t>
            </w:r>
          </w:p>
        </w:tc>
        <w:tc>
          <w:tcPr>
            <w:tcW w:w="960" w:type="dxa"/>
            <w:tcBorders>
              <w:top w:val="nil"/>
              <w:left w:val="nil"/>
              <w:bottom w:val="single" w:sz="4" w:space="0" w:color="auto"/>
              <w:right w:val="single" w:sz="4" w:space="0" w:color="auto"/>
            </w:tcBorders>
            <w:shd w:val="clear" w:color="auto" w:fill="auto"/>
            <w:noWrap/>
            <w:vAlign w:val="center"/>
            <w:hideMark/>
          </w:tcPr>
          <w:p w14:paraId="3C568058" w14:textId="77777777" w:rsidR="00C30451" w:rsidRPr="003415CC" w:rsidRDefault="00C30451" w:rsidP="00C82045">
            <w:pPr>
              <w:pStyle w:val="EBBodyPara"/>
              <w:spacing w:line="276" w:lineRule="auto"/>
            </w:pPr>
            <w:r w:rsidRPr="003415CC">
              <w:t>67.30</w:t>
            </w:r>
          </w:p>
        </w:tc>
        <w:tc>
          <w:tcPr>
            <w:tcW w:w="960" w:type="dxa"/>
            <w:tcBorders>
              <w:top w:val="nil"/>
              <w:left w:val="nil"/>
              <w:bottom w:val="single" w:sz="4" w:space="0" w:color="auto"/>
              <w:right w:val="single" w:sz="4" w:space="0" w:color="auto"/>
            </w:tcBorders>
            <w:shd w:val="clear" w:color="auto" w:fill="auto"/>
            <w:noWrap/>
            <w:vAlign w:val="center"/>
            <w:hideMark/>
          </w:tcPr>
          <w:p w14:paraId="5D868F6D" w14:textId="77777777" w:rsidR="00C30451" w:rsidRPr="003415CC" w:rsidRDefault="00C30451" w:rsidP="00C82045">
            <w:pPr>
              <w:pStyle w:val="EBBodyPara"/>
              <w:spacing w:line="276" w:lineRule="auto"/>
            </w:pPr>
            <w:r w:rsidRPr="003415CC">
              <w:t>667</w:t>
            </w:r>
          </w:p>
        </w:tc>
      </w:tr>
      <w:tr w:rsidR="00C30451" w:rsidRPr="003415CC" w14:paraId="611C6A71" w14:textId="77777777" w:rsidTr="00C30451">
        <w:trPr>
          <w:trHeight w:val="288"/>
          <w:jc w:val="center"/>
        </w:trPr>
        <w:tc>
          <w:tcPr>
            <w:tcW w:w="1407" w:type="dxa"/>
            <w:tcBorders>
              <w:top w:val="nil"/>
              <w:left w:val="single" w:sz="4" w:space="0" w:color="auto"/>
              <w:bottom w:val="single" w:sz="4" w:space="0" w:color="auto"/>
              <w:right w:val="single" w:sz="4" w:space="0" w:color="auto"/>
            </w:tcBorders>
            <w:shd w:val="clear" w:color="auto" w:fill="auto"/>
            <w:noWrap/>
            <w:vAlign w:val="bottom"/>
            <w:hideMark/>
          </w:tcPr>
          <w:p w14:paraId="43469933" w14:textId="77777777" w:rsidR="00C30451" w:rsidRPr="003415CC" w:rsidRDefault="00C30451" w:rsidP="00C82045">
            <w:pPr>
              <w:pStyle w:val="EBBodyPara"/>
              <w:spacing w:line="276" w:lineRule="auto"/>
            </w:pPr>
            <w:r w:rsidRPr="003415CC">
              <w:t>Professional</w:t>
            </w:r>
          </w:p>
        </w:tc>
        <w:tc>
          <w:tcPr>
            <w:tcW w:w="1300" w:type="dxa"/>
            <w:tcBorders>
              <w:top w:val="nil"/>
              <w:left w:val="nil"/>
              <w:bottom w:val="single" w:sz="4" w:space="0" w:color="auto"/>
              <w:right w:val="single" w:sz="4" w:space="0" w:color="auto"/>
            </w:tcBorders>
            <w:shd w:val="clear" w:color="auto" w:fill="auto"/>
            <w:noWrap/>
            <w:vAlign w:val="center"/>
            <w:hideMark/>
          </w:tcPr>
          <w:p w14:paraId="067023DB" w14:textId="77777777" w:rsidR="00C30451" w:rsidRPr="003415CC" w:rsidRDefault="00C30451" w:rsidP="00C82045">
            <w:pPr>
              <w:pStyle w:val="EBBodyPara"/>
              <w:spacing w:line="276" w:lineRule="auto"/>
            </w:pPr>
            <w:r w:rsidRPr="003415CC">
              <w:t>52.75</w:t>
            </w:r>
          </w:p>
        </w:tc>
        <w:tc>
          <w:tcPr>
            <w:tcW w:w="1640" w:type="dxa"/>
            <w:tcBorders>
              <w:top w:val="nil"/>
              <w:left w:val="nil"/>
              <w:bottom w:val="single" w:sz="4" w:space="0" w:color="auto"/>
              <w:right w:val="single" w:sz="4" w:space="0" w:color="auto"/>
            </w:tcBorders>
            <w:shd w:val="clear" w:color="auto" w:fill="auto"/>
            <w:noWrap/>
            <w:vAlign w:val="center"/>
            <w:hideMark/>
          </w:tcPr>
          <w:p w14:paraId="171C325F" w14:textId="77777777" w:rsidR="00C30451" w:rsidRPr="003415CC" w:rsidRDefault="00C30451" w:rsidP="00C82045">
            <w:pPr>
              <w:pStyle w:val="EBBodyPara"/>
              <w:spacing w:line="276" w:lineRule="auto"/>
            </w:pPr>
            <w:r w:rsidRPr="003415CC">
              <w:t>7.95</w:t>
            </w:r>
          </w:p>
        </w:tc>
        <w:tc>
          <w:tcPr>
            <w:tcW w:w="1520" w:type="dxa"/>
            <w:tcBorders>
              <w:top w:val="nil"/>
              <w:left w:val="nil"/>
              <w:bottom w:val="single" w:sz="4" w:space="0" w:color="auto"/>
              <w:right w:val="single" w:sz="4" w:space="0" w:color="auto"/>
            </w:tcBorders>
            <w:shd w:val="clear" w:color="auto" w:fill="auto"/>
            <w:noWrap/>
            <w:vAlign w:val="center"/>
            <w:hideMark/>
          </w:tcPr>
          <w:p w14:paraId="2FC527A0" w14:textId="77777777" w:rsidR="00C30451" w:rsidRPr="003415CC" w:rsidRDefault="00C30451" w:rsidP="00C82045">
            <w:pPr>
              <w:pStyle w:val="EBBodyPara"/>
              <w:spacing w:line="276" w:lineRule="auto"/>
            </w:pPr>
            <w:r w:rsidRPr="003415CC">
              <w:t>44.8</w:t>
            </w:r>
          </w:p>
        </w:tc>
        <w:tc>
          <w:tcPr>
            <w:tcW w:w="960" w:type="dxa"/>
            <w:tcBorders>
              <w:top w:val="nil"/>
              <w:left w:val="nil"/>
              <w:bottom w:val="single" w:sz="4" w:space="0" w:color="auto"/>
              <w:right w:val="single" w:sz="4" w:space="0" w:color="auto"/>
            </w:tcBorders>
            <w:shd w:val="clear" w:color="auto" w:fill="auto"/>
            <w:noWrap/>
            <w:vAlign w:val="center"/>
            <w:hideMark/>
          </w:tcPr>
          <w:p w14:paraId="398DF90C" w14:textId="77777777" w:rsidR="00C30451" w:rsidRPr="003415CC" w:rsidRDefault="00C30451" w:rsidP="00C82045">
            <w:pPr>
              <w:pStyle w:val="EBBodyPara"/>
              <w:spacing w:line="276" w:lineRule="auto"/>
            </w:pPr>
            <w:r w:rsidRPr="003415CC">
              <w:t>29.95</w:t>
            </w:r>
          </w:p>
        </w:tc>
        <w:tc>
          <w:tcPr>
            <w:tcW w:w="960" w:type="dxa"/>
            <w:tcBorders>
              <w:top w:val="nil"/>
              <w:left w:val="nil"/>
              <w:bottom w:val="single" w:sz="4" w:space="0" w:color="auto"/>
              <w:right w:val="single" w:sz="4" w:space="0" w:color="auto"/>
            </w:tcBorders>
            <w:shd w:val="clear" w:color="auto" w:fill="auto"/>
            <w:noWrap/>
            <w:vAlign w:val="center"/>
            <w:hideMark/>
          </w:tcPr>
          <w:p w14:paraId="1698059F" w14:textId="77777777" w:rsidR="00C30451" w:rsidRPr="003415CC" w:rsidRDefault="00C30451" w:rsidP="00C82045">
            <w:pPr>
              <w:pStyle w:val="EBBodyPara"/>
              <w:spacing w:line="276" w:lineRule="auto"/>
            </w:pPr>
            <w:r w:rsidRPr="003415CC">
              <w:t>1342</w:t>
            </w:r>
          </w:p>
        </w:tc>
      </w:tr>
      <w:tr w:rsidR="00C30451" w:rsidRPr="003415CC" w14:paraId="33E24198" w14:textId="77777777" w:rsidTr="00C30451">
        <w:trPr>
          <w:trHeight w:val="288"/>
          <w:jc w:val="center"/>
        </w:trPr>
        <w:tc>
          <w:tcPr>
            <w:tcW w:w="1407" w:type="dxa"/>
            <w:tcBorders>
              <w:top w:val="nil"/>
              <w:left w:val="single" w:sz="4" w:space="0" w:color="auto"/>
              <w:bottom w:val="single" w:sz="4" w:space="0" w:color="auto"/>
              <w:right w:val="single" w:sz="4" w:space="0" w:color="auto"/>
            </w:tcBorders>
            <w:shd w:val="clear" w:color="auto" w:fill="auto"/>
            <w:noWrap/>
            <w:vAlign w:val="bottom"/>
            <w:hideMark/>
          </w:tcPr>
          <w:p w14:paraId="1A2C6E69" w14:textId="77777777" w:rsidR="00C30451" w:rsidRPr="003415CC" w:rsidRDefault="00C30451" w:rsidP="00C82045">
            <w:pPr>
              <w:pStyle w:val="EBBodyPara"/>
              <w:spacing w:line="276" w:lineRule="auto"/>
            </w:pPr>
            <w:r w:rsidRPr="003415CC">
              <w:t>Administrative</w:t>
            </w:r>
          </w:p>
        </w:tc>
        <w:tc>
          <w:tcPr>
            <w:tcW w:w="1300" w:type="dxa"/>
            <w:tcBorders>
              <w:top w:val="nil"/>
              <w:left w:val="nil"/>
              <w:bottom w:val="single" w:sz="4" w:space="0" w:color="auto"/>
              <w:right w:val="single" w:sz="4" w:space="0" w:color="auto"/>
            </w:tcBorders>
            <w:shd w:val="clear" w:color="auto" w:fill="auto"/>
            <w:noWrap/>
            <w:vAlign w:val="center"/>
            <w:hideMark/>
          </w:tcPr>
          <w:p w14:paraId="35946133" w14:textId="77777777" w:rsidR="00C30451" w:rsidRPr="003415CC" w:rsidRDefault="00C30451" w:rsidP="00C82045">
            <w:pPr>
              <w:pStyle w:val="EBBodyPara"/>
              <w:spacing w:line="276" w:lineRule="auto"/>
            </w:pPr>
            <w:r w:rsidRPr="003415CC">
              <w:t>26.38</w:t>
            </w:r>
          </w:p>
        </w:tc>
        <w:tc>
          <w:tcPr>
            <w:tcW w:w="1640" w:type="dxa"/>
            <w:tcBorders>
              <w:top w:val="nil"/>
              <w:left w:val="nil"/>
              <w:bottom w:val="single" w:sz="4" w:space="0" w:color="auto"/>
              <w:right w:val="single" w:sz="4" w:space="0" w:color="auto"/>
            </w:tcBorders>
            <w:shd w:val="clear" w:color="auto" w:fill="auto"/>
            <w:noWrap/>
            <w:vAlign w:val="center"/>
            <w:hideMark/>
          </w:tcPr>
          <w:p w14:paraId="1861BE11" w14:textId="77777777" w:rsidR="00C30451" w:rsidRPr="003415CC" w:rsidRDefault="00C30451" w:rsidP="00C82045">
            <w:pPr>
              <w:pStyle w:val="EBBodyPara"/>
              <w:spacing w:line="276" w:lineRule="auto"/>
            </w:pPr>
            <w:r w:rsidRPr="003415CC">
              <w:t>3.81</w:t>
            </w:r>
          </w:p>
        </w:tc>
        <w:tc>
          <w:tcPr>
            <w:tcW w:w="1520" w:type="dxa"/>
            <w:tcBorders>
              <w:top w:val="nil"/>
              <w:left w:val="nil"/>
              <w:bottom w:val="single" w:sz="4" w:space="0" w:color="auto"/>
              <w:right w:val="single" w:sz="4" w:space="0" w:color="auto"/>
            </w:tcBorders>
            <w:shd w:val="clear" w:color="auto" w:fill="auto"/>
            <w:noWrap/>
            <w:vAlign w:val="center"/>
            <w:hideMark/>
          </w:tcPr>
          <w:p w14:paraId="78C55229" w14:textId="77777777" w:rsidR="00C30451" w:rsidRPr="003415CC" w:rsidRDefault="00C30451" w:rsidP="00C82045">
            <w:pPr>
              <w:pStyle w:val="EBBodyPara"/>
              <w:spacing w:line="276" w:lineRule="auto"/>
            </w:pPr>
            <w:r w:rsidRPr="003415CC">
              <w:t>22.57</w:t>
            </w:r>
          </w:p>
        </w:tc>
        <w:tc>
          <w:tcPr>
            <w:tcW w:w="960" w:type="dxa"/>
            <w:tcBorders>
              <w:top w:val="nil"/>
              <w:left w:val="nil"/>
              <w:bottom w:val="single" w:sz="4" w:space="0" w:color="auto"/>
              <w:right w:val="single" w:sz="4" w:space="0" w:color="auto"/>
            </w:tcBorders>
            <w:shd w:val="clear" w:color="auto" w:fill="auto"/>
            <w:noWrap/>
            <w:vAlign w:val="center"/>
            <w:hideMark/>
          </w:tcPr>
          <w:p w14:paraId="44EDF3BE" w14:textId="77777777" w:rsidR="00C30451" w:rsidRPr="003415CC" w:rsidRDefault="00C30451" w:rsidP="00C82045">
            <w:pPr>
              <w:pStyle w:val="EBBodyPara"/>
              <w:spacing w:line="276" w:lineRule="auto"/>
            </w:pPr>
            <w:r w:rsidRPr="003415CC">
              <w:t>15.71</w:t>
            </w:r>
          </w:p>
        </w:tc>
        <w:tc>
          <w:tcPr>
            <w:tcW w:w="960" w:type="dxa"/>
            <w:tcBorders>
              <w:top w:val="nil"/>
              <w:left w:val="nil"/>
              <w:bottom w:val="single" w:sz="4" w:space="0" w:color="auto"/>
              <w:right w:val="single" w:sz="4" w:space="0" w:color="auto"/>
            </w:tcBorders>
            <w:shd w:val="clear" w:color="auto" w:fill="auto"/>
            <w:noWrap/>
            <w:vAlign w:val="center"/>
            <w:hideMark/>
          </w:tcPr>
          <w:p w14:paraId="77AC9BCF" w14:textId="77777777" w:rsidR="00C30451" w:rsidRPr="003415CC" w:rsidRDefault="00C30451" w:rsidP="00C82045">
            <w:pPr>
              <w:pStyle w:val="EBBodyPara"/>
              <w:spacing w:line="276" w:lineRule="auto"/>
            </w:pPr>
            <w:r w:rsidRPr="003415CC">
              <w:t>355</w:t>
            </w:r>
          </w:p>
        </w:tc>
      </w:tr>
      <w:tr w:rsidR="00C30451" w:rsidRPr="003415CC" w14:paraId="0DB13708" w14:textId="77777777" w:rsidTr="00C30451">
        <w:trPr>
          <w:trHeight w:val="288"/>
          <w:jc w:val="center"/>
        </w:trPr>
        <w:tc>
          <w:tcPr>
            <w:tcW w:w="1407" w:type="dxa"/>
            <w:tcBorders>
              <w:top w:val="nil"/>
              <w:left w:val="single" w:sz="4" w:space="0" w:color="auto"/>
              <w:bottom w:val="single" w:sz="4" w:space="0" w:color="auto"/>
              <w:right w:val="single" w:sz="4" w:space="0" w:color="auto"/>
            </w:tcBorders>
            <w:shd w:val="clear" w:color="auto" w:fill="auto"/>
            <w:noWrap/>
            <w:vAlign w:val="bottom"/>
            <w:hideMark/>
          </w:tcPr>
          <w:p w14:paraId="09FB458E" w14:textId="77777777" w:rsidR="00C30451" w:rsidRPr="003415CC" w:rsidRDefault="00C30451" w:rsidP="00C82045">
            <w:pPr>
              <w:pStyle w:val="EBBodyPara"/>
              <w:spacing w:line="276" w:lineRule="auto"/>
              <w:rPr>
                <w:b/>
              </w:rPr>
            </w:pPr>
            <w:r w:rsidRPr="003415CC">
              <w:rPr>
                <w:b/>
              </w:rPr>
              <w:t>Total cost</w:t>
            </w:r>
          </w:p>
        </w:tc>
        <w:tc>
          <w:tcPr>
            <w:tcW w:w="1300" w:type="dxa"/>
            <w:tcBorders>
              <w:top w:val="nil"/>
              <w:left w:val="nil"/>
              <w:bottom w:val="single" w:sz="4" w:space="0" w:color="auto"/>
              <w:right w:val="single" w:sz="4" w:space="0" w:color="auto"/>
            </w:tcBorders>
            <w:shd w:val="clear" w:color="auto" w:fill="auto"/>
            <w:noWrap/>
            <w:vAlign w:val="center"/>
            <w:hideMark/>
          </w:tcPr>
          <w:p w14:paraId="07A80A31" w14:textId="77777777" w:rsidR="00C30451" w:rsidRPr="003415CC" w:rsidRDefault="00C30451" w:rsidP="00C82045">
            <w:pPr>
              <w:pStyle w:val="EBBodyPara"/>
              <w:spacing w:line="276" w:lineRule="auto"/>
            </w:pPr>
          </w:p>
        </w:tc>
        <w:tc>
          <w:tcPr>
            <w:tcW w:w="1640" w:type="dxa"/>
            <w:tcBorders>
              <w:top w:val="nil"/>
              <w:left w:val="nil"/>
              <w:bottom w:val="single" w:sz="4" w:space="0" w:color="auto"/>
              <w:right w:val="single" w:sz="4" w:space="0" w:color="auto"/>
            </w:tcBorders>
            <w:shd w:val="clear" w:color="auto" w:fill="auto"/>
            <w:noWrap/>
            <w:vAlign w:val="center"/>
            <w:hideMark/>
          </w:tcPr>
          <w:p w14:paraId="549BB6B7" w14:textId="77777777" w:rsidR="00C30451" w:rsidRPr="003415CC" w:rsidRDefault="00C30451" w:rsidP="00C82045">
            <w:pPr>
              <w:pStyle w:val="EBBodyPara"/>
              <w:spacing w:line="276" w:lineRule="auto"/>
            </w:pPr>
          </w:p>
        </w:tc>
        <w:tc>
          <w:tcPr>
            <w:tcW w:w="1520" w:type="dxa"/>
            <w:tcBorders>
              <w:top w:val="nil"/>
              <w:left w:val="nil"/>
              <w:bottom w:val="single" w:sz="4" w:space="0" w:color="auto"/>
              <w:right w:val="single" w:sz="4" w:space="0" w:color="auto"/>
            </w:tcBorders>
            <w:shd w:val="clear" w:color="auto" w:fill="auto"/>
            <w:noWrap/>
            <w:vAlign w:val="center"/>
            <w:hideMark/>
          </w:tcPr>
          <w:p w14:paraId="74BD7E2B" w14:textId="77777777" w:rsidR="00C30451" w:rsidRPr="003415CC" w:rsidRDefault="00C30451" w:rsidP="00C82045">
            <w:pPr>
              <w:pStyle w:val="EBBodyPara"/>
              <w:spacing w:line="276" w:lineRule="auto"/>
            </w:pPr>
          </w:p>
        </w:tc>
        <w:tc>
          <w:tcPr>
            <w:tcW w:w="960" w:type="dxa"/>
            <w:tcBorders>
              <w:top w:val="nil"/>
              <w:left w:val="nil"/>
              <w:bottom w:val="single" w:sz="4" w:space="0" w:color="auto"/>
              <w:right w:val="single" w:sz="4" w:space="0" w:color="auto"/>
            </w:tcBorders>
            <w:shd w:val="clear" w:color="auto" w:fill="auto"/>
            <w:noWrap/>
            <w:vAlign w:val="center"/>
            <w:hideMark/>
          </w:tcPr>
          <w:p w14:paraId="249E22D8" w14:textId="77777777" w:rsidR="00C30451" w:rsidRPr="003415CC" w:rsidRDefault="00C30451" w:rsidP="00C82045">
            <w:pPr>
              <w:pStyle w:val="EBBodyPara"/>
              <w:spacing w:line="276" w:lineRule="auto"/>
            </w:pPr>
          </w:p>
        </w:tc>
        <w:tc>
          <w:tcPr>
            <w:tcW w:w="960" w:type="dxa"/>
            <w:tcBorders>
              <w:top w:val="nil"/>
              <w:left w:val="nil"/>
              <w:bottom w:val="single" w:sz="4" w:space="0" w:color="auto"/>
              <w:right w:val="single" w:sz="4" w:space="0" w:color="auto"/>
            </w:tcBorders>
            <w:shd w:val="clear" w:color="auto" w:fill="auto"/>
            <w:noWrap/>
            <w:vAlign w:val="center"/>
            <w:hideMark/>
          </w:tcPr>
          <w:p w14:paraId="61AB8F9C" w14:textId="77777777" w:rsidR="00C30451" w:rsidRPr="003415CC" w:rsidRDefault="00C30451" w:rsidP="00C82045">
            <w:pPr>
              <w:pStyle w:val="EBBodyPara"/>
              <w:spacing w:line="276" w:lineRule="auto"/>
              <w:rPr>
                <w:b/>
              </w:rPr>
            </w:pPr>
            <w:r w:rsidRPr="003415CC">
              <w:rPr>
                <w:b/>
              </w:rPr>
              <w:t>2363</w:t>
            </w:r>
          </w:p>
        </w:tc>
      </w:tr>
    </w:tbl>
    <w:p w14:paraId="6298DBD6" w14:textId="77777777" w:rsidR="00C30451" w:rsidRPr="003415CC" w:rsidRDefault="00C30451" w:rsidP="00C82045">
      <w:pPr>
        <w:pStyle w:val="EBBodyPara"/>
        <w:spacing w:line="276" w:lineRule="auto"/>
        <w:rPr>
          <w:u w:val="single"/>
        </w:rPr>
      </w:pPr>
      <w:r w:rsidRPr="003415CC">
        <w:rPr>
          <w:u w:val="single"/>
        </w:rPr>
        <w:br w:type="page"/>
      </w:r>
    </w:p>
    <w:p w14:paraId="1D3687D9" w14:textId="77777777" w:rsidR="00C30451" w:rsidRPr="003415CC" w:rsidRDefault="00C30451" w:rsidP="00C82045">
      <w:pPr>
        <w:pStyle w:val="EBBodyPara"/>
        <w:spacing w:line="276" w:lineRule="auto"/>
        <w:rPr>
          <w:b/>
        </w:rPr>
      </w:pPr>
    </w:p>
    <w:p w14:paraId="500640E9" w14:textId="77777777" w:rsidR="00C30451" w:rsidRPr="003415CC" w:rsidRDefault="00C30451" w:rsidP="00C82045">
      <w:pPr>
        <w:pStyle w:val="EBBodyPara"/>
        <w:spacing w:line="276" w:lineRule="auto"/>
        <w:rPr>
          <w:b/>
        </w:rPr>
      </w:pPr>
      <w:r w:rsidRPr="003415CC">
        <w:rPr>
          <w:b/>
        </w:rPr>
        <w:t>Annex C: Costs and Savings per subsidiary</w:t>
      </w:r>
    </w:p>
    <w:p w14:paraId="1AF50383" w14:textId="77777777" w:rsidR="00D61782" w:rsidRDefault="00D61782" w:rsidP="00D61782">
      <w:pPr>
        <w:pStyle w:val="ListParagraph"/>
        <w:spacing w:line="276" w:lineRule="auto"/>
        <w:ind w:left="0"/>
        <w:jc w:val="both"/>
        <w:rPr>
          <w:rFonts w:cs="Arial"/>
          <w:sz w:val="22"/>
          <w:szCs w:val="22"/>
        </w:rPr>
      </w:pPr>
      <w:r w:rsidRPr="000E7E9F">
        <w:rPr>
          <w:rFonts w:cs="Arial"/>
          <w:sz w:val="22"/>
          <w:szCs w:val="22"/>
        </w:rPr>
        <w:t>We have been unable to estimate the co</w:t>
      </w:r>
      <w:r>
        <w:rPr>
          <w:rFonts w:cs="Arial"/>
          <w:sz w:val="22"/>
          <w:szCs w:val="22"/>
        </w:rPr>
        <w:t>sts to subsidiary firms from this</w:t>
      </w:r>
      <w:r w:rsidRPr="000E7E9F">
        <w:rPr>
          <w:rFonts w:cs="Arial"/>
          <w:sz w:val="22"/>
          <w:szCs w:val="22"/>
        </w:rPr>
        <w:t xml:space="preserve"> survey, as </w:t>
      </w:r>
      <w:r>
        <w:rPr>
          <w:rFonts w:cs="Arial"/>
          <w:sz w:val="22"/>
          <w:szCs w:val="22"/>
        </w:rPr>
        <w:t xml:space="preserve">information from the </w:t>
      </w:r>
      <w:r w:rsidRPr="00AB2198">
        <w:rPr>
          <w:rFonts w:cs="Arial"/>
          <w:sz w:val="22"/>
          <w:szCs w:val="22"/>
        </w:rPr>
        <w:t xml:space="preserve">few subsidiary respondents was not useable without further clarifications and had to be disregarded. As subsidiary companies would not have to produce reports, the changes would impose a relatively minor change in the flow of information from subsidiaries to their parent companies. Estimates produced in the Consultation Stage IA indicated that the costs would be low. However, these estimates were also based on just two responses and implied a cost of just £2.31 - £3.36 per subsidiary per annum, which we don’t consider to be representative. </w:t>
      </w:r>
    </w:p>
    <w:p w14:paraId="44947C66" w14:textId="77777777" w:rsidR="00D61782" w:rsidRDefault="00D61782" w:rsidP="00D61782">
      <w:pPr>
        <w:pStyle w:val="ListParagraph"/>
        <w:spacing w:line="276" w:lineRule="auto"/>
        <w:ind w:left="0"/>
        <w:jc w:val="both"/>
        <w:rPr>
          <w:rFonts w:cs="Arial"/>
          <w:sz w:val="22"/>
          <w:szCs w:val="22"/>
        </w:rPr>
      </w:pPr>
    </w:p>
    <w:p w14:paraId="0F753DA8" w14:textId="77777777" w:rsidR="00D61782" w:rsidRDefault="00D61782" w:rsidP="00D61782">
      <w:pPr>
        <w:pStyle w:val="ListParagraph"/>
        <w:spacing w:line="276" w:lineRule="auto"/>
        <w:ind w:left="0"/>
        <w:jc w:val="both"/>
        <w:rPr>
          <w:rFonts w:cs="Arial"/>
          <w:sz w:val="22"/>
          <w:szCs w:val="22"/>
        </w:rPr>
      </w:pPr>
      <w:r w:rsidRPr="00AB2198">
        <w:rPr>
          <w:rFonts w:cs="Arial"/>
          <w:sz w:val="22"/>
          <w:szCs w:val="22"/>
        </w:rPr>
        <w:t>We therefore base cost estimates for subsidiaries on the</w:t>
      </w:r>
      <w:r>
        <w:rPr>
          <w:rFonts w:cs="Arial"/>
          <w:sz w:val="22"/>
          <w:szCs w:val="22"/>
        </w:rPr>
        <w:t xml:space="preserve"> current survey evidence – but on the</w:t>
      </w:r>
      <w:r w:rsidRPr="00AB2198">
        <w:rPr>
          <w:rFonts w:cs="Arial"/>
          <w:sz w:val="22"/>
          <w:szCs w:val="22"/>
        </w:rPr>
        <w:t xml:space="preserve"> assumption that these would be a percentage of the costs to their</w:t>
      </w:r>
      <w:r w:rsidR="00983E88">
        <w:rPr>
          <w:rFonts w:cs="Arial"/>
          <w:sz w:val="22"/>
          <w:szCs w:val="22"/>
        </w:rPr>
        <w:t xml:space="preserve"> parent companies. We take </w:t>
      </w:r>
      <w:r w:rsidRPr="003415CC">
        <w:rPr>
          <w:rFonts w:cs="Arial"/>
          <w:sz w:val="22"/>
          <w:szCs w:val="22"/>
        </w:rPr>
        <w:t>5</w:t>
      </w:r>
      <w:r w:rsidR="00983E88">
        <w:rPr>
          <w:rFonts w:cs="Arial"/>
          <w:sz w:val="22"/>
          <w:szCs w:val="22"/>
        </w:rPr>
        <w:t>0% and 100</w:t>
      </w:r>
      <w:r w:rsidRPr="003415CC">
        <w:rPr>
          <w:rFonts w:cs="Arial"/>
          <w:sz w:val="22"/>
          <w:szCs w:val="22"/>
        </w:rPr>
        <w:t xml:space="preserve">% of costs to parents as the lower and upper bounds and use 50% as our best estimate. </w:t>
      </w:r>
    </w:p>
    <w:p w14:paraId="1FCB1F63" w14:textId="77777777" w:rsidR="00D61782" w:rsidRPr="003415CC" w:rsidRDefault="00D61782" w:rsidP="00D61782">
      <w:pPr>
        <w:pStyle w:val="ListParagraph"/>
        <w:spacing w:line="276" w:lineRule="auto"/>
        <w:ind w:left="0"/>
        <w:jc w:val="both"/>
        <w:rPr>
          <w:rFonts w:cs="Arial"/>
          <w:sz w:val="22"/>
          <w:szCs w:val="22"/>
        </w:rPr>
      </w:pPr>
    </w:p>
    <w:p w14:paraId="4E7FEC22" w14:textId="77777777" w:rsidR="00C30451" w:rsidRPr="003415CC" w:rsidRDefault="00C30451" w:rsidP="00C82045">
      <w:pPr>
        <w:pStyle w:val="EBBodyPara"/>
        <w:spacing w:line="276" w:lineRule="auto"/>
        <w:jc w:val="both"/>
      </w:pPr>
      <w:r w:rsidRPr="003415CC">
        <w:t>The costs to subsidiaries of quoted and unquoted companies are calculated in Tables C1 and C2.</w:t>
      </w:r>
    </w:p>
    <w:p w14:paraId="1C92C605" w14:textId="77777777" w:rsidR="00C30451" w:rsidRPr="003415CC" w:rsidRDefault="00C30451" w:rsidP="00C82045">
      <w:pPr>
        <w:pStyle w:val="EBBodyPara"/>
        <w:spacing w:line="276" w:lineRule="auto"/>
        <w:jc w:val="center"/>
        <w:rPr>
          <w:b/>
        </w:rPr>
      </w:pPr>
      <w:r w:rsidRPr="003415CC">
        <w:rPr>
          <w:b/>
        </w:rPr>
        <w:t>Table C1</w:t>
      </w:r>
    </w:p>
    <w:p w14:paraId="45C37659" w14:textId="77777777" w:rsidR="00C30451" w:rsidRPr="003415CC" w:rsidRDefault="00C30451" w:rsidP="00C82045">
      <w:pPr>
        <w:pStyle w:val="EBBodyPara"/>
        <w:spacing w:line="276" w:lineRule="auto"/>
        <w:jc w:val="center"/>
        <w:rPr>
          <w:b/>
        </w:rPr>
      </w:pPr>
      <w:r w:rsidRPr="003415CC">
        <w:rPr>
          <w:b/>
        </w:rPr>
        <w:t>Subsidiaries of quoted companies</w:t>
      </w:r>
    </w:p>
    <w:p w14:paraId="76A00793" w14:textId="77777777" w:rsidR="00C30451" w:rsidRPr="003415CC" w:rsidRDefault="00983E88" w:rsidP="00C82045">
      <w:pPr>
        <w:pStyle w:val="EBBodyPara"/>
        <w:spacing w:line="276" w:lineRule="auto"/>
        <w:jc w:val="center"/>
        <w:rPr>
          <w:u w:val="single"/>
        </w:rPr>
      </w:pPr>
      <w:r w:rsidRPr="00983E88">
        <w:rPr>
          <w:noProof/>
        </w:rPr>
        <w:drawing>
          <wp:inline distT="0" distB="0" distL="0" distR="0" wp14:anchorId="6B087D35" wp14:editId="3FB83CB6">
            <wp:extent cx="4364355" cy="25215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64355" cy="2521585"/>
                    </a:xfrm>
                    <a:prstGeom prst="rect">
                      <a:avLst/>
                    </a:prstGeom>
                    <a:noFill/>
                    <a:ln>
                      <a:noFill/>
                    </a:ln>
                  </pic:spPr>
                </pic:pic>
              </a:graphicData>
            </a:graphic>
          </wp:inline>
        </w:drawing>
      </w:r>
    </w:p>
    <w:p w14:paraId="744F8B09" w14:textId="77777777" w:rsidR="00C30451" w:rsidRPr="003415CC" w:rsidRDefault="00C30451" w:rsidP="00D61782">
      <w:pPr>
        <w:pStyle w:val="EBBodyPara"/>
        <w:keepNext/>
        <w:spacing w:line="276" w:lineRule="auto"/>
        <w:jc w:val="center"/>
        <w:rPr>
          <w:b/>
        </w:rPr>
      </w:pPr>
      <w:r w:rsidRPr="003415CC">
        <w:rPr>
          <w:b/>
        </w:rPr>
        <w:lastRenderedPageBreak/>
        <w:t>Table C2</w:t>
      </w:r>
    </w:p>
    <w:p w14:paraId="2A95C30B" w14:textId="77777777" w:rsidR="00C30451" w:rsidRPr="003415CC" w:rsidRDefault="00C30451" w:rsidP="00D61782">
      <w:pPr>
        <w:pStyle w:val="EBBodyPara"/>
        <w:keepNext/>
        <w:spacing w:line="276" w:lineRule="auto"/>
        <w:jc w:val="center"/>
        <w:rPr>
          <w:b/>
        </w:rPr>
      </w:pPr>
      <w:r w:rsidRPr="003415CC">
        <w:rPr>
          <w:b/>
        </w:rPr>
        <w:t>Subsidiaries of unquoted companies</w:t>
      </w:r>
    </w:p>
    <w:p w14:paraId="4E6850B1" w14:textId="77777777" w:rsidR="00C30451" w:rsidRPr="003415CC" w:rsidRDefault="00983E88" w:rsidP="00D61782">
      <w:pPr>
        <w:pStyle w:val="EBBodyPara"/>
        <w:keepNext/>
        <w:spacing w:line="276" w:lineRule="auto"/>
        <w:jc w:val="center"/>
        <w:rPr>
          <w:b/>
        </w:rPr>
      </w:pPr>
      <w:r w:rsidRPr="00983E88">
        <w:rPr>
          <w:noProof/>
        </w:rPr>
        <w:drawing>
          <wp:inline distT="0" distB="0" distL="0" distR="0" wp14:anchorId="19FDDF85" wp14:editId="3B74BD25">
            <wp:extent cx="4246245" cy="2521585"/>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46245" cy="2521585"/>
                    </a:xfrm>
                    <a:prstGeom prst="rect">
                      <a:avLst/>
                    </a:prstGeom>
                    <a:noFill/>
                    <a:ln>
                      <a:noFill/>
                    </a:ln>
                  </pic:spPr>
                </pic:pic>
              </a:graphicData>
            </a:graphic>
          </wp:inline>
        </w:drawing>
      </w:r>
    </w:p>
    <w:p w14:paraId="12EC6C06" w14:textId="77777777" w:rsidR="00C30451" w:rsidRPr="003415CC" w:rsidRDefault="00C30451" w:rsidP="00C82045">
      <w:pPr>
        <w:pStyle w:val="EBBodyPara"/>
        <w:spacing w:line="276" w:lineRule="auto"/>
        <w:rPr>
          <w:b/>
        </w:rPr>
      </w:pPr>
    </w:p>
    <w:p w14:paraId="12F8CDDE" w14:textId="77777777" w:rsidR="00C30451" w:rsidRPr="003415CC" w:rsidRDefault="00C30451" w:rsidP="00C82045">
      <w:pPr>
        <w:pStyle w:val="EBBodyPara"/>
        <w:keepNext/>
        <w:spacing w:line="276" w:lineRule="auto"/>
        <w:jc w:val="center"/>
        <w:rPr>
          <w:b/>
        </w:rPr>
      </w:pPr>
      <w:r w:rsidRPr="003415CC">
        <w:rPr>
          <w:b/>
        </w:rPr>
        <w:t>Table C3: Savings to subsidiaries under Option 4</w:t>
      </w:r>
    </w:p>
    <w:p w14:paraId="6DFE6D27" w14:textId="77777777" w:rsidR="00C30451" w:rsidRPr="003415CC" w:rsidRDefault="00983E88" w:rsidP="00C82045">
      <w:pPr>
        <w:pStyle w:val="EBBodyPara"/>
        <w:keepNext/>
        <w:spacing w:line="276" w:lineRule="auto"/>
        <w:jc w:val="center"/>
        <w:rPr>
          <w:b/>
        </w:rPr>
      </w:pPr>
      <w:r w:rsidRPr="00983E88">
        <w:rPr>
          <w:noProof/>
        </w:rPr>
        <w:drawing>
          <wp:inline distT="0" distB="0" distL="0" distR="0" wp14:anchorId="08890764" wp14:editId="0BED3DBB">
            <wp:extent cx="4364355" cy="172466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64355" cy="1724660"/>
                    </a:xfrm>
                    <a:prstGeom prst="rect">
                      <a:avLst/>
                    </a:prstGeom>
                    <a:noFill/>
                    <a:ln>
                      <a:noFill/>
                    </a:ln>
                  </pic:spPr>
                </pic:pic>
              </a:graphicData>
            </a:graphic>
          </wp:inline>
        </w:drawing>
      </w:r>
    </w:p>
    <w:p w14:paraId="54AE5126" w14:textId="77777777" w:rsidR="00C30451" w:rsidRPr="003415CC" w:rsidRDefault="00C30451" w:rsidP="00C82045">
      <w:pPr>
        <w:pStyle w:val="EBBodyPara"/>
        <w:keepNext/>
        <w:spacing w:line="276" w:lineRule="auto"/>
        <w:jc w:val="center"/>
        <w:rPr>
          <w:u w:val="single"/>
        </w:rPr>
      </w:pPr>
      <w:r w:rsidRPr="003415CC">
        <w:rPr>
          <w:u w:val="single"/>
        </w:rPr>
        <w:br w:type="page"/>
      </w:r>
    </w:p>
    <w:p w14:paraId="3E6C12DE" w14:textId="77777777" w:rsidR="00C30451" w:rsidRPr="003415CC" w:rsidRDefault="00C30451" w:rsidP="00C82045">
      <w:pPr>
        <w:pStyle w:val="EBBodyPara"/>
        <w:spacing w:line="276" w:lineRule="auto"/>
        <w:rPr>
          <w:u w:val="single"/>
        </w:rPr>
        <w:sectPr w:rsidR="00C30451" w:rsidRPr="003415CC" w:rsidSect="002F2BA5">
          <w:pgSz w:w="11906" w:h="16838"/>
          <w:pgMar w:top="567" w:right="851" w:bottom="567" w:left="851" w:header="709" w:footer="709" w:gutter="0"/>
          <w:cols w:space="708"/>
          <w:docGrid w:linePitch="360"/>
        </w:sectPr>
      </w:pPr>
    </w:p>
    <w:p w14:paraId="531CB659" w14:textId="77777777" w:rsidR="00C30451" w:rsidRPr="003415CC" w:rsidRDefault="00C30451" w:rsidP="00C82045">
      <w:pPr>
        <w:pStyle w:val="EBBodyPara"/>
        <w:spacing w:line="276" w:lineRule="auto"/>
        <w:rPr>
          <w:u w:val="single"/>
        </w:rPr>
      </w:pPr>
    </w:p>
    <w:p w14:paraId="0F8C5D29" w14:textId="77777777" w:rsidR="00C30451" w:rsidRPr="003415CC" w:rsidRDefault="00C30451" w:rsidP="00C82045">
      <w:pPr>
        <w:pStyle w:val="EBBodyPara"/>
        <w:spacing w:line="276" w:lineRule="auto"/>
        <w:rPr>
          <w:b/>
        </w:rPr>
      </w:pPr>
      <w:r w:rsidRPr="003415CC">
        <w:rPr>
          <w:b/>
        </w:rPr>
        <w:t>Annex D: Calculations for the Best, Low and High Estimates of Total Costs across All Companies</w:t>
      </w:r>
      <w:r w:rsidR="00FB03EF">
        <w:rPr>
          <w:rStyle w:val="FootnoteReference"/>
          <w:b/>
        </w:rPr>
        <w:footnoteReference w:id="43"/>
      </w:r>
    </w:p>
    <w:p w14:paraId="16DEA5CB" w14:textId="77777777" w:rsidR="00C30451" w:rsidRPr="003415CC" w:rsidRDefault="00E9164F" w:rsidP="00C82045">
      <w:pPr>
        <w:pStyle w:val="EBBodyPara"/>
        <w:spacing w:line="276" w:lineRule="auto"/>
        <w:rPr>
          <w:u w:val="single"/>
        </w:rPr>
      </w:pPr>
      <w:r>
        <w:rPr>
          <w:u w:val="single"/>
        </w:rPr>
        <w:t xml:space="preserve">Table D1: </w:t>
      </w:r>
      <w:r w:rsidR="00C30451" w:rsidRPr="003415CC">
        <w:rPr>
          <w:u w:val="single"/>
        </w:rPr>
        <w:t>Best estimates of total first year costs</w:t>
      </w:r>
    </w:p>
    <w:p w14:paraId="768B238D" w14:textId="77777777" w:rsidR="00C30451" w:rsidRPr="003415CC" w:rsidRDefault="00983E88" w:rsidP="00C82045">
      <w:pPr>
        <w:pStyle w:val="EBBodyPara"/>
        <w:spacing w:line="276" w:lineRule="auto"/>
        <w:rPr>
          <w:u w:val="single"/>
        </w:rPr>
      </w:pPr>
      <w:r w:rsidRPr="00983E88">
        <w:rPr>
          <w:noProof/>
        </w:rPr>
        <w:drawing>
          <wp:inline distT="0" distB="0" distL="0" distR="0" wp14:anchorId="2765DD77" wp14:editId="09EDF05B">
            <wp:extent cx="9611360" cy="4036727"/>
            <wp:effectExtent l="0" t="0" r="889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611360" cy="4036727"/>
                    </a:xfrm>
                    <a:prstGeom prst="rect">
                      <a:avLst/>
                    </a:prstGeom>
                    <a:noFill/>
                    <a:ln>
                      <a:noFill/>
                    </a:ln>
                  </pic:spPr>
                </pic:pic>
              </a:graphicData>
            </a:graphic>
          </wp:inline>
        </w:drawing>
      </w:r>
    </w:p>
    <w:p w14:paraId="52DFCB03" w14:textId="77777777" w:rsidR="00C30451" w:rsidRPr="009E1DD7" w:rsidRDefault="00C30451" w:rsidP="00C82045">
      <w:pPr>
        <w:pStyle w:val="EBBodyPara"/>
        <w:spacing w:line="276" w:lineRule="auto"/>
        <w:rPr>
          <w:u w:val="single"/>
        </w:rPr>
      </w:pPr>
      <w:r w:rsidRPr="009E1DD7">
        <w:rPr>
          <w:u w:val="single"/>
        </w:rPr>
        <w:br w:type="page"/>
      </w:r>
    </w:p>
    <w:p w14:paraId="6E7C166B" w14:textId="77777777" w:rsidR="00C30451" w:rsidRPr="003415CC" w:rsidRDefault="00C30451" w:rsidP="00C82045">
      <w:pPr>
        <w:pStyle w:val="EBBodyPara"/>
        <w:spacing w:line="276" w:lineRule="auto"/>
        <w:rPr>
          <w:u w:val="single"/>
        </w:rPr>
      </w:pPr>
    </w:p>
    <w:p w14:paraId="2974E907" w14:textId="77777777" w:rsidR="00C30451" w:rsidRPr="003415CC" w:rsidRDefault="00E9164F" w:rsidP="00C82045">
      <w:pPr>
        <w:pStyle w:val="EBBodyPara"/>
        <w:spacing w:line="276" w:lineRule="auto"/>
        <w:rPr>
          <w:u w:val="single"/>
        </w:rPr>
      </w:pPr>
      <w:r>
        <w:rPr>
          <w:u w:val="single"/>
        </w:rPr>
        <w:t xml:space="preserve">Table D2: </w:t>
      </w:r>
      <w:r w:rsidR="00C30451" w:rsidRPr="003415CC">
        <w:rPr>
          <w:u w:val="single"/>
        </w:rPr>
        <w:t>Best estimates of total ongoing annual costs</w:t>
      </w:r>
    </w:p>
    <w:p w14:paraId="051C8970" w14:textId="77777777" w:rsidR="00C30451" w:rsidRPr="003415CC" w:rsidRDefault="00744352" w:rsidP="00C82045">
      <w:pPr>
        <w:pStyle w:val="EBBodyPara"/>
        <w:spacing w:line="276" w:lineRule="auto"/>
        <w:rPr>
          <w:u w:val="single"/>
        </w:rPr>
      </w:pPr>
      <w:r w:rsidRPr="00744352">
        <w:rPr>
          <w:noProof/>
        </w:rPr>
        <w:drawing>
          <wp:inline distT="0" distB="0" distL="0" distR="0" wp14:anchorId="082A8989" wp14:editId="62EB0244">
            <wp:extent cx="9611360" cy="3994075"/>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611360" cy="3994075"/>
                    </a:xfrm>
                    <a:prstGeom prst="rect">
                      <a:avLst/>
                    </a:prstGeom>
                    <a:noFill/>
                    <a:ln>
                      <a:noFill/>
                    </a:ln>
                  </pic:spPr>
                </pic:pic>
              </a:graphicData>
            </a:graphic>
          </wp:inline>
        </w:drawing>
      </w:r>
    </w:p>
    <w:p w14:paraId="32D143A3" w14:textId="77777777" w:rsidR="00C30451" w:rsidRPr="003415CC" w:rsidRDefault="00C30451" w:rsidP="00C82045">
      <w:pPr>
        <w:pStyle w:val="EBBodyPara"/>
        <w:spacing w:line="276" w:lineRule="auto"/>
        <w:rPr>
          <w:u w:val="single"/>
        </w:rPr>
      </w:pPr>
      <w:r w:rsidRPr="003415CC">
        <w:rPr>
          <w:u w:val="single"/>
        </w:rPr>
        <w:br w:type="page"/>
      </w:r>
    </w:p>
    <w:p w14:paraId="211C95AA" w14:textId="77777777" w:rsidR="00C30451" w:rsidRPr="003415CC" w:rsidRDefault="00C30451" w:rsidP="00C82045">
      <w:pPr>
        <w:pStyle w:val="EBBodyPara"/>
        <w:spacing w:line="276" w:lineRule="auto"/>
        <w:rPr>
          <w:u w:val="single"/>
        </w:rPr>
      </w:pPr>
    </w:p>
    <w:p w14:paraId="60A65F3E" w14:textId="77777777" w:rsidR="00C30451" w:rsidRPr="003415CC" w:rsidRDefault="00E9164F" w:rsidP="00C82045">
      <w:pPr>
        <w:pStyle w:val="EBBodyPara"/>
        <w:spacing w:line="276" w:lineRule="auto"/>
        <w:rPr>
          <w:u w:val="single"/>
        </w:rPr>
      </w:pPr>
      <w:r>
        <w:rPr>
          <w:u w:val="single"/>
        </w:rPr>
        <w:t xml:space="preserve">Table D3: </w:t>
      </w:r>
      <w:r w:rsidR="00C30451" w:rsidRPr="003415CC">
        <w:rPr>
          <w:u w:val="single"/>
        </w:rPr>
        <w:t>Low estimates of first year costs</w:t>
      </w:r>
    </w:p>
    <w:p w14:paraId="69A0A81C" w14:textId="77777777" w:rsidR="00C30451" w:rsidRPr="003415CC" w:rsidRDefault="00744352" w:rsidP="00C82045">
      <w:pPr>
        <w:pStyle w:val="EBBodyPara"/>
        <w:spacing w:line="276" w:lineRule="auto"/>
        <w:rPr>
          <w:u w:val="single"/>
        </w:rPr>
      </w:pPr>
      <w:r w:rsidRPr="00744352">
        <w:rPr>
          <w:noProof/>
        </w:rPr>
        <w:drawing>
          <wp:inline distT="0" distB="0" distL="0" distR="0" wp14:anchorId="6CC2DF10" wp14:editId="0AF46C64">
            <wp:extent cx="9611360" cy="4012870"/>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611360" cy="4012870"/>
                    </a:xfrm>
                    <a:prstGeom prst="rect">
                      <a:avLst/>
                    </a:prstGeom>
                    <a:noFill/>
                    <a:ln>
                      <a:noFill/>
                    </a:ln>
                  </pic:spPr>
                </pic:pic>
              </a:graphicData>
            </a:graphic>
          </wp:inline>
        </w:drawing>
      </w:r>
    </w:p>
    <w:p w14:paraId="535E2B2A" w14:textId="77777777" w:rsidR="00C30451" w:rsidRPr="003415CC" w:rsidRDefault="00C30451" w:rsidP="00C82045">
      <w:pPr>
        <w:pStyle w:val="EBBodyPara"/>
        <w:spacing w:line="276" w:lineRule="auto"/>
        <w:rPr>
          <w:u w:val="single"/>
        </w:rPr>
      </w:pPr>
      <w:r w:rsidRPr="003415CC">
        <w:rPr>
          <w:u w:val="single"/>
        </w:rPr>
        <w:br w:type="page"/>
      </w:r>
    </w:p>
    <w:p w14:paraId="5EAAC0CC" w14:textId="77777777" w:rsidR="00C30451" w:rsidRPr="003415CC" w:rsidRDefault="00E9164F" w:rsidP="00C82045">
      <w:pPr>
        <w:pStyle w:val="EBBodyPara"/>
        <w:spacing w:line="276" w:lineRule="auto"/>
        <w:rPr>
          <w:u w:val="single"/>
        </w:rPr>
      </w:pPr>
      <w:r>
        <w:rPr>
          <w:u w:val="single"/>
        </w:rPr>
        <w:lastRenderedPageBreak/>
        <w:t xml:space="preserve">Table </w:t>
      </w:r>
      <w:r w:rsidR="00F25166">
        <w:rPr>
          <w:u w:val="single"/>
        </w:rPr>
        <w:t>D</w:t>
      </w:r>
      <w:r>
        <w:rPr>
          <w:u w:val="single"/>
        </w:rPr>
        <w:t xml:space="preserve">4: </w:t>
      </w:r>
      <w:r w:rsidR="00C30451" w:rsidRPr="003415CC">
        <w:rPr>
          <w:u w:val="single"/>
        </w:rPr>
        <w:t>Low estimates of ongoing costs</w:t>
      </w:r>
    </w:p>
    <w:p w14:paraId="57B34A71" w14:textId="77777777" w:rsidR="00C30451" w:rsidRPr="003415CC" w:rsidRDefault="00744352" w:rsidP="00C82045">
      <w:pPr>
        <w:pStyle w:val="EBBodyPara"/>
        <w:spacing w:line="276" w:lineRule="auto"/>
        <w:rPr>
          <w:u w:val="single"/>
        </w:rPr>
      </w:pPr>
      <w:r w:rsidRPr="00744352">
        <w:rPr>
          <w:noProof/>
        </w:rPr>
        <w:drawing>
          <wp:inline distT="0" distB="0" distL="0" distR="0" wp14:anchorId="5DEEEA4E" wp14:editId="319F9218">
            <wp:extent cx="9611360" cy="39704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611360" cy="3970470"/>
                    </a:xfrm>
                    <a:prstGeom prst="rect">
                      <a:avLst/>
                    </a:prstGeom>
                    <a:noFill/>
                    <a:ln>
                      <a:noFill/>
                    </a:ln>
                  </pic:spPr>
                </pic:pic>
              </a:graphicData>
            </a:graphic>
          </wp:inline>
        </w:drawing>
      </w:r>
    </w:p>
    <w:p w14:paraId="143BC651" w14:textId="77777777" w:rsidR="00C30451" w:rsidRPr="003415CC" w:rsidRDefault="00C30451" w:rsidP="00C82045">
      <w:pPr>
        <w:pStyle w:val="EBBodyPara"/>
        <w:spacing w:line="276" w:lineRule="auto"/>
        <w:rPr>
          <w:u w:val="single"/>
        </w:rPr>
      </w:pPr>
      <w:r w:rsidRPr="003415CC">
        <w:rPr>
          <w:u w:val="single"/>
        </w:rPr>
        <w:br w:type="page"/>
      </w:r>
    </w:p>
    <w:p w14:paraId="5433CF2A" w14:textId="77777777" w:rsidR="00C30451" w:rsidRPr="003415CC" w:rsidRDefault="00E9164F" w:rsidP="00C82045">
      <w:pPr>
        <w:pStyle w:val="EBBodyPara"/>
        <w:spacing w:line="276" w:lineRule="auto"/>
        <w:rPr>
          <w:u w:val="single"/>
        </w:rPr>
      </w:pPr>
      <w:r>
        <w:rPr>
          <w:u w:val="single"/>
        </w:rPr>
        <w:lastRenderedPageBreak/>
        <w:t xml:space="preserve">Table </w:t>
      </w:r>
      <w:r w:rsidR="00F25166">
        <w:rPr>
          <w:u w:val="single"/>
        </w:rPr>
        <w:t>D</w:t>
      </w:r>
      <w:r>
        <w:rPr>
          <w:u w:val="single"/>
        </w:rPr>
        <w:t xml:space="preserve">5: </w:t>
      </w:r>
      <w:r w:rsidR="00C30451" w:rsidRPr="003415CC">
        <w:rPr>
          <w:u w:val="single"/>
        </w:rPr>
        <w:t>High estimates of first year costs</w:t>
      </w:r>
    </w:p>
    <w:p w14:paraId="629F71DF" w14:textId="77777777" w:rsidR="00C30451" w:rsidRPr="003415CC" w:rsidRDefault="00744352" w:rsidP="00C82045">
      <w:pPr>
        <w:pStyle w:val="EBBodyPara"/>
        <w:spacing w:line="276" w:lineRule="auto"/>
        <w:rPr>
          <w:u w:val="single"/>
        </w:rPr>
      </w:pPr>
      <w:r w:rsidRPr="00744352">
        <w:rPr>
          <w:noProof/>
        </w:rPr>
        <w:drawing>
          <wp:inline distT="0" distB="0" distL="0" distR="0" wp14:anchorId="51B481CD" wp14:editId="14E48292">
            <wp:extent cx="9611360" cy="4000665"/>
            <wp:effectExtent l="0" t="0" r="889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611360" cy="4000665"/>
                    </a:xfrm>
                    <a:prstGeom prst="rect">
                      <a:avLst/>
                    </a:prstGeom>
                    <a:noFill/>
                    <a:ln>
                      <a:noFill/>
                    </a:ln>
                  </pic:spPr>
                </pic:pic>
              </a:graphicData>
            </a:graphic>
          </wp:inline>
        </w:drawing>
      </w:r>
    </w:p>
    <w:p w14:paraId="19E05C45" w14:textId="77777777" w:rsidR="00C30451" w:rsidRPr="003415CC" w:rsidRDefault="00C30451" w:rsidP="00C82045">
      <w:pPr>
        <w:pStyle w:val="EBBodyPara"/>
        <w:spacing w:line="276" w:lineRule="auto"/>
        <w:rPr>
          <w:u w:val="single"/>
        </w:rPr>
      </w:pPr>
      <w:r w:rsidRPr="003415CC">
        <w:rPr>
          <w:u w:val="single"/>
        </w:rPr>
        <w:br w:type="page"/>
      </w:r>
    </w:p>
    <w:p w14:paraId="4F4077E4" w14:textId="77777777" w:rsidR="00C30451" w:rsidRPr="003415CC" w:rsidRDefault="00C30451" w:rsidP="00C82045">
      <w:pPr>
        <w:pStyle w:val="EBBodyPara"/>
        <w:spacing w:line="276" w:lineRule="auto"/>
        <w:rPr>
          <w:u w:val="single"/>
        </w:rPr>
      </w:pPr>
    </w:p>
    <w:p w14:paraId="774441D6" w14:textId="77777777" w:rsidR="00C30451" w:rsidRPr="003415CC" w:rsidRDefault="00E9164F" w:rsidP="00C82045">
      <w:pPr>
        <w:pStyle w:val="EBBodyPara"/>
        <w:spacing w:line="276" w:lineRule="auto"/>
        <w:rPr>
          <w:u w:val="single"/>
        </w:rPr>
      </w:pPr>
      <w:r>
        <w:rPr>
          <w:u w:val="single"/>
        </w:rPr>
        <w:t xml:space="preserve">Table D6: </w:t>
      </w:r>
      <w:r w:rsidR="00C30451" w:rsidRPr="003415CC">
        <w:rPr>
          <w:u w:val="single"/>
        </w:rPr>
        <w:t>High estimates of ongoing costs</w:t>
      </w:r>
    </w:p>
    <w:p w14:paraId="109EB10C" w14:textId="77777777" w:rsidR="00C30451" w:rsidRPr="003415CC" w:rsidRDefault="00744352" w:rsidP="00C82045">
      <w:pPr>
        <w:pStyle w:val="EBBodyPara"/>
        <w:spacing w:line="276" w:lineRule="auto"/>
        <w:rPr>
          <w:u w:val="single"/>
        </w:rPr>
      </w:pPr>
      <w:r w:rsidRPr="00744352">
        <w:rPr>
          <w:noProof/>
        </w:rPr>
        <w:drawing>
          <wp:inline distT="0" distB="0" distL="0" distR="0" wp14:anchorId="1D71E080" wp14:editId="34BE5096">
            <wp:extent cx="9611360" cy="3958394"/>
            <wp:effectExtent l="0" t="0" r="0" b="444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611360" cy="3958394"/>
                    </a:xfrm>
                    <a:prstGeom prst="rect">
                      <a:avLst/>
                    </a:prstGeom>
                    <a:noFill/>
                    <a:ln>
                      <a:noFill/>
                    </a:ln>
                  </pic:spPr>
                </pic:pic>
              </a:graphicData>
            </a:graphic>
          </wp:inline>
        </w:drawing>
      </w:r>
    </w:p>
    <w:p w14:paraId="32FAC80A" w14:textId="77777777" w:rsidR="00C30451" w:rsidRPr="003415CC" w:rsidRDefault="00C30451" w:rsidP="00C82045">
      <w:pPr>
        <w:pStyle w:val="EBBodyPara"/>
        <w:spacing w:line="276" w:lineRule="auto"/>
        <w:rPr>
          <w:u w:val="single"/>
        </w:rPr>
      </w:pPr>
      <w:r w:rsidRPr="003415CC">
        <w:rPr>
          <w:u w:val="single"/>
        </w:rPr>
        <w:br w:type="page"/>
      </w:r>
    </w:p>
    <w:p w14:paraId="59D907B1" w14:textId="77777777" w:rsidR="00C30451" w:rsidRPr="003415CC" w:rsidRDefault="00C30451" w:rsidP="00C82045">
      <w:pPr>
        <w:pStyle w:val="EBBodyPara"/>
        <w:spacing w:line="276" w:lineRule="auto"/>
        <w:rPr>
          <w:u w:val="single"/>
        </w:rPr>
        <w:sectPr w:rsidR="00C30451" w:rsidRPr="003415CC" w:rsidSect="002F2BA5">
          <w:pgSz w:w="16838" w:h="11906" w:orient="landscape"/>
          <w:pgMar w:top="567" w:right="851" w:bottom="567" w:left="851" w:header="708" w:footer="708" w:gutter="0"/>
          <w:cols w:space="708"/>
          <w:docGrid w:linePitch="360"/>
        </w:sectPr>
      </w:pPr>
    </w:p>
    <w:p w14:paraId="7608E5E4" w14:textId="77777777" w:rsidR="00C30451" w:rsidRPr="003415CC" w:rsidRDefault="00C30451" w:rsidP="00C82045">
      <w:pPr>
        <w:pStyle w:val="EBBodyPara"/>
        <w:spacing w:line="276" w:lineRule="auto"/>
        <w:rPr>
          <w:u w:val="single"/>
        </w:rPr>
      </w:pPr>
    </w:p>
    <w:p w14:paraId="4E685ECD" w14:textId="77777777" w:rsidR="00C30451" w:rsidRPr="003415CC" w:rsidRDefault="00C30451" w:rsidP="00C82045">
      <w:pPr>
        <w:pStyle w:val="EBBodyPara"/>
        <w:spacing w:line="276" w:lineRule="auto"/>
        <w:rPr>
          <w:b/>
          <w:u w:val="single"/>
        </w:rPr>
      </w:pPr>
      <w:r w:rsidRPr="003415CC">
        <w:rPr>
          <w:b/>
          <w:u w:val="single"/>
        </w:rPr>
        <w:t>Annex E: Familiarisation costs to companies that are otherwise already reporting on the new requirements</w:t>
      </w:r>
    </w:p>
    <w:p w14:paraId="1509CBCC" w14:textId="77777777" w:rsidR="00C30451" w:rsidRPr="003415CC" w:rsidRDefault="00C30451" w:rsidP="00C82045">
      <w:pPr>
        <w:pStyle w:val="EBBodyPara"/>
        <w:spacing w:line="276" w:lineRule="auto"/>
        <w:rPr>
          <w:u w:val="single"/>
        </w:rPr>
      </w:pPr>
      <w:r w:rsidRPr="003415CC">
        <w:rPr>
          <w:u w:val="single"/>
        </w:rPr>
        <w:t>Costs per Company</w:t>
      </w:r>
    </w:p>
    <w:p w14:paraId="33DC051C" w14:textId="77777777" w:rsidR="00C30451" w:rsidRDefault="00CB7414" w:rsidP="00C82045">
      <w:pPr>
        <w:pStyle w:val="EBBodyPara"/>
        <w:spacing w:line="276" w:lineRule="auto"/>
        <w:rPr>
          <w:u w:val="single"/>
        </w:rPr>
      </w:pPr>
      <w:r w:rsidRPr="00CB7414">
        <w:rPr>
          <w:noProof/>
        </w:rPr>
        <w:drawing>
          <wp:inline distT="0" distB="0" distL="0" distR="0" wp14:anchorId="04266C47" wp14:editId="511494D7">
            <wp:extent cx="5303520" cy="1821180"/>
            <wp:effectExtent l="0" t="0" r="0"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03520" cy="1821180"/>
                    </a:xfrm>
                    <a:prstGeom prst="rect">
                      <a:avLst/>
                    </a:prstGeom>
                    <a:noFill/>
                    <a:ln>
                      <a:noFill/>
                    </a:ln>
                  </pic:spPr>
                </pic:pic>
              </a:graphicData>
            </a:graphic>
          </wp:inline>
        </w:drawing>
      </w:r>
    </w:p>
    <w:p w14:paraId="1ABCDF43" w14:textId="77777777" w:rsidR="00CB7414" w:rsidRDefault="00CB7414" w:rsidP="00C82045">
      <w:pPr>
        <w:pStyle w:val="EBBodyPara"/>
        <w:spacing w:line="276" w:lineRule="auto"/>
        <w:rPr>
          <w:u w:val="single"/>
        </w:rPr>
      </w:pPr>
    </w:p>
    <w:p w14:paraId="5ACDC9E1" w14:textId="77777777" w:rsidR="00CB7414" w:rsidRDefault="00CB7414" w:rsidP="00C82045">
      <w:pPr>
        <w:pStyle w:val="EBBodyPara"/>
        <w:spacing w:line="276" w:lineRule="auto"/>
        <w:rPr>
          <w:u w:val="single"/>
        </w:rPr>
      </w:pPr>
      <w:r w:rsidRPr="00CB7414">
        <w:rPr>
          <w:noProof/>
        </w:rPr>
        <w:drawing>
          <wp:inline distT="0" distB="0" distL="0" distR="0" wp14:anchorId="1D9EED06" wp14:editId="74F7CEC0">
            <wp:extent cx="5303520" cy="179832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03520" cy="1798320"/>
                    </a:xfrm>
                    <a:prstGeom prst="rect">
                      <a:avLst/>
                    </a:prstGeom>
                    <a:noFill/>
                    <a:ln>
                      <a:noFill/>
                    </a:ln>
                  </pic:spPr>
                </pic:pic>
              </a:graphicData>
            </a:graphic>
          </wp:inline>
        </w:drawing>
      </w:r>
    </w:p>
    <w:p w14:paraId="23C6B3F4" w14:textId="77777777" w:rsidR="00CB7414" w:rsidRDefault="00CB7414" w:rsidP="00C82045">
      <w:pPr>
        <w:pStyle w:val="EBBodyPara"/>
        <w:spacing w:line="276" w:lineRule="auto"/>
        <w:rPr>
          <w:u w:val="single"/>
        </w:rPr>
      </w:pPr>
    </w:p>
    <w:p w14:paraId="18F24ABF" w14:textId="77777777" w:rsidR="00CB7414" w:rsidRPr="003415CC" w:rsidRDefault="00CB7414" w:rsidP="00C82045">
      <w:pPr>
        <w:pStyle w:val="EBBodyPara"/>
        <w:spacing w:line="276" w:lineRule="auto"/>
        <w:rPr>
          <w:u w:val="single"/>
        </w:rPr>
      </w:pPr>
      <w:r w:rsidRPr="00CB7414">
        <w:rPr>
          <w:noProof/>
        </w:rPr>
        <w:drawing>
          <wp:inline distT="0" distB="0" distL="0" distR="0" wp14:anchorId="61C39834" wp14:editId="27B2F7DB">
            <wp:extent cx="5303520" cy="179832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03520" cy="1798320"/>
                    </a:xfrm>
                    <a:prstGeom prst="rect">
                      <a:avLst/>
                    </a:prstGeom>
                    <a:noFill/>
                    <a:ln>
                      <a:noFill/>
                    </a:ln>
                  </pic:spPr>
                </pic:pic>
              </a:graphicData>
            </a:graphic>
          </wp:inline>
        </w:drawing>
      </w:r>
    </w:p>
    <w:p w14:paraId="222A3038" w14:textId="77777777" w:rsidR="00C30451" w:rsidRPr="003415CC" w:rsidRDefault="00C30451" w:rsidP="00C82045">
      <w:pPr>
        <w:pStyle w:val="EBBodyPara"/>
        <w:spacing w:line="276" w:lineRule="auto"/>
        <w:rPr>
          <w:u w:val="single"/>
        </w:rPr>
      </w:pPr>
      <w:r w:rsidRPr="003415CC">
        <w:rPr>
          <w:u w:val="single"/>
        </w:rPr>
        <w:br w:type="page"/>
      </w:r>
    </w:p>
    <w:p w14:paraId="47889BFA" w14:textId="77777777" w:rsidR="00C30451" w:rsidRPr="003415CC" w:rsidRDefault="00C30451" w:rsidP="00C82045">
      <w:pPr>
        <w:pStyle w:val="EBBodyPara"/>
        <w:spacing w:line="276" w:lineRule="auto"/>
        <w:rPr>
          <w:u w:val="single"/>
        </w:rPr>
      </w:pPr>
    </w:p>
    <w:p w14:paraId="5ED4922C" w14:textId="77777777" w:rsidR="00C30451" w:rsidRPr="003415CC" w:rsidRDefault="001F1B0A" w:rsidP="00C82045">
      <w:pPr>
        <w:pStyle w:val="EBBodyPara"/>
        <w:spacing w:line="276" w:lineRule="auto"/>
        <w:rPr>
          <w:u w:val="single"/>
        </w:rPr>
      </w:pPr>
      <w:r>
        <w:rPr>
          <w:u w:val="single"/>
        </w:rPr>
        <w:t>Table E4</w:t>
      </w:r>
      <w:r w:rsidR="00811634">
        <w:rPr>
          <w:u w:val="single"/>
        </w:rPr>
        <w:t xml:space="preserve">: </w:t>
      </w:r>
      <w:r w:rsidR="00C30451" w:rsidRPr="003415CC">
        <w:rPr>
          <w:u w:val="single"/>
        </w:rPr>
        <w:t xml:space="preserve">Familiarisation </w:t>
      </w:r>
      <w:r w:rsidR="008245A7">
        <w:rPr>
          <w:u w:val="single"/>
        </w:rPr>
        <w:t>c</w:t>
      </w:r>
      <w:r w:rsidR="00C30451" w:rsidRPr="003415CC">
        <w:rPr>
          <w:u w:val="single"/>
        </w:rPr>
        <w:t>osts over all companies</w:t>
      </w:r>
      <w:r w:rsidR="00811634">
        <w:rPr>
          <w:u w:val="single"/>
        </w:rPr>
        <w:t xml:space="preserve"> in scope of NFRD but </w:t>
      </w:r>
      <w:r w:rsidR="00B86B5D">
        <w:rPr>
          <w:u w:val="single"/>
        </w:rPr>
        <w:t xml:space="preserve">estimated to </w:t>
      </w:r>
      <w:r w:rsidR="00811634">
        <w:rPr>
          <w:u w:val="single"/>
        </w:rPr>
        <w:t xml:space="preserve">already </w:t>
      </w:r>
      <w:r w:rsidR="00B86B5D">
        <w:rPr>
          <w:u w:val="single"/>
        </w:rPr>
        <w:t>be reporting on the relevant matter</w:t>
      </w:r>
      <w:r w:rsidR="00811634">
        <w:rPr>
          <w:u w:val="single"/>
        </w:rPr>
        <w:t xml:space="preserve"> </w:t>
      </w:r>
    </w:p>
    <w:p w14:paraId="1BF87F59" w14:textId="77777777" w:rsidR="00C30451" w:rsidRDefault="001F1B0A" w:rsidP="00C82045">
      <w:pPr>
        <w:pStyle w:val="EBBodyPara"/>
        <w:spacing w:line="276" w:lineRule="auto"/>
        <w:rPr>
          <w:u w:val="single"/>
        </w:rPr>
      </w:pPr>
      <w:r w:rsidRPr="001F1B0A">
        <w:rPr>
          <w:noProof/>
        </w:rPr>
        <w:drawing>
          <wp:inline distT="0" distB="0" distL="0" distR="0" wp14:anchorId="17DB54CB" wp14:editId="5450A71E">
            <wp:extent cx="5890260" cy="271272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890260" cy="2712720"/>
                    </a:xfrm>
                    <a:prstGeom prst="rect">
                      <a:avLst/>
                    </a:prstGeom>
                    <a:noFill/>
                    <a:ln>
                      <a:noFill/>
                    </a:ln>
                  </pic:spPr>
                </pic:pic>
              </a:graphicData>
            </a:graphic>
          </wp:inline>
        </w:drawing>
      </w:r>
    </w:p>
    <w:p w14:paraId="273A393F" w14:textId="77777777" w:rsidR="001F1B0A" w:rsidRDefault="001F1B0A" w:rsidP="00C82045">
      <w:pPr>
        <w:pStyle w:val="EBBodyPara"/>
        <w:spacing w:line="276" w:lineRule="auto"/>
        <w:rPr>
          <w:u w:val="single"/>
        </w:rPr>
      </w:pPr>
    </w:p>
    <w:p w14:paraId="7FB2FD66" w14:textId="77777777" w:rsidR="001F1B0A" w:rsidRPr="003415CC" w:rsidRDefault="00B86B5D" w:rsidP="00C82045">
      <w:pPr>
        <w:pStyle w:val="EBBodyPara"/>
        <w:spacing w:line="276" w:lineRule="auto"/>
        <w:rPr>
          <w:u w:val="single"/>
        </w:rPr>
      </w:pPr>
      <w:r>
        <w:rPr>
          <w:u w:val="single"/>
        </w:rPr>
        <w:t>Table E</w:t>
      </w:r>
      <w:r w:rsidR="00F25166">
        <w:rPr>
          <w:u w:val="single"/>
        </w:rPr>
        <w:t>5</w:t>
      </w:r>
      <w:r>
        <w:rPr>
          <w:u w:val="single"/>
        </w:rPr>
        <w:t xml:space="preserve">: </w:t>
      </w:r>
      <w:r w:rsidRPr="003415CC">
        <w:rPr>
          <w:u w:val="single"/>
        </w:rPr>
        <w:t xml:space="preserve">Familiarisation </w:t>
      </w:r>
      <w:r>
        <w:rPr>
          <w:u w:val="single"/>
        </w:rPr>
        <w:t>c</w:t>
      </w:r>
      <w:r w:rsidRPr="003415CC">
        <w:rPr>
          <w:u w:val="single"/>
        </w:rPr>
        <w:t>osts over all companies</w:t>
      </w:r>
      <w:r>
        <w:rPr>
          <w:u w:val="single"/>
        </w:rPr>
        <w:t xml:space="preserve"> to which NFRD requirements are extended under Option 3 but who are also estimated to already be reporting on the relevant matter</w:t>
      </w:r>
    </w:p>
    <w:p w14:paraId="10B03841" w14:textId="77777777" w:rsidR="00C30451" w:rsidRPr="003415CC" w:rsidRDefault="001F1B0A" w:rsidP="00C82045">
      <w:pPr>
        <w:pStyle w:val="EBBodyPara"/>
        <w:spacing w:line="276" w:lineRule="auto"/>
        <w:rPr>
          <w:u w:val="single"/>
        </w:rPr>
      </w:pPr>
      <w:r w:rsidRPr="001F1B0A">
        <w:rPr>
          <w:noProof/>
        </w:rPr>
        <w:drawing>
          <wp:inline distT="0" distB="0" distL="0" distR="0" wp14:anchorId="35280CA8" wp14:editId="5C7A4BF1">
            <wp:extent cx="6355080" cy="2568001"/>
            <wp:effectExtent l="0" t="0" r="7620" b="381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357572" cy="2569008"/>
                    </a:xfrm>
                    <a:prstGeom prst="rect">
                      <a:avLst/>
                    </a:prstGeom>
                    <a:noFill/>
                    <a:ln>
                      <a:noFill/>
                    </a:ln>
                  </pic:spPr>
                </pic:pic>
              </a:graphicData>
            </a:graphic>
          </wp:inline>
        </w:drawing>
      </w:r>
      <w:r w:rsidR="00C30451" w:rsidRPr="003415CC">
        <w:rPr>
          <w:u w:val="single"/>
        </w:rPr>
        <w:br w:type="page"/>
      </w:r>
    </w:p>
    <w:p w14:paraId="536AD560" w14:textId="77777777" w:rsidR="00C30451" w:rsidRPr="003415CC" w:rsidRDefault="00C30451" w:rsidP="00C82045">
      <w:pPr>
        <w:pStyle w:val="EBBodyPara"/>
        <w:spacing w:line="276" w:lineRule="auto"/>
        <w:rPr>
          <w:b/>
        </w:rPr>
      </w:pPr>
      <w:r w:rsidRPr="003415CC">
        <w:rPr>
          <w:b/>
        </w:rPr>
        <w:lastRenderedPageBreak/>
        <w:t>Annex F: Savings to smaller quoted companies under Option 4</w:t>
      </w:r>
    </w:p>
    <w:p w14:paraId="4488B3D1" w14:textId="77777777" w:rsidR="00C30451" w:rsidRPr="003415CC" w:rsidRDefault="00C30451" w:rsidP="00C82045">
      <w:pPr>
        <w:pStyle w:val="EBBodyPara"/>
        <w:spacing w:line="276" w:lineRule="auto"/>
        <w:jc w:val="both"/>
      </w:pPr>
      <w:r w:rsidRPr="003415CC">
        <w:t xml:space="preserve">Under Option 4, smaller quoted companies would no longer need to meet the requirements of the </w:t>
      </w:r>
      <w:r w:rsidR="00390FD2">
        <w:t>E</w:t>
      </w:r>
      <w:r w:rsidRPr="003415CC">
        <w:t xml:space="preserve">nhanced </w:t>
      </w:r>
      <w:r w:rsidR="00390FD2">
        <w:t>S</w:t>
      </w:r>
      <w:r w:rsidRPr="003415CC">
        <w:t xml:space="preserve">trategic </w:t>
      </w:r>
      <w:r w:rsidR="00390FD2">
        <w:t>R</w:t>
      </w:r>
      <w:r w:rsidRPr="003415CC">
        <w:t xml:space="preserve">eport that they currently do. Instead they would revert to the meeting the requirements </w:t>
      </w:r>
      <w:r w:rsidR="008245A7">
        <w:t xml:space="preserve">that </w:t>
      </w:r>
      <w:r w:rsidRPr="003415CC">
        <w:t xml:space="preserve">currently </w:t>
      </w:r>
      <w:r w:rsidR="00596281">
        <w:t xml:space="preserve">apply to </w:t>
      </w:r>
      <w:r w:rsidRPr="003415CC">
        <w:t xml:space="preserve">unquoted companies in the UK. This means they would no longer have to report specifically on environmental matters, employee matters, social and community matters and human rights matters – which would result in cost savings. </w:t>
      </w:r>
    </w:p>
    <w:p w14:paraId="4B674100" w14:textId="77777777" w:rsidR="00C30451" w:rsidRPr="003415CC" w:rsidRDefault="00C30451" w:rsidP="00C82045">
      <w:pPr>
        <w:pStyle w:val="EBBodyPara"/>
        <w:spacing w:line="276" w:lineRule="auto"/>
        <w:jc w:val="both"/>
      </w:pPr>
      <w:r w:rsidRPr="003415CC">
        <w:t xml:space="preserve">The saving per company are estimated as the difference between the mean of the reported costs of current NFR by quoted companies and the reported costs of current NFR by unquoted companies. </w:t>
      </w:r>
    </w:p>
    <w:p w14:paraId="5335824D" w14:textId="77777777" w:rsidR="00C30451" w:rsidRPr="003415CC" w:rsidRDefault="00C30451" w:rsidP="00C82045">
      <w:pPr>
        <w:pStyle w:val="EBBodyPara"/>
        <w:spacing w:line="276" w:lineRule="auto"/>
        <w:jc w:val="both"/>
      </w:pPr>
      <w:r w:rsidRPr="003415CC">
        <w:t>The calculation is shown in Table F1.</w:t>
      </w:r>
    </w:p>
    <w:p w14:paraId="46D4B3FE" w14:textId="77777777" w:rsidR="00C30451" w:rsidRPr="003415CC" w:rsidRDefault="00C30451" w:rsidP="00C82045">
      <w:pPr>
        <w:pStyle w:val="EBBodyPara"/>
        <w:spacing w:line="276" w:lineRule="auto"/>
        <w:jc w:val="center"/>
        <w:rPr>
          <w:b/>
        </w:rPr>
      </w:pPr>
      <w:r w:rsidRPr="003415CC">
        <w:rPr>
          <w:b/>
        </w:rPr>
        <w:t>Table F1</w:t>
      </w:r>
    </w:p>
    <w:p w14:paraId="6909DFF4" w14:textId="77777777" w:rsidR="00C30451" w:rsidRPr="003415CC" w:rsidRDefault="00C30451" w:rsidP="00C82045">
      <w:pPr>
        <w:pStyle w:val="EBBodyPara"/>
        <w:spacing w:line="276" w:lineRule="auto"/>
        <w:jc w:val="center"/>
        <w:rPr>
          <w:b/>
        </w:rPr>
      </w:pPr>
      <w:r w:rsidRPr="003415CC">
        <w:rPr>
          <w:b/>
        </w:rPr>
        <w:t>Savings per smaller quoted reporting company under Option 4</w:t>
      </w:r>
    </w:p>
    <w:tbl>
      <w:tblPr>
        <w:tblW w:w="7740" w:type="dxa"/>
        <w:jc w:val="center"/>
        <w:tblInd w:w="103" w:type="dxa"/>
        <w:tblLook w:val="04A0" w:firstRow="1" w:lastRow="0" w:firstColumn="1" w:lastColumn="0" w:noHBand="0" w:noVBand="1"/>
      </w:tblPr>
      <w:tblGrid>
        <w:gridCol w:w="1598"/>
        <w:gridCol w:w="1366"/>
        <w:gridCol w:w="1640"/>
        <w:gridCol w:w="1520"/>
        <w:gridCol w:w="960"/>
        <w:gridCol w:w="960"/>
      </w:tblGrid>
      <w:tr w:rsidR="00C30451" w:rsidRPr="003415CC" w14:paraId="1AEF8899" w14:textId="77777777" w:rsidTr="00C30451">
        <w:trPr>
          <w:trHeight w:val="2028"/>
          <w:jc w:val="center"/>
        </w:trPr>
        <w:tc>
          <w:tcPr>
            <w:tcW w:w="13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3AE174D3" w14:textId="77777777" w:rsidR="00C30451" w:rsidRPr="003415CC" w:rsidRDefault="00C30451" w:rsidP="00C82045">
            <w:pPr>
              <w:pStyle w:val="EBBodyPara"/>
              <w:spacing w:line="276" w:lineRule="auto"/>
              <w:rPr>
                <w:b/>
              </w:rPr>
            </w:pPr>
            <w:r w:rsidRPr="003415CC">
              <w:rPr>
                <w:b/>
              </w:rPr>
              <w:t> </w:t>
            </w:r>
          </w:p>
        </w:tc>
        <w:tc>
          <w:tcPr>
            <w:tcW w:w="1300" w:type="dxa"/>
            <w:tcBorders>
              <w:top w:val="single" w:sz="8" w:space="0" w:color="auto"/>
              <w:left w:val="nil"/>
              <w:bottom w:val="single" w:sz="8" w:space="0" w:color="auto"/>
              <w:right w:val="single" w:sz="8" w:space="0" w:color="auto"/>
            </w:tcBorders>
            <w:shd w:val="clear" w:color="000000" w:fill="D9D9D9"/>
            <w:vAlign w:val="center"/>
            <w:hideMark/>
          </w:tcPr>
          <w:p w14:paraId="764B8CAE" w14:textId="77777777" w:rsidR="00C30451" w:rsidRPr="003415CC" w:rsidRDefault="00C30451" w:rsidP="00C82045">
            <w:pPr>
              <w:pStyle w:val="EBBodyPara"/>
              <w:spacing w:line="276" w:lineRule="auto"/>
              <w:jc w:val="right"/>
              <w:rPr>
                <w:b/>
              </w:rPr>
            </w:pPr>
            <w:r w:rsidRPr="003415CC">
              <w:rPr>
                <w:b/>
              </w:rPr>
              <w:t>Average annual time costs of current NFR to quoted companies (hrs)</w:t>
            </w:r>
          </w:p>
        </w:tc>
        <w:tc>
          <w:tcPr>
            <w:tcW w:w="1640" w:type="dxa"/>
            <w:tcBorders>
              <w:top w:val="single" w:sz="8" w:space="0" w:color="auto"/>
              <w:left w:val="nil"/>
              <w:bottom w:val="single" w:sz="8" w:space="0" w:color="auto"/>
              <w:right w:val="single" w:sz="8" w:space="0" w:color="auto"/>
            </w:tcBorders>
            <w:shd w:val="clear" w:color="000000" w:fill="D9D9D9"/>
            <w:vAlign w:val="center"/>
            <w:hideMark/>
          </w:tcPr>
          <w:p w14:paraId="4B60DABC" w14:textId="77777777" w:rsidR="00C30451" w:rsidRPr="003415CC" w:rsidRDefault="00C30451" w:rsidP="00C82045">
            <w:pPr>
              <w:pStyle w:val="EBBodyPara"/>
              <w:spacing w:line="276" w:lineRule="auto"/>
              <w:jc w:val="right"/>
              <w:rPr>
                <w:b/>
              </w:rPr>
            </w:pPr>
            <w:r w:rsidRPr="003415CC">
              <w:rPr>
                <w:b/>
              </w:rPr>
              <w:t>Average annual time costs of current NFR to unquoted companies (hrs)</w:t>
            </w:r>
          </w:p>
        </w:tc>
        <w:tc>
          <w:tcPr>
            <w:tcW w:w="1520" w:type="dxa"/>
            <w:tcBorders>
              <w:top w:val="single" w:sz="8" w:space="0" w:color="auto"/>
              <w:left w:val="nil"/>
              <w:bottom w:val="single" w:sz="8" w:space="0" w:color="auto"/>
              <w:right w:val="single" w:sz="8" w:space="0" w:color="auto"/>
            </w:tcBorders>
            <w:shd w:val="clear" w:color="000000" w:fill="D9D9D9"/>
            <w:vAlign w:val="center"/>
            <w:hideMark/>
          </w:tcPr>
          <w:p w14:paraId="5DB42AF2" w14:textId="77777777" w:rsidR="00C30451" w:rsidRPr="003415CC" w:rsidRDefault="00C30451" w:rsidP="00C82045">
            <w:pPr>
              <w:pStyle w:val="EBBodyPara"/>
              <w:spacing w:line="276" w:lineRule="auto"/>
              <w:jc w:val="right"/>
              <w:rPr>
                <w:b/>
              </w:rPr>
            </w:pPr>
            <w:r w:rsidRPr="003415CC">
              <w:rPr>
                <w:b/>
              </w:rPr>
              <w:t>Average annual incremental time saving to smaller quoted PIEs of the change (hrs)</w:t>
            </w:r>
          </w:p>
        </w:tc>
        <w:tc>
          <w:tcPr>
            <w:tcW w:w="960"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63E07F25" w14:textId="77777777" w:rsidR="00C30451" w:rsidRPr="003415CC" w:rsidRDefault="00C30451" w:rsidP="00C82045">
            <w:pPr>
              <w:pStyle w:val="EBBodyPara"/>
              <w:spacing w:line="276" w:lineRule="auto"/>
              <w:jc w:val="right"/>
              <w:rPr>
                <w:b/>
              </w:rPr>
            </w:pPr>
            <w:r w:rsidRPr="003415CC">
              <w:rPr>
                <w:b/>
              </w:rPr>
              <w:t>Total cost per hour</w:t>
            </w:r>
            <w:r w:rsidRPr="003415CC">
              <w:rPr>
                <w:b/>
              </w:rPr>
              <w:br/>
              <w:t>£</w:t>
            </w:r>
          </w:p>
        </w:tc>
        <w:tc>
          <w:tcPr>
            <w:tcW w:w="960" w:type="dxa"/>
            <w:tcBorders>
              <w:top w:val="single" w:sz="4" w:space="0" w:color="auto"/>
              <w:left w:val="nil"/>
              <w:bottom w:val="single" w:sz="4" w:space="0" w:color="auto"/>
              <w:right w:val="single" w:sz="4" w:space="0" w:color="auto"/>
            </w:tcBorders>
            <w:shd w:val="clear" w:color="000000" w:fill="D9D9D9"/>
            <w:vAlign w:val="center"/>
            <w:hideMark/>
          </w:tcPr>
          <w:p w14:paraId="367AAA99" w14:textId="77777777" w:rsidR="00C30451" w:rsidRPr="003415CC" w:rsidRDefault="00C30451" w:rsidP="00C82045">
            <w:pPr>
              <w:pStyle w:val="EBBodyPara"/>
              <w:spacing w:line="276" w:lineRule="auto"/>
              <w:jc w:val="right"/>
              <w:rPr>
                <w:b/>
              </w:rPr>
            </w:pPr>
            <w:r w:rsidRPr="003415CC">
              <w:rPr>
                <w:b/>
              </w:rPr>
              <w:t>Total saving per firm</w:t>
            </w:r>
            <w:r w:rsidRPr="003415CC">
              <w:rPr>
                <w:b/>
              </w:rPr>
              <w:br/>
              <w:t>£</w:t>
            </w:r>
          </w:p>
        </w:tc>
      </w:tr>
      <w:tr w:rsidR="00C30451" w:rsidRPr="003415CC" w14:paraId="4352591C" w14:textId="77777777" w:rsidTr="00C30451">
        <w:trPr>
          <w:trHeight w:val="288"/>
          <w:jc w:val="center"/>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72582753" w14:textId="77777777" w:rsidR="00C30451" w:rsidRPr="003415CC" w:rsidRDefault="00C30451" w:rsidP="00C82045">
            <w:pPr>
              <w:pStyle w:val="EBBodyPara"/>
              <w:spacing w:line="276" w:lineRule="auto"/>
            </w:pPr>
            <w:r w:rsidRPr="003415CC">
              <w:t>Director</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14:paraId="3AE9A1E0" w14:textId="77777777" w:rsidR="00C30451" w:rsidRPr="003415CC" w:rsidRDefault="00C30451" w:rsidP="00C82045">
            <w:pPr>
              <w:pStyle w:val="EBBodyPara"/>
              <w:spacing w:line="276" w:lineRule="auto"/>
              <w:jc w:val="right"/>
            </w:pPr>
            <w:r w:rsidRPr="003415CC">
              <w:t>13.2</w:t>
            </w:r>
          </w:p>
        </w:tc>
        <w:tc>
          <w:tcPr>
            <w:tcW w:w="1640" w:type="dxa"/>
            <w:tcBorders>
              <w:top w:val="single" w:sz="4" w:space="0" w:color="auto"/>
              <w:left w:val="nil"/>
              <w:bottom w:val="single" w:sz="4" w:space="0" w:color="auto"/>
              <w:right w:val="single" w:sz="4" w:space="0" w:color="auto"/>
            </w:tcBorders>
            <w:shd w:val="clear" w:color="auto" w:fill="auto"/>
            <w:noWrap/>
            <w:vAlign w:val="center"/>
            <w:hideMark/>
          </w:tcPr>
          <w:p w14:paraId="2FF3D87B" w14:textId="77777777" w:rsidR="00C30451" w:rsidRPr="003415CC" w:rsidRDefault="00C30451" w:rsidP="00C82045">
            <w:pPr>
              <w:pStyle w:val="EBBodyPara"/>
              <w:spacing w:line="276" w:lineRule="auto"/>
              <w:jc w:val="right"/>
            </w:pPr>
            <w:r w:rsidRPr="003415CC">
              <w:t>3.29</w:t>
            </w:r>
          </w:p>
        </w:tc>
        <w:tc>
          <w:tcPr>
            <w:tcW w:w="1520" w:type="dxa"/>
            <w:tcBorders>
              <w:top w:val="single" w:sz="4" w:space="0" w:color="auto"/>
              <w:left w:val="nil"/>
              <w:bottom w:val="single" w:sz="4" w:space="0" w:color="auto"/>
              <w:right w:val="single" w:sz="4" w:space="0" w:color="auto"/>
            </w:tcBorders>
            <w:shd w:val="clear" w:color="auto" w:fill="auto"/>
            <w:noWrap/>
            <w:vAlign w:val="center"/>
            <w:hideMark/>
          </w:tcPr>
          <w:p w14:paraId="38C4B2D0" w14:textId="77777777" w:rsidR="00C30451" w:rsidRPr="003415CC" w:rsidRDefault="00C30451" w:rsidP="00C82045">
            <w:pPr>
              <w:pStyle w:val="EBBodyPara"/>
              <w:spacing w:line="276" w:lineRule="auto"/>
              <w:jc w:val="right"/>
            </w:pPr>
            <w:r w:rsidRPr="003415CC">
              <w:t>9.91</w:t>
            </w:r>
          </w:p>
        </w:tc>
        <w:tc>
          <w:tcPr>
            <w:tcW w:w="960" w:type="dxa"/>
            <w:tcBorders>
              <w:top w:val="nil"/>
              <w:left w:val="nil"/>
              <w:bottom w:val="single" w:sz="4" w:space="0" w:color="auto"/>
              <w:right w:val="single" w:sz="4" w:space="0" w:color="auto"/>
            </w:tcBorders>
            <w:shd w:val="clear" w:color="auto" w:fill="auto"/>
            <w:noWrap/>
            <w:vAlign w:val="center"/>
            <w:hideMark/>
          </w:tcPr>
          <w:p w14:paraId="6D0C9E04" w14:textId="77777777" w:rsidR="00C30451" w:rsidRPr="003415CC" w:rsidRDefault="00C30451" w:rsidP="00C82045">
            <w:pPr>
              <w:pStyle w:val="EBBodyPara"/>
              <w:spacing w:line="276" w:lineRule="auto"/>
              <w:jc w:val="right"/>
            </w:pPr>
            <w:r w:rsidRPr="003415CC">
              <w:t>67.30</w:t>
            </w:r>
          </w:p>
        </w:tc>
        <w:tc>
          <w:tcPr>
            <w:tcW w:w="960" w:type="dxa"/>
            <w:tcBorders>
              <w:top w:val="nil"/>
              <w:left w:val="nil"/>
              <w:bottom w:val="single" w:sz="4" w:space="0" w:color="auto"/>
              <w:right w:val="single" w:sz="4" w:space="0" w:color="auto"/>
            </w:tcBorders>
            <w:shd w:val="clear" w:color="auto" w:fill="auto"/>
            <w:noWrap/>
            <w:vAlign w:val="center"/>
            <w:hideMark/>
          </w:tcPr>
          <w:p w14:paraId="1816F219" w14:textId="77777777" w:rsidR="00C30451" w:rsidRPr="003415CC" w:rsidRDefault="00C30451" w:rsidP="00C82045">
            <w:pPr>
              <w:pStyle w:val="EBBodyPara"/>
              <w:spacing w:line="276" w:lineRule="auto"/>
              <w:jc w:val="right"/>
            </w:pPr>
            <w:r w:rsidRPr="003415CC">
              <w:t>667</w:t>
            </w:r>
          </w:p>
        </w:tc>
      </w:tr>
      <w:tr w:rsidR="00C30451" w:rsidRPr="003415CC" w14:paraId="7BF0D3AC" w14:textId="77777777" w:rsidTr="00C30451">
        <w:trPr>
          <w:trHeight w:val="288"/>
          <w:jc w:val="center"/>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49317192" w14:textId="77777777" w:rsidR="00C30451" w:rsidRPr="003415CC" w:rsidRDefault="00C30451" w:rsidP="00C82045">
            <w:pPr>
              <w:pStyle w:val="EBBodyPara"/>
              <w:spacing w:line="276" w:lineRule="auto"/>
            </w:pPr>
            <w:r w:rsidRPr="003415CC">
              <w:t xml:space="preserve">Professional </w:t>
            </w:r>
          </w:p>
        </w:tc>
        <w:tc>
          <w:tcPr>
            <w:tcW w:w="1300" w:type="dxa"/>
            <w:tcBorders>
              <w:top w:val="nil"/>
              <w:left w:val="nil"/>
              <w:bottom w:val="single" w:sz="4" w:space="0" w:color="auto"/>
              <w:right w:val="single" w:sz="4" w:space="0" w:color="auto"/>
            </w:tcBorders>
            <w:shd w:val="clear" w:color="auto" w:fill="auto"/>
            <w:noWrap/>
            <w:vAlign w:val="center"/>
            <w:hideMark/>
          </w:tcPr>
          <w:p w14:paraId="08DEC52F" w14:textId="77777777" w:rsidR="00C30451" w:rsidRPr="003415CC" w:rsidRDefault="00C30451" w:rsidP="00C82045">
            <w:pPr>
              <w:pStyle w:val="EBBodyPara"/>
              <w:spacing w:line="276" w:lineRule="auto"/>
              <w:jc w:val="right"/>
            </w:pPr>
            <w:r w:rsidRPr="003415CC">
              <w:t>52.75</w:t>
            </w:r>
          </w:p>
        </w:tc>
        <w:tc>
          <w:tcPr>
            <w:tcW w:w="1640" w:type="dxa"/>
            <w:tcBorders>
              <w:top w:val="nil"/>
              <w:left w:val="nil"/>
              <w:bottom w:val="single" w:sz="4" w:space="0" w:color="auto"/>
              <w:right w:val="single" w:sz="4" w:space="0" w:color="auto"/>
            </w:tcBorders>
            <w:shd w:val="clear" w:color="auto" w:fill="auto"/>
            <w:noWrap/>
            <w:vAlign w:val="center"/>
            <w:hideMark/>
          </w:tcPr>
          <w:p w14:paraId="653F5910" w14:textId="77777777" w:rsidR="00C30451" w:rsidRPr="003415CC" w:rsidRDefault="00C30451" w:rsidP="00C82045">
            <w:pPr>
              <w:pStyle w:val="EBBodyPara"/>
              <w:spacing w:line="276" w:lineRule="auto"/>
              <w:jc w:val="right"/>
            </w:pPr>
            <w:r w:rsidRPr="003415CC">
              <w:t>7.95</w:t>
            </w:r>
          </w:p>
        </w:tc>
        <w:tc>
          <w:tcPr>
            <w:tcW w:w="1520" w:type="dxa"/>
            <w:tcBorders>
              <w:top w:val="nil"/>
              <w:left w:val="nil"/>
              <w:bottom w:val="single" w:sz="4" w:space="0" w:color="auto"/>
              <w:right w:val="single" w:sz="4" w:space="0" w:color="auto"/>
            </w:tcBorders>
            <w:shd w:val="clear" w:color="auto" w:fill="auto"/>
            <w:noWrap/>
            <w:vAlign w:val="center"/>
            <w:hideMark/>
          </w:tcPr>
          <w:p w14:paraId="4A48B578" w14:textId="77777777" w:rsidR="00C30451" w:rsidRPr="003415CC" w:rsidRDefault="00C30451" w:rsidP="00C82045">
            <w:pPr>
              <w:pStyle w:val="EBBodyPara"/>
              <w:spacing w:line="276" w:lineRule="auto"/>
              <w:jc w:val="right"/>
            </w:pPr>
            <w:r w:rsidRPr="003415CC">
              <w:t>44.8</w:t>
            </w:r>
          </w:p>
        </w:tc>
        <w:tc>
          <w:tcPr>
            <w:tcW w:w="960" w:type="dxa"/>
            <w:tcBorders>
              <w:top w:val="nil"/>
              <w:left w:val="nil"/>
              <w:bottom w:val="single" w:sz="4" w:space="0" w:color="auto"/>
              <w:right w:val="single" w:sz="4" w:space="0" w:color="auto"/>
            </w:tcBorders>
            <w:shd w:val="clear" w:color="auto" w:fill="auto"/>
            <w:noWrap/>
            <w:vAlign w:val="center"/>
            <w:hideMark/>
          </w:tcPr>
          <w:p w14:paraId="6266A3B1" w14:textId="77777777" w:rsidR="00C30451" w:rsidRPr="003415CC" w:rsidRDefault="00C30451" w:rsidP="00C82045">
            <w:pPr>
              <w:pStyle w:val="EBBodyPara"/>
              <w:spacing w:line="276" w:lineRule="auto"/>
              <w:jc w:val="right"/>
            </w:pPr>
            <w:r w:rsidRPr="003415CC">
              <w:t>29.95</w:t>
            </w:r>
          </w:p>
        </w:tc>
        <w:tc>
          <w:tcPr>
            <w:tcW w:w="960" w:type="dxa"/>
            <w:tcBorders>
              <w:top w:val="nil"/>
              <w:left w:val="nil"/>
              <w:bottom w:val="single" w:sz="4" w:space="0" w:color="auto"/>
              <w:right w:val="single" w:sz="4" w:space="0" w:color="auto"/>
            </w:tcBorders>
            <w:shd w:val="clear" w:color="auto" w:fill="auto"/>
            <w:noWrap/>
            <w:vAlign w:val="center"/>
            <w:hideMark/>
          </w:tcPr>
          <w:p w14:paraId="16A2BB1C" w14:textId="77777777" w:rsidR="00C30451" w:rsidRPr="003415CC" w:rsidRDefault="00C30451" w:rsidP="00C82045">
            <w:pPr>
              <w:pStyle w:val="EBBodyPara"/>
              <w:spacing w:line="276" w:lineRule="auto"/>
              <w:jc w:val="right"/>
            </w:pPr>
            <w:r w:rsidRPr="003415CC">
              <w:t>1342</w:t>
            </w:r>
          </w:p>
        </w:tc>
      </w:tr>
      <w:tr w:rsidR="00C30451" w:rsidRPr="003415CC" w14:paraId="37EB5401" w14:textId="77777777" w:rsidTr="00C30451">
        <w:trPr>
          <w:trHeight w:val="288"/>
          <w:jc w:val="center"/>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60F557A8" w14:textId="77777777" w:rsidR="00C30451" w:rsidRPr="003415CC" w:rsidRDefault="00C30451" w:rsidP="00C82045">
            <w:pPr>
              <w:pStyle w:val="EBBodyPara"/>
              <w:spacing w:line="276" w:lineRule="auto"/>
            </w:pPr>
            <w:r w:rsidRPr="003415CC">
              <w:t>Administrative</w:t>
            </w:r>
          </w:p>
        </w:tc>
        <w:tc>
          <w:tcPr>
            <w:tcW w:w="1300" w:type="dxa"/>
            <w:tcBorders>
              <w:top w:val="nil"/>
              <w:left w:val="nil"/>
              <w:bottom w:val="single" w:sz="4" w:space="0" w:color="auto"/>
              <w:right w:val="single" w:sz="4" w:space="0" w:color="auto"/>
            </w:tcBorders>
            <w:shd w:val="clear" w:color="auto" w:fill="auto"/>
            <w:noWrap/>
            <w:vAlign w:val="center"/>
            <w:hideMark/>
          </w:tcPr>
          <w:p w14:paraId="3F30B0B5" w14:textId="77777777" w:rsidR="00C30451" w:rsidRPr="003415CC" w:rsidRDefault="00C30451" w:rsidP="00C82045">
            <w:pPr>
              <w:pStyle w:val="EBBodyPara"/>
              <w:spacing w:line="276" w:lineRule="auto"/>
              <w:jc w:val="right"/>
            </w:pPr>
            <w:r w:rsidRPr="003415CC">
              <w:t>26.38</w:t>
            </w:r>
          </w:p>
        </w:tc>
        <w:tc>
          <w:tcPr>
            <w:tcW w:w="1640" w:type="dxa"/>
            <w:tcBorders>
              <w:top w:val="nil"/>
              <w:left w:val="nil"/>
              <w:bottom w:val="single" w:sz="4" w:space="0" w:color="auto"/>
              <w:right w:val="single" w:sz="4" w:space="0" w:color="auto"/>
            </w:tcBorders>
            <w:shd w:val="clear" w:color="auto" w:fill="auto"/>
            <w:noWrap/>
            <w:vAlign w:val="center"/>
            <w:hideMark/>
          </w:tcPr>
          <w:p w14:paraId="49F7E014" w14:textId="77777777" w:rsidR="00C30451" w:rsidRPr="003415CC" w:rsidRDefault="00C30451" w:rsidP="00C82045">
            <w:pPr>
              <w:pStyle w:val="EBBodyPara"/>
              <w:spacing w:line="276" w:lineRule="auto"/>
              <w:jc w:val="right"/>
            </w:pPr>
            <w:r w:rsidRPr="003415CC">
              <w:t>3.81</w:t>
            </w:r>
          </w:p>
        </w:tc>
        <w:tc>
          <w:tcPr>
            <w:tcW w:w="1520" w:type="dxa"/>
            <w:tcBorders>
              <w:top w:val="nil"/>
              <w:left w:val="nil"/>
              <w:bottom w:val="single" w:sz="4" w:space="0" w:color="auto"/>
              <w:right w:val="single" w:sz="4" w:space="0" w:color="auto"/>
            </w:tcBorders>
            <w:shd w:val="clear" w:color="auto" w:fill="auto"/>
            <w:noWrap/>
            <w:vAlign w:val="center"/>
            <w:hideMark/>
          </w:tcPr>
          <w:p w14:paraId="455C2E51" w14:textId="77777777" w:rsidR="00C30451" w:rsidRPr="003415CC" w:rsidRDefault="00C30451" w:rsidP="00C82045">
            <w:pPr>
              <w:pStyle w:val="EBBodyPara"/>
              <w:spacing w:line="276" w:lineRule="auto"/>
              <w:jc w:val="right"/>
            </w:pPr>
            <w:r w:rsidRPr="003415CC">
              <w:t>22.57</w:t>
            </w:r>
          </w:p>
        </w:tc>
        <w:tc>
          <w:tcPr>
            <w:tcW w:w="960" w:type="dxa"/>
            <w:tcBorders>
              <w:top w:val="nil"/>
              <w:left w:val="nil"/>
              <w:bottom w:val="single" w:sz="4" w:space="0" w:color="auto"/>
              <w:right w:val="single" w:sz="4" w:space="0" w:color="auto"/>
            </w:tcBorders>
            <w:shd w:val="clear" w:color="auto" w:fill="auto"/>
            <w:noWrap/>
            <w:vAlign w:val="center"/>
            <w:hideMark/>
          </w:tcPr>
          <w:p w14:paraId="7C69A51A" w14:textId="77777777" w:rsidR="00C30451" w:rsidRPr="003415CC" w:rsidRDefault="00C30451" w:rsidP="00C82045">
            <w:pPr>
              <w:pStyle w:val="EBBodyPara"/>
              <w:spacing w:line="276" w:lineRule="auto"/>
              <w:jc w:val="right"/>
            </w:pPr>
            <w:r w:rsidRPr="003415CC">
              <w:t>15.71</w:t>
            </w:r>
          </w:p>
        </w:tc>
        <w:tc>
          <w:tcPr>
            <w:tcW w:w="960" w:type="dxa"/>
            <w:tcBorders>
              <w:top w:val="nil"/>
              <w:left w:val="nil"/>
              <w:bottom w:val="single" w:sz="4" w:space="0" w:color="auto"/>
              <w:right w:val="single" w:sz="4" w:space="0" w:color="auto"/>
            </w:tcBorders>
            <w:shd w:val="clear" w:color="auto" w:fill="auto"/>
            <w:noWrap/>
            <w:vAlign w:val="center"/>
            <w:hideMark/>
          </w:tcPr>
          <w:p w14:paraId="7BEFC1D0" w14:textId="77777777" w:rsidR="00C30451" w:rsidRPr="003415CC" w:rsidRDefault="00C30451" w:rsidP="00C82045">
            <w:pPr>
              <w:pStyle w:val="EBBodyPara"/>
              <w:spacing w:line="276" w:lineRule="auto"/>
              <w:jc w:val="right"/>
            </w:pPr>
            <w:r w:rsidRPr="003415CC">
              <w:t>355</w:t>
            </w:r>
          </w:p>
        </w:tc>
      </w:tr>
      <w:tr w:rsidR="00C30451" w:rsidRPr="003415CC" w14:paraId="47F5B41B" w14:textId="77777777" w:rsidTr="00C30451">
        <w:trPr>
          <w:trHeight w:val="288"/>
          <w:jc w:val="center"/>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5A02858D" w14:textId="77777777" w:rsidR="00C30451" w:rsidRPr="003415CC" w:rsidRDefault="00C30451" w:rsidP="00C82045">
            <w:pPr>
              <w:pStyle w:val="EBBodyPara"/>
              <w:spacing w:line="276" w:lineRule="auto"/>
              <w:rPr>
                <w:b/>
              </w:rPr>
            </w:pPr>
            <w:r w:rsidRPr="003415CC">
              <w:rPr>
                <w:b/>
              </w:rPr>
              <w:t>Total saving</w:t>
            </w:r>
          </w:p>
        </w:tc>
        <w:tc>
          <w:tcPr>
            <w:tcW w:w="1300" w:type="dxa"/>
            <w:tcBorders>
              <w:top w:val="nil"/>
              <w:left w:val="nil"/>
              <w:bottom w:val="single" w:sz="4" w:space="0" w:color="auto"/>
              <w:right w:val="single" w:sz="4" w:space="0" w:color="auto"/>
            </w:tcBorders>
            <w:shd w:val="clear" w:color="auto" w:fill="auto"/>
            <w:noWrap/>
            <w:vAlign w:val="center"/>
            <w:hideMark/>
          </w:tcPr>
          <w:p w14:paraId="2DCA4E3C" w14:textId="77777777" w:rsidR="00C30451" w:rsidRPr="003415CC" w:rsidRDefault="00C30451" w:rsidP="00C82045">
            <w:pPr>
              <w:pStyle w:val="EBBodyPara"/>
              <w:spacing w:line="276" w:lineRule="auto"/>
              <w:jc w:val="right"/>
            </w:pPr>
            <w:r w:rsidRPr="003415CC">
              <w:t> </w:t>
            </w:r>
          </w:p>
        </w:tc>
        <w:tc>
          <w:tcPr>
            <w:tcW w:w="1640" w:type="dxa"/>
            <w:tcBorders>
              <w:top w:val="nil"/>
              <w:left w:val="nil"/>
              <w:bottom w:val="single" w:sz="4" w:space="0" w:color="auto"/>
              <w:right w:val="single" w:sz="4" w:space="0" w:color="auto"/>
            </w:tcBorders>
            <w:shd w:val="clear" w:color="auto" w:fill="auto"/>
            <w:noWrap/>
            <w:vAlign w:val="center"/>
            <w:hideMark/>
          </w:tcPr>
          <w:p w14:paraId="45282FBC" w14:textId="77777777" w:rsidR="00C30451" w:rsidRPr="003415CC" w:rsidRDefault="00C30451" w:rsidP="00C82045">
            <w:pPr>
              <w:pStyle w:val="EBBodyPara"/>
              <w:spacing w:line="276" w:lineRule="auto"/>
              <w:jc w:val="right"/>
            </w:pPr>
            <w:r w:rsidRPr="003415CC">
              <w:t> </w:t>
            </w:r>
          </w:p>
        </w:tc>
        <w:tc>
          <w:tcPr>
            <w:tcW w:w="1520" w:type="dxa"/>
            <w:tcBorders>
              <w:top w:val="nil"/>
              <w:left w:val="nil"/>
              <w:bottom w:val="single" w:sz="4" w:space="0" w:color="auto"/>
              <w:right w:val="single" w:sz="4" w:space="0" w:color="auto"/>
            </w:tcBorders>
            <w:shd w:val="clear" w:color="auto" w:fill="auto"/>
            <w:noWrap/>
            <w:vAlign w:val="center"/>
            <w:hideMark/>
          </w:tcPr>
          <w:p w14:paraId="31BC1444" w14:textId="77777777" w:rsidR="00C30451" w:rsidRPr="003415CC" w:rsidRDefault="00C30451" w:rsidP="00C82045">
            <w:pPr>
              <w:pStyle w:val="EBBodyPara"/>
              <w:spacing w:line="276" w:lineRule="auto"/>
              <w:jc w:val="right"/>
            </w:pPr>
            <w:r w:rsidRPr="003415CC">
              <w:t> </w:t>
            </w:r>
          </w:p>
        </w:tc>
        <w:tc>
          <w:tcPr>
            <w:tcW w:w="960" w:type="dxa"/>
            <w:tcBorders>
              <w:top w:val="nil"/>
              <w:left w:val="nil"/>
              <w:bottom w:val="single" w:sz="4" w:space="0" w:color="auto"/>
              <w:right w:val="single" w:sz="4" w:space="0" w:color="auto"/>
            </w:tcBorders>
            <w:shd w:val="clear" w:color="auto" w:fill="auto"/>
            <w:noWrap/>
            <w:vAlign w:val="center"/>
            <w:hideMark/>
          </w:tcPr>
          <w:p w14:paraId="17624DCC" w14:textId="77777777" w:rsidR="00C30451" w:rsidRPr="003415CC" w:rsidRDefault="00C30451" w:rsidP="00C82045">
            <w:pPr>
              <w:pStyle w:val="EBBodyPara"/>
              <w:spacing w:line="276" w:lineRule="auto"/>
              <w:jc w:val="right"/>
            </w:pPr>
            <w:r w:rsidRPr="003415CC">
              <w:t> </w:t>
            </w:r>
          </w:p>
        </w:tc>
        <w:tc>
          <w:tcPr>
            <w:tcW w:w="960" w:type="dxa"/>
            <w:tcBorders>
              <w:top w:val="nil"/>
              <w:left w:val="nil"/>
              <w:bottom w:val="single" w:sz="4" w:space="0" w:color="auto"/>
              <w:right w:val="single" w:sz="4" w:space="0" w:color="auto"/>
            </w:tcBorders>
            <w:shd w:val="clear" w:color="auto" w:fill="auto"/>
            <w:noWrap/>
            <w:vAlign w:val="center"/>
            <w:hideMark/>
          </w:tcPr>
          <w:p w14:paraId="314F3D76" w14:textId="77777777" w:rsidR="00C30451" w:rsidRPr="003415CC" w:rsidRDefault="00C30451" w:rsidP="00C82045">
            <w:pPr>
              <w:pStyle w:val="EBBodyPara"/>
              <w:spacing w:line="276" w:lineRule="auto"/>
              <w:jc w:val="right"/>
              <w:rPr>
                <w:b/>
              </w:rPr>
            </w:pPr>
            <w:r w:rsidRPr="003415CC">
              <w:rPr>
                <w:b/>
              </w:rPr>
              <w:t>2363</w:t>
            </w:r>
          </w:p>
        </w:tc>
      </w:tr>
    </w:tbl>
    <w:p w14:paraId="380B3A4A" w14:textId="77777777" w:rsidR="00C30451" w:rsidRPr="003415CC" w:rsidRDefault="00C30451" w:rsidP="00C82045">
      <w:pPr>
        <w:pStyle w:val="EBBodyPara"/>
        <w:spacing w:line="276" w:lineRule="auto"/>
        <w:rPr>
          <w:b/>
        </w:rPr>
      </w:pPr>
    </w:p>
    <w:p w14:paraId="21C7F17E" w14:textId="77777777" w:rsidR="00C30451" w:rsidRPr="003415CC" w:rsidRDefault="00C30451" w:rsidP="00C82045">
      <w:pPr>
        <w:pStyle w:val="EBBodyPara"/>
        <w:spacing w:line="276" w:lineRule="auto"/>
        <w:jc w:val="center"/>
        <w:rPr>
          <w:b/>
        </w:rPr>
      </w:pPr>
      <w:r w:rsidRPr="003415CC">
        <w:rPr>
          <w:b/>
        </w:rPr>
        <w:t>Table F2</w:t>
      </w:r>
    </w:p>
    <w:p w14:paraId="0E8822A1" w14:textId="77777777" w:rsidR="00C30451" w:rsidRPr="003415CC" w:rsidRDefault="00C30451" w:rsidP="00C82045">
      <w:pPr>
        <w:pStyle w:val="EBBodyPara"/>
        <w:spacing w:line="276" w:lineRule="auto"/>
        <w:jc w:val="center"/>
        <w:rPr>
          <w:b/>
        </w:rPr>
      </w:pPr>
      <w:r w:rsidRPr="003415CC">
        <w:rPr>
          <w:b/>
        </w:rPr>
        <w:t>Total savings to all smaller quoted companies</w:t>
      </w:r>
    </w:p>
    <w:p w14:paraId="17A52247" w14:textId="77777777" w:rsidR="00C30451" w:rsidRPr="003415CC" w:rsidRDefault="00C30451" w:rsidP="00C82045">
      <w:pPr>
        <w:pStyle w:val="EBBodyPara"/>
        <w:spacing w:line="276" w:lineRule="auto"/>
        <w:jc w:val="center"/>
        <w:rPr>
          <w:b/>
        </w:rPr>
      </w:pPr>
      <w:r w:rsidRPr="003415CC">
        <w:rPr>
          <w:noProof/>
        </w:rPr>
        <w:drawing>
          <wp:inline distT="0" distB="0" distL="0" distR="0" wp14:anchorId="5AC03E42" wp14:editId="1C213E6C">
            <wp:extent cx="2558415" cy="111061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558415" cy="1110615"/>
                    </a:xfrm>
                    <a:prstGeom prst="rect">
                      <a:avLst/>
                    </a:prstGeom>
                    <a:noFill/>
                    <a:ln>
                      <a:noFill/>
                    </a:ln>
                  </pic:spPr>
                </pic:pic>
              </a:graphicData>
            </a:graphic>
          </wp:inline>
        </w:drawing>
      </w:r>
    </w:p>
    <w:p w14:paraId="3520C294" w14:textId="77777777" w:rsidR="00C30451" w:rsidRPr="003415CC" w:rsidRDefault="00C30451" w:rsidP="00C82045">
      <w:pPr>
        <w:pStyle w:val="EBBodyPara"/>
        <w:spacing w:line="276" w:lineRule="auto"/>
        <w:jc w:val="both"/>
      </w:pPr>
      <w:r w:rsidRPr="003415CC">
        <w:t>This would also create savings for the subsidiaries of these companies. As with costs, we assume that savings to subsidiary firms would be a percentage of the savings to their parent reporting companies. We use the estimate of savings for reporting companies in Table F1 above to calculate best, low and high estimates of the savings to their subsidiaries. These are shown in Table F3 below.</w:t>
      </w:r>
    </w:p>
    <w:p w14:paraId="44D577DD" w14:textId="77777777" w:rsidR="00C30451" w:rsidRPr="003415CC" w:rsidRDefault="00C30451" w:rsidP="00004041">
      <w:pPr>
        <w:pStyle w:val="EBBodyPara"/>
        <w:keepNext/>
        <w:spacing w:line="276" w:lineRule="auto"/>
        <w:jc w:val="center"/>
        <w:rPr>
          <w:b/>
        </w:rPr>
      </w:pPr>
      <w:r w:rsidRPr="003415CC">
        <w:rPr>
          <w:b/>
        </w:rPr>
        <w:lastRenderedPageBreak/>
        <w:t>Table F3</w:t>
      </w:r>
    </w:p>
    <w:p w14:paraId="4C6439CB" w14:textId="77777777" w:rsidR="00C30451" w:rsidRPr="003415CC" w:rsidRDefault="00C30451" w:rsidP="00004041">
      <w:pPr>
        <w:pStyle w:val="EBBodyPara"/>
        <w:keepNext/>
        <w:spacing w:line="276" w:lineRule="auto"/>
        <w:jc w:val="center"/>
        <w:rPr>
          <w:b/>
        </w:rPr>
      </w:pPr>
      <w:r w:rsidRPr="003415CC">
        <w:rPr>
          <w:b/>
        </w:rPr>
        <w:t>Estimates of savings to subsidiaries</w:t>
      </w:r>
    </w:p>
    <w:p w14:paraId="3C09F8CA" w14:textId="77777777" w:rsidR="00C30451" w:rsidRPr="003415CC" w:rsidRDefault="008E7798" w:rsidP="00004041">
      <w:pPr>
        <w:pStyle w:val="EBBodyPara"/>
        <w:keepNext/>
        <w:spacing w:line="276" w:lineRule="auto"/>
        <w:jc w:val="center"/>
      </w:pPr>
      <w:r w:rsidRPr="008E7798">
        <w:rPr>
          <w:noProof/>
        </w:rPr>
        <w:drawing>
          <wp:inline distT="0" distB="0" distL="0" distR="0" wp14:anchorId="426483E9" wp14:editId="252550D8">
            <wp:extent cx="3408045" cy="1066800"/>
            <wp:effectExtent l="0" t="0" r="190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408045" cy="1066800"/>
                    </a:xfrm>
                    <a:prstGeom prst="rect">
                      <a:avLst/>
                    </a:prstGeom>
                    <a:noFill/>
                    <a:ln>
                      <a:noFill/>
                    </a:ln>
                  </pic:spPr>
                </pic:pic>
              </a:graphicData>
            </a:graphic>
          </wp:inline>
        </w:drawing>
      </w:r>
    </w:p>
    <w:p w14:paraId="659A2144" w14:textId="77777777" w:rsidR="00C30451" w:rsidRPr="003415CC" w:rsidRDefault="00C30451" w:rsidP="00C82045">
      <w:pPr>
        <w:pStyle w:val="EBBodyPara"/>
        <w:spacing w:line="276" w:lineRule="auto"/>
        <w:jc w:val="both"/>
      </w:pPr>
      <w:r w:rsidRPr="003415CC">
        <w:t>We estimate that 411 quoted reporting companies have less than 500 employees and would fall in this category. We further estimate that these have 486 active trading subsidiaries between them. The total savings across all companies affected are shown in Table F4.</w:t>
      </w:r>
    </w:p>
    <w:p w14:paraId="64FB1D45" w14:textId="77777777" w:rsidR="00C30451" w:rsidRPr="003415CC" w:rsidRDefault="00C30451" w:rsidP="00C82045">
      <w:pPr>
        <w:pStyle w:val="EBBodyPara"/>
        <w:spacing w:line="276" w:lineRule="auto"/>
        <w:jc w:val="center"/>
        <w:rPr>
          <w:b/>
        </w:rPr>
      </w:pPr>
      <w:r w:rsidRPr="003415CC">
        <w:rPr>
          <w:b/>
        </w:rPr>
        <w:t>Table F4</w:t>
      </w:r>
    </w:p>
    <w:p w14:paraId="109ECBAB" w14:textId="77777777" w:rsidR="00C30451" w:rsidRPr="003415CC" w:rsidRDefault="0090134A" w:rsidP="00C82045">
      <w:pPr>
        <w:pStyle w:val="EBBodyPara"/>
        <w:spacing w:line="276" w:lineRule="auto"/>
        <w:jc w:val="center"/>
      </w:pPr>
      <w:r w:rsidRPr="0090134A">
        <w:rPr>
          <w:noProof/>
        </w:rPr>
        <w:drawing>
          <wp:inline distT="0" distB="0" distL="0" distR="0" wp14:anchorId="239B4816" wp14:editId="172930C3">
            <wp:extent cx="4405630" cy="1655445"/>
            <wp:effectExtent l="0" t="0" r="0" b="190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405630" cy="1655445"/>
                    </a:xfrm>
                    <a:prstGeom prst="rect">
                      <a:avLst/>
                    </a:prstGeom>
                    <a:noFill/>
                    <a:ln>
                      <a:noFill/>
                    </a:ln>
                  </pic:spPr>
                </pic:pic>
              </a:graphicData>
            </a:graphic>
          </wp:inline>
        </w:drawing>
      </w:r>
    </w:p>
    <w:p w14:paraId="36F80C4E" w14:textId="77777777" w:rsidR="00C30451" w:rsidRPr="003415CC" w:rsidRDefault="00C30451" w:rsidP="00C82045">
      <w:pPr>
        <w:pStyle w:val="EBBodyPara"/>
        <w:spacing w:line="276" w:lineRule="auto"/>
      </w:pPr>
      <w:r w:rsidRPr="003415CC">
        <w:t xml:space="preserve"> </w:t>
      </w:r>
    </w:p>
    <w:p w14:paraId="64FCD41E" w14:textId="77777777" w:rsidR="00C30451" w:rsidRPr="003415CC" w:rsidRDefault="00C30451" w:rsidP="00C82045">
      <w:pPr>
        <w:pStyle w:val="EBBodyPara"/>
        <w:spacing w:line="276" w:lineRule="auto"/>
        <w:rPr>
          <w:b/>
        </w:rPr>
      </w:pPr>
    </w:p>
    <w:p w14:paraId="52625D30" w14:textId="77777777" w:rsidR="00C30451" w:rsidRPr="003415CC" w:rsidRDefault="00C30451" w:rsidP="00C82045">
      <w:pPr>
        <w:pStyle w:val="EBBodyPara"/>
        <w:spacing w:line="276" w:lineRule="auto"/>
        <w:rPr>
          <w:b/>
        </w:rPr>
      </w:pPr>
    </w:p>
    <w:p w14:paraId="229DCF8F" w14:textId="77777777" w:rsidR="00C30451" w:rsidRPr="003415CC" w:rsidRDefault="00C30451" w:rsidP="00C82045">
      <w:pPr>
        <w:pStyle w:val="EBBodyPara"/>
        <w:spacing w:line="276" w:lineRule="auto"/>
        <w:rPr>
          <w:u w:val="single"/>
        </w:rPr>
      </w:pPr>
      <w:r w:rsidRPr="003415CC">
        <w:rPr>
          <w:u w:val="single"/>
        </w:rPr>
        <w:br w:type="page"/>
      </w:r>
    </w:p>
    <w:p w14:paraId="1B30619D" w14:textId="77777777" w:rsidR="00C30451" w:rsidRPr="003415CC" w:rsidRDefault="00C30451" w:rsidP="00C82045">
      <w:pPr>
        <w:pStyle w:val="EBBodyPara"/>
        <w:spacing w:line="276" w:lineRule="auto"/>
        <w:rPr>
          <w:b/>
        </w:rPr>
      </w:pPr>
    </w:p>
    <w:p w14:paraId="2A1D9483" w14:textId="77777777" w:rsidR="00C30451" w:rsidRPr="003415CC" w:rsidRDefault="00C30451" w:rsidP="00C82045">
      <w:pPr>
        <w:pStyle w:val="EBBodyPara"/>
        <w:spacing w:line="276" w:lineRule="auto"/>
        <w:rPr>
          <w:u w:val="single"/>
        </w:rPr>
      </w:pPr>
      <w:r w:rsidRPr="003415CC">
        <w:rPr>
          <w:b/>
        </w:rPr>
        <w:t>Annex G: Hourly wage cost data used in the Impact Assessment</w:t>
      </w:r>
    </w:p>
    <w:p w14:paraId="4BD71C36" w14:textId="77777777" w:rsidR="00C30451" w:rsidRPr="003415CC" w:rsidRDefault="00C30451" w:rsidP="00C82045">
      <w:pPr>
        <w:pStyle w:val="EBBodyPara"/>
        <w:spacing w:line="276" w:lineRule="auto"/>
        <w:jc w:val="both"/>
      </w:pPr>
      <w:r w:rsidRPr="003415CC">
        <w:t xml:space="preserve">Throughout the </w:t>
      </w:r>
      <w:r w:rsidR="00DB55AC">
        <w:t>IA</w:t>
      </w:r>
      <w:r w:rsidRPr="003415CC">
        <w:t>, staff time costs are estimated based on hourly pay, excluding overtime</w:t>
      </w:r>
      <w:r w:rsidR="00596281">
        <w:rPr>
          <w:rStyle w:val="FootnoteReference"/>
        </w:rPr>
        <w:footnoteReference w:id="44"/>
      </w:r>
      <w:r w:rsidRPr="003415CC">
        <w:t>, provided by the Annual Survey of Hours and Earnings (ASHE) 2015 provisional results Table 14.5a.</w:t>
      </w:r>
      <w:r w:rsidRPr="003415CC">
        <w:rPr>
          <w:vertAlign w:val="superscript"/>
        </w:rPr>
        <w:footnoteReference w:id="45"/>
      </w:r>
      <w:r w:rsidRPr="003415CC">
        <w:t xml:space="preserve"> The survey takes a sample of employee jobs drawn from HMRC records of gross pay before tax, National Insurance or other deductions. These data were then uplifted by 20.2% to reflect non-wage costs (i.e. National Insurance, pension contributions, other payroll taxes and other non-statutory employee services such as transport and canteen provision) using Eurostat data on non-wage costs for the UK in 2014.</w:t>
      </w:r>
      <w:r w:rsidRPr="003415CC">
        <w:rPr>
          <w:vertAlign w:val="superscript"/>
        </w:rPr>
        <w:footnoteReference w:id="46"/>
      </w:r>
      <w:r w:rsidRPr="003415CC">
        <w:t xml:space="preserve"> </w:t>
      </w:r>
    </w:p>
    <w:p w14:paraId="16622D6B" w14:textId="77777777" w:rsidR="00C30451" w:rsidRPr="003415CC" w:rsidRDefault="00A8579B" w:rsidP="00A8579B">
      <w:pPr>
        <w:pStyle w:val="EBBodyPara"/>
        <w:spacing w:line="276" w:lineRule="auto"/>
        <w:jc w:val="both"/>
      </w:pPr>
      <w:r>
        <w:t>During consultations with s</w:t>
      </w:r>
      <w:r w:rsidR="00C30451" w:rsidRPr="003415CC">
        <w:t xml:space="preserve">takeholders </w:t>
      </w:r>
      <w:r>
        <w:t>on the recently implemented Audit Directive it was pointed out to us that</w:t>
      </w:r>
      <w:r w:rsidR="00C30451" w:rsidRPr="003415CC">
        <w:t xml:space="preserve"> the median wage rate underestimate</w:t>
      </w:r>
      <w:r w:rsidR="007D73CC">
        <w:t>d</w:t>
      </w:r>
      <w:r w:rsidR="00C30451" w:rsidRPr="003415CC">
        <w:t xml:space="preserve"> the cost of staff time in the case of large PIEs. To reflect this we have used hourly wage costs of the relevant Standard Occupational Classifications (SOCs) in the 75</w:t>
      </w:r>
      <w:r w:rsidR="00C30451" w:rsidRPr="003415CC">
        <w:rPr>
          <w:vertAlign w:val="superscript"/>
        </w:rPr>
        <w:t>th</w:t>
      </w:r>
      <w:r w:rsidR="00C30451" w:rsidRPr="003415CC">
        <w:t xml:space="preserve"> percentile of the ASHE data. Table G1 below outlines the hourly wage rates deployed in the I</w:t>
      </w:r>
      <w:r w:rsidR="00DB55AC">
        <w:t>A</w:t>
      </w:r>
      <w:r w:rsidR="00C30451" w:rsidRPr="003415CC">
        <w:t xml:space="preserve"> before and after being uplifted for non-wage labour costs.</w:t>
      </w:r>
    </w:p>
    <w:p w14:paraId="4F7527A1" w14:textId="77777777" w:rsidR="00C30451" w:rsidRPr="003415CC" w:rsidRDefault="00C30451" w:rsidP="00C82045">
      <w:pPr>
        <w:pStyle w:val="EBBodyPara"/>
        <w:spacing w:line="276" w:lineRule="auto"/>
        <w:jc w:val="center"/>
        <w:rPr>
          <w:b/>
        </w:rPr>
      </w:pPr>
      <w:r w:rsidRPr="003415CC">
        <w:rPr>
          <w:b/>
        </w:rPr>
        <w:t>Table G1</w:t>
      </w:r>
    </w:p>
    <w:p w14:paraId="5C7E2972" w14:textId="77777777" w:rsidR="00C30451" w:rsidRPr="003415CC" w:rsidRDefault="00C30451" w:rsidP="00C82045">
      <w:pPr>
        <w:pStyle w:val="EBBodyPara"/>
        <w:spacing w:line="276" w:lineRule="auto"/>
        <w:jc w:val="center"/>
      </w:pPr>
      <w:r w:rsidRPr="003415CC">
        <w:rPr>
          <w:noProof/>
        </w:rPr>
        <w:drawing>
          <wp:inline distT="0" distB="0" distL="0" distR="0" wp14:anchorId="2240683B" wp14:editId="1BEB6C8A">
            <wp:extent cx="3286125" cy="12858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286125" cy="1285875"/>
                    </a:xfrm>
                    <a:prstGeom prst="rect">
                      <a:avLst/>
                    </a:prstGeom>
                    <a:noFill/>
                    <a:ln>
                      <a:noFill/>
                    </a:ln>
                  </pic:spPr>
                </pic:pic>
              </a:graphicData>
            </a:graphic>
          </wp:inline>
        </w:drawing>
      </w:r>
    </w:p>
    <w:p w14:paraId="6F08F212" w14:textId="77777777" w:rsidR="001F5DD9" w:rsidRPr="003415CC" w:rsidRDefault="001F5DD9" w:rsidP="00C82045">
      <w:pPr>
        <w:pStyle w:val="EBBodyPara"/>
        <w:spacing w:line="276" w:lineRule="auto"/>
      </w:pPr>
    </w:p>
    <w:sectPr w:rsidR="001F5DD9" w:rsidRPr="003415CC" w:rsidSect="002F2BA5">
      <w:pgSz w:w="11906" w:h="16838"/>
      <w:pgMar w:top="567" w:right="851" w:bottom="567" w:left="85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1634B7" w14:textId="77777777" w:rsidR="00480137" w:rsidRDefault="00480137">
      <w:r>
        <w:separator/>
      </w:r>
    </w:p>
  </w:endnote>
  <w:endnote w:type="continuationSeparator" w:id="0">
    <w:p w14:paraId="4F44E538" w14:textId="77777777" w:rsidR="00480137" w:rsidRDefault="004801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Bold">
    <w:panose1 w:val="020B0704020202020204"/>
    <w:charset w:val="00"/>
    <w:family w:val="auto"/>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EUAlbertina">
    <w:altName w:val="EU Albertina"/>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78AC88" w14:textId="77777777" w:rsidR="005E2729" w:rsidRPr="00EB43FD" w:rsidRDefault="005E2729" w:rsidP="005A3880">
    <w:pPr>
      <w:pStyle w:val="Footer"/>
    </w:pPr>
    <w:r w:rsidRPr="00EB43FD">
      <w:rPr>
        <w:rStyle w:val="PageNumber"/>
        <w:rFonts w:eastAsia="SimSun"/>
        <w:b w:val="0"/>
        <w:szCs w:val="18"/>
      </w:rPr>
      <w:fldChar w:fldCharType="begin"/>
    </w:r>
    <w:r w:rsidRPr="00EB43FD">
      <w:rPr>
        <w:rStyle w:val="PageNumber"/>
        <w:rFonts w:eastAsia="SimSun"/>
        <w:b w:val="0"/>
        <w:szCs w:val="18"/>
      </w:rPr>
      <w:instrText xml:space="preserve"> PAGE </w:instrText>
    </w:r>
    <w:r w:rsidRPr="00EB43FD">
      <w:rPr>
        <w:rStyle w:val="PageNumber"/>
        <w:rFonts w:eastAsia="SimSun"/>
        <w:b w:val="0"/>
        <w:szCs w:val="18"/>
      </w:rPr>
      <w:fldChar w:fldCharType="separate"/>
    </w:r>
    <w:r w:rsidR="007771D9">
      <w:rPr>
        <w:rStyle w:val="PageNumber"/>
        <w:rFonts w:eastAsia="SimSun"/>
        <w:b w:val="0"/>
        <w:noProof/>
        <w:szCs w:val="18"/>
      </w:rPr>
      <w:t>1</w:t>
    </w:r>
    <w:r w:rsidRPr="00EB43FD">
      <w:rPr>
        <w:rStyle w:val="PageNumber"/>
        <w:rFonts w:eastAsia="SimSun"/>
        <w:b w:val="0"/>
        <w:szCs w:val="1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60A01B" w14:textId="77777777" w:rsidR="005E2729" w:rsidRPr="00EB43FD" w:rsidRDefault="005E2729" w:rsidP="000407D8">
    <w:pPr>
      <w:pStyle w:val="Footer"/>
    </w:pPr>
    <w:r w:rsidRPr="00EB43FD">
      <w:rPr>
        <w:rStyle w:val="PageNumber"/>
        <w:b w:val="0"/>
        <w:szCs w:val="18"/>
      </w:rPr>
      <w:fldChar w:fldCharType="begin"/>
    </w:r>
    <w:r w:rsidRPr="00EB43FD">
      <w:rPr>
        <w:rStyle w:val="PageNumber"/>
        <w:b w:val="0"/>
        <w:szCs w:val="18"/>
      </w:rPr>
      <w:instrText xml:space="preserve"> PAGE </w:instrText>
    </w:r>
    <w:r w:rsidRPr="00EB43FD">
      <w:rPr>
        <w:rStyle w:val="PageNumber"/>
        <w:b w:val="0"/>
        <w:szCs w:val="18"/>
      </w:rPr>
      <w:fldChar w:fldCharType="separate"/>
    </w:r>
    <w:r w:rsidR="007771D9">
      <w:rPr>
        <w:rStyle w:val="PageNumber"/>
        <w:b w:val="0"/>
        <w:noProof/>
        <w:szCs w:val="18"/>
      </w:rPr>
      <w:t>43</w:t>
    </w:r>
    <w:r w:rsidRPr="00EB43FD">
      <w:rPr>
        <w:rStyle w:val="PageNumber"/>
        <w:b w:val="0"/>
        <w:szCs w:val="18"/>
      </w:rPr>
      <w:fldChar w:fldCharType="end"/>
    </w:r>
  </w:p>
  <w:p w14:paraId="43EAD83E" w14:textId="77777777" w:rsidR="005E2729" w:rsidRDefault="005E2729"/>
  <w:p w14:paraId="2376915A" w14:textId="77777777" w:rsidR="005E2729" w:rsidRDefault="005E2729"/>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AF9A17" w14:textId="77777777" w:rsidR="00480137" w:rsidRDefault="00480137">
      <w:r>
        <w:separator/>
      </w:r>
    </w:p>
  </w:footnote>
  <w:footnote w:type="continuationSeparator" w:id="0">
    <w:p w14:paraId="648A077F" w14:textId="77777777" w:rsidR="00480137" w:rsidRDefault="00480137">
      <w:r>
        <w:continuationSeparator/>
      </w:r>
    </w:p>
  </w:footnote>
  <w:footnote w:id="1">
    <w:p w14:paraId="097BE39D" w14:textId="77777777" w:rsidR="005E2729" w:rsidRPr="0082307E" w:rsidRDefault="005E2729" w:rsidP="00BC4067">
      <w:pPr>
        <w:pStyle w:val="NoSpacing"/>
        <w:jc w:val="both"/>
        <w:rPr>
          <w:rFonts w:cs="Arial"/>
          <w:sz w:val="16"/>
          <w:szCs w:val="16"/>
        </w:rPr>
      </w:pPr>
      <w:r w:rsidRPr="0082307E">
        <w:rPr>
          <w:rStyle w:val="FootnoteReference"/>
          <w:rFonts w:cs="Arial"/>
          <w:sz w:val="16"/>
          <w:szCs w:val="16"/>
        </w:rPr>
        <w:footnoteRef/>
      </w:r>
      <w:r w:rsidRPr="0082307E">
        <w:rPr>
          <w:rFonts w:cs="Arial"/>
          <w:sz w:val="16"/>
          <w:szCs w:val="16"/>
        </w:rPr>
        <w:t>Directive 2013/34/EU http://eur-lex.europa.eu/legal-content/EN/TXT/PDF/?uri=CELEX:32013L0034&amp;from=EN</w:t>
      </w:r>
    </w:p>
  </w:footnote>
  <w:footnote w:id="2">
    <w:p w14:paraId="70D7B661" w14:textId="77777777" w:rsidR="005E2729" w:rsidRPr="00C82045" w:rsidRDefault="005E2729" w:rsidP="00BC4067">
      <w:pPr>
        <w:pStyle w:val="NoSpacing"/>
        <w:jc w:val="both"/>
        <w:rPr>
          <w:rFonts w:cs="Arial"/>
          <w:sz w:val="18"/>
          <w:szCs w:val="18"/>
        </w:rPr>
      </w:pPr>
      <w:r w:rsidRPr="00C82045">
        <w:rPr>
          <w:rStyle w:val="FootnoteReference"/>
          <w:rFonts w:cs="Arial"/>
          <w:sz w:val="18"/>
          <w:szCs w:val="18"/>
        </w:rPr>
        <w:footnoteRef/>
      </w:r>
      <w:r w:rsidRPr="00C82045">
        <w:rPr>
          <w:rFonts w:cs="Arial"/>
          <w:sz w:val="18"/>
          <w:szCs w:val="18"/>
        </w:rPr>
        <w:t xml:space="preserve"> Available at : </w:t>
      </w:r>
      <w:hyperlink r:id="rId1" w:history="1">
        <w:r w:rsidRPr="00C82045">
          <w:rPr>
            <w:rStyle w:val="Hyperlink"/>
            <w:rFonts w:cs="Arial"/>
            <w:sz w:val="18"/>
            <w:szCs w:val="18"/>
          </w:rPr>
          <w:t>http://eur-lex.europa.eu/legal-content/EN/TXT/?uri=uriserv:OJ.L_.2014.330.01.0001.01.ENG</w:t>
        </w:r>
      </w:hyperlink>
      <w:r w:rsidRPr="00C82045">
        <w:rPr>
          <w:rFonts w:cs="Arial"/>
          <w:sz w:val="18"/>
          <w:szCs w:val="18"/>
        </w:rPr>
        <w:t xml:space="preserve"> TBC</w:t>
      </w:r>
    </w:p>
  </w:footnote>
  <w:footnote w:id="3">
    <w:p w14:paraId="1E7C97DC" w14:textId="77777777" w:rsidR="005E2729" w:rsidRPr="00C82045" w:rsidRDefault="005E2729" w:rsidP="00BC4067">
      <w:pPr>
        <w:pStyle w:val="NoSpacing"/>
        <w:jc w:val="both"/>
        <w:rPr>
          <w:rFonts w:cs="Arial"/>
          <w:sz w:val="18"/>
          <w:szCs w:val="18"/>
        </w:rPr>
      </w:pPr>
      <w:r w:rsidRPr="00C82045">
        <w:rPr>
          <w:rStyle w:val="FootnoteReference"/>
          <w:rFonts w:cs="Arial"/>
          <w:sz w:val="18"/>
          <w:szCs w:val="18"/>
        </w:rPr>
        <w:footnoteRef/>
      </w:r>
      <w:r w:rsidRPr="00C82045">
        <w:rPr>
          <w:rFonts w:cs="Arial"/>
          <w:sz w:val="18"/>
          <w:szCs w:val="18"/>
        </w:rPr>
        <w:t xml:space="preserve"> For further information on implementation see section x on enforcement. </w:t>
      </w:r>
    </w:p>
  </w:footnote>
  <w:footnote w:id="4">
    <w:p w14:paraId="2CDA86B3" w14:textId="77777777" w:rsidR="005E2729" w:rsidRPr="00C82045" w:rsidRDefault="005E2729" w:rsidP="00BC4067">
      <w:pPr>
        <w:pStyle w:val="NoSpacing"/>
        <w:jc w:val="both"/>
        <w:rPr>
          <w:rFonts w:cs="Arial"/>
          <w:sz w:val="18"/>
          <w:szCs w:val="18"/>
        </w:rPr>
      </w:pPr>
      <w:r w:rsidRPr="00C82045">
        <w:rPr>
          <w:rFonts w:cs="Arial"/>
          <w:sz w:val="18"/>
          <w:szCs w:val="18"/>
        </w:rPr>
        <w:footnoteRef/>
      </w:r>
      <w:r w:rsidRPr="00C82045">
        <w:rPr>
          <w:rFonts w:cs="Arial"/>
          <w:sz w:val="18"/>
          <w:szCs w:val="18"/>
        </w:rPr>
        <w:t xml:space="preserve"> The Companies Act 2006 (Strategic Report and Directors’ Report) Regulations 2013, available at http://www.legislation.gov.uk/ukdsi/2013/9780111540169/pdfs/ukdsi_9780111540169_en.pdf</w:t>
      </w:r>
    </w:p>
  </w:footnote>
  <w:footnote w:id="5">
    <w:p w14:paraId="566E4835" w14:textId="77777777" w:rsidR="005E2729" w:rsidRPr="00C82045" w:rsidRDefault="005E2729" w:rsidP="00BC4067">
      <w:pPr>
        <w:pStyle w:val="NoSpacing"/>
        <w:jc w:val="both"/>
        <w:rPr>
          <w:rFonts w:cs="Arial"/>
          <w:sz w:val="18"/>
          <w:szCs w:val="18"/>
        </w:rPr>
      </w:pPr>
      <w:r w:rsidRPr="00C82045">
        <w:rPr>
          <w:rStyle w:val="FootnoteReference"/>
          <w:rFonts w:cs="Arial"/>
          <w:sz w:val="18"/>
          <w:szCs w:val="18"/>
        </w:rPr>
        <w:footnoteRef/>
      </w:r>
      <w:r w:rsidRPr="00C82045">
        <w:rPr>
          <w:rFonts w:cs="Arial"/>
          <w:sz w:val="18"/>
          <w:szCs w:val="18"/>
        </w:rPr>
        <w:t>http://eur-lex.europa.eu/legal-content/EN/TXT/PDF/?uri=CELEX:52013SC0127&amp;from=EN</w:t>
      </w:r>
    </w:p>
  </w:footnote>
  <w:footnote w:id="6">
    <w:p w14:paraId="5FD50885" w14:textId="77777777" w:rsidR="005E2729" w:rsidRPr="00C82045" w:rsidRDefault="005E2729" w:rsidP="00BC4067">
      <w:pPr>
        <w:pStyle w:val="NoSpacing"/>
        <w:jc w:val="both"/>
        <w:rPr>
          <w:rFonts w:cs="Arial"/>
          <w:sz w:val="18"/>
          <w:szCs w:val="18"/>
        </w:rPr>
      </w:pPr>
      <w:r w:rsidRPr="00C82045">
        <w:rPr>
          <w:rFonts w:cs="Arial"/>
          <w:sz w:val="18"/>
          <w:szCs w:val="18"/>
        </w:rPr>
        <w:footnoteRef/>
      </w:r>
      <w:r w:rsidRPr="00C82045">
        <w:rPr>
          <w:rFonts w:cs="Arial"/>
          <w:sz w:val="18"/>
          <w:szCs w:val="18"/>
        </w:rPr>
        <w:t xml:space="preserve"> IMPACT ASSESSMENT Accompanying the document Proposal for a DIRECTIVE OF THE EUROPEAN PARLIAMENT AND OF THE COUNCIL amending Council Directives 78/660/EEC and 83/349/EEC as regards disclosure of non-financial and diversity information by certain large companies and groups: Available at  http://eur-lex.europa.eu/legal-content/EN/ALL/?uri=CELEX:52013SC0127.</w:t>
      </w:r>
    </w:p>
  </w:footnote>
  <w:footnote w:id="7">
    <w:p w14:paraId="0AB4CC68" w14:textId="77777777" w:rsidR="005E2729" w:rsidRPr="00C82045" w:rsidRDefault="005E2729" w:rsidP="00BC4067">
      <w:pPr>
        <w:pStyle w:val="NoSpacing"/>
        <w:jc w:val="both"/>
        <w:rPr>
          <w:rFonts w:cs="Arial"/>
          <w:sz w:val="18"/>
          <w:szCs w:val="18"/>
        </w:rPr>
      </w:pPr>
      <w:r w:rsidRPr="00C82045">
        <w:rPr>
          <w:rFonts w:cs="Arial"/>
          <w:sz w:val="18"/>
          <w:szCs w:val="18"/>
        </w:rPr>
        <w:footnoteRef/>
      </w:r>
      <w:r w:rsidRPr="00C82045">
        <w:rPr>
          <w:rFonts w:cs="Arial"/>
          <w:sz w:val="18"/>
          <w:szCs w:val="18"/>
        </w:rPr>
        <w:t xml:space="preserve"> Ibid </w:t>
      </w:r>
    </w:p>
  </w:footnote>
  <w:footnote w:id="8">
    <w:p w14:paraId="55126F72" w14:textId="77777777" w:rsidR="005E2729" w:rsidRPr="00C82045" w:rsidRDefault="005E2729" w:rsidP="00BC4067">
      <w:pPr>
        <w:pStyle w:val="NoSpacing"/>
        <w:jc w:val="both"/>
        <w:rPr>
          <w:rFonts w:cs="Arial"/>
          <w:sz w:val="18"/>
          <w:szCs w:val="18"/>
        </w:rPr>
      </w:pPr>
      <w:r w:rsidRPr="00C82045">
        <w:rPr>
          <w:rFonts w:cs="Arial"/>
          <w:sz w:val="18"/>
          <w:szCs w:val="18"/>
        </w:rPr>
        <w:footnoteRef/>
      </w:r>
      <w:r w:rsidRPr="00C82045">
        <w:rPr>
          <w:rFonts w:cs="Arial"/>
          <w:sz w:val="18"/>
          <w:szCs w:val="18"/>
        </w:rPr>
        <w:t xml:space="preserve"> For example the Dow Jones sustainability, the FTSE4Good, or the Tomorrows’ value Rating  </w:t>
      </w:r>
    </w:p>
  </w:footnote>
  <w:footnote w:id="9">
    <w:p w14:paraId="3F4A550F" w14:textId="77777777" w:rsidR="005E2729" w:rsidRPr="00C82045" w:rsidRDefault="005E2729" w:rsidP="00BC4067">
      <w:pPr>
        <w:pStyle w:val="NoSpacing"/>
        <w:jc w:val="both"/>
        <w:rPr>
          <w:rFonts w:cs="Arial"/>
          <w:sz w:val="18"/>
          <w:szCs w:val="18"/>
        </w:rPr>
      </w:pPr>
      <w:r w:rsidRPr="00C82045">
        <w:rPr>
          <w:rFonts w:cs="Arial"/>
          <w:sz w:val="18"/>
          <w:szCs w:val="18"/>
        </w:rPr>
        <w:footnoteRef/>
      </w:r>
      <w:r w:rsidRPr="00C82045">
        <w:rPr>
          <w:rFonts w:cs="Arial"/>
          <w:sz w:val="18"/>
          <w:szCs w:val="18"/>
        </w:rPr>
        <w:t xml:space="preserve"> http://eur-lex.europa.eu/legal-content/EN/TXT/PDF/?uri=CELEX:52013SC0127&amp;from=EN</w:t>
      </w:r>
    </w:p>
  </w:footnote>
  <w:footnote w:id="10">
    <w:p w14:paraId="21AE08D4" w14:textId="77777777" w:rsidR="005E2729" w:rsidRPr="00C82045" w:rsidRDefault="005E2729" w:rsidP="00BC4067">
      <w:pPr>
        <w:pStyle w:val="NoSpacing"/>
        <w:jc w:val="both"/>
        <w:rPr>
          <w:rFonts w:cs="Arial"/>
          <w:sz w:val="18"/>
          <w:szCs w:val="18"/>
        </w:rPr>
      </w:pPr>
      <w:r w:rsidRPr="00C82045">
        <w:rPr>
          <w:rStyle w:val="FootnoteReference"/>
          <w:rFonts w:cs="Arial"/>
          <w:sz w:val="18"/>
          <w:szCs w:val="18"/>
        </w:rPr>
        <w:footnoteRef/>
      </w:r>
      <w:r w:rsidRPr="00C82045">
        <w:rPr>
          <w:rFonts w:cs="Arial"/>
          <w:sz w:val="18"/>
          <w:szCs w:val="18"/>
        </w:rPr>
        <w:t>Available at: http://ec.europa.eu/internal_market/consultations/2010/non-financial_reporting_en.htm</w:t>
      </w:r>
    </w:p>
  </w:footnote>
  <w:footnote w:id="11">
    <w:p w14:paraId="2C956178" w14:textId="77777777" w:rsidR="005E2729" w:rsidRPr="00C82045" w:rsidRDefault="005E2729" w:rsidP="00BC4067">
      <w:pPr>
        <w:pStyle w:val="NoSpacing"/>
        <w:jc w:val="both"/>
        <w:rPr>
          <w:rFonts w:cs="Arial"/>
          <w:sz w:val="18"/>
          <w:szCs w:val="18"/>
        </w:rPr>
      </w:pPr>
      <w:r w:rsidRPr="00C82045">
        <w:rPr>
          <w:rFonts w:cs="Arial"/>
          <w:sz w:val="18"/>
          <w:szCs w:val="18"/>
        </w:rPr>
        <w:footnoteRef/>
      </w:r>
      <w:proofErr w:type="gramStart"/>
      <w:r w:rsidRPr="00C82045">
        <w:rPr>
          <w:rFonts w:cs="Arial"/>
          <w:sz w:val="18"/>
          <w:szCs w:val="18"/>
        </w:rPr>
        <w:t>Public Consultation on Disclosure of Non-Financial Information by companies.</w:t>
      </w:r>
      <w:proofErr w:type="gramEnd"/>
      <w:r w:rsidRPr="00C82045">
        <w:rPr>
          <w:rFonts w:cs="Arial"/>
          <w:sz w:val="18"/>
          <w:szCs w:val="18"/>
        </w:rPr>
        <w:t xml:space="preserve"> The summary report and the 260 responses received are available at http://ec.europa.eu/internal_market/consultations/2010/non-financial_reporting_en.htm</w:t>
      </w:r>
    </w:p>
  </w:footnote>
  <w:footnote w:id="12">
    <w:p w14:paraId="79C8F1C3" w14:textId="77777777" w:rsidR="005E2729" w:rsidRPr="00C82045" w:rsidRDefault="005E2729" w:rsidP="00BC4067">
      <w:pPr>
        <w:pStyle w:val="NoSpacing"/>
        <w:jc w:val="both"/>
        <w:rPr>
          <w:rFonts w:cs="Arial"/>
          <w:sz w:val="18"/>
          <w:szCs w:val="18"/>
        </w:rPr>
      </w:pPr>
      <w:r w:rsidRPr="00C82045">
        <w:rPr>
          <w:rFonts w:cs="Arial"/>
          <w:sz w:val="18"/>
          <w:szCs w:val="18"/>
        </w:rPr>
        <w:footnoteRef/>
      </w:r>
      <w:r w:rsidRPr="00C82045">
        <w:rPr>
          <w:rFonts w:cs="Arial"/>
          <w:sz w:val="18"/>
          <w:szCs w:val="18"/>
        </w:rPr>
        <w:t xml:space="preserve"> IBID p10</w:t>
      </w:r>
    </w:p>
  </w:footnote>
  <w:footnote w:id="13">
    <w:p w14:paraId="2CEFB662" w14:textId="77777777" w:rsidR="005E2729" w:rsidRPr="00C82045" w:rsidRDefault="005E2729" w:rsidP="00BC4067">
      <w:pPr>
        <w:pStyle w:val="NoSpacing"/>
        <w:jc w:val="both"/>
        <w:rPr>
          <w:rFonts w:cs="Arial"/>
          <w:sz w:val="18"/>
          <w:szCs w:val="18"/>
        </w:rPr>
      </w:pPr>
      <w:r w:rsidRPr="00C82045">
        <w:rPr>
          <w:rFonts w:cs="Arial"/>
          <w:sz w:val="18"/>
          <w:szCs w:val="18"/>
        </w:rPr>
        <w:footnoteRef/>
      </w:r>
      <w:proofErr w:type="gramStart"/>
      <w:r w:rsidRPr="00C82045">
        <w:rPr>
          <w:rFonts w:cs="Arial"/>
          <w:sz w:val="18"/>
          <w:szCs w:val="18"/>
        </w:rPr>
        <w:t>"Investment and Enterprise Responsibility Review: Analysis of investor and enterprise policies on corporate social responsibility", UNCTAD, 2010.</w:t>
      </w:r>
      <w:proofErr w:type="gramEnd"/>
      <w:r w:rsidRPr="00C82045">
        <w:rPr>
          <w:rFonts w:cs="Arial"/>
          <w:sz w:val="18"/>
          <w:szCs w:val="18"/>
        </w:rPr>
        <w:t xml:space="preserve"> Based on a sample of 100 amongst the largest MNCs worldwide, http://www.unctad.org/en/docs/diaeed20101_en.pdf</w:t>
      </w:r>
    </w:p>
  </w:footnote>
  <w:footnote w:id="14">
    <w:p w14:paraId="0334A0B3" w14:textId="77777777" w:rsidR="005E2729" w:rsidRPr="00C82045" w:rsidRDefault="005E2729" w:rsidP="00BC4067">
      <w:pPr>
        <w:pStyle w:val="NoSpacing"/>
        <w:jc w:val="both"/>
        <w:rPr>
          <w:rFonts w:cs="Arial"/>
          <w:sz w:val="18"/>
          <w:szCs w:val="18"/>
        </w:rPr>
      </w:pPr>
      <w:r w:rsidRPr="00C82045">
        <w:rPr>
          <w:rFonts w:cs="Arial"/>
          <w:sz w:val="18"/>
          <w:szCs w:val="18"/>
        </w:rPr>
        <w:footnoteRef/>
      </w:r>
      <w:r w:rsidRPr="00C82045">
        <w:rPr>
          <w:rFonts w:cs="Arial"/>
          <w:sz w:val="18"/>
          <w:szCs w:val="18"/>
        </w:rPr>
        <w:t xml:space="preserve"> Bloomberg analysis, data provided by email to European Commission services on 9 September 2011</w:t>
      </w:r>
    </w:p>
  </w:footnote>
  <w:footnote w:id="15">
    <w:p w14:paraId="1505B75D" w14:textId="77777777" w:rsidR="005E2729" w:rsidRPr="00C82045" w:rsidRDefault="005E2729" w:rsidP="00BC4067">
      <w:pPr>
        <w:pStyle w:val="NoSpacing"/>
        <w:jc w:val="both"/>
        <w:rPr>
          <w:rFonts w:cs="Arial"/>
          <w:sz w:val="18"/>
          <w:szCs w:val="18"/>
        </w:rPr>
      </w:pPr>
      <w:r w:rsidRPr="00C82045">
        <w:rPr>
          <w:rFonts w:cs="Arial"/>
          <w:sz w:val="18"/>
          <w:szCs w:val="18"/>
        </w:rPr>
        <w:footnoteRef/>
      </w:r>
      <w:r w:rsidRPr="00C82045">
        <w:rPr>
          <w:rFonts w:cs="Arial"/>
          <w:sz w:val="18"/>
          <w:szCs w:val="18"/>
        </w:rPr>
        <w:t xml:space="preserve"> "Study of the Legal Framework on Human Rights and the Environment Applicable to European Enterprises Operating Outside the European Union", study prepared by the University of Edinburgh for the European Commission, 2010, http://ec.europa.eu/enterprise/policies/sustainable-business/files/business-human-rights/101025_ec_study_final_report_en.pdf</w:t>
      </w:r>
    </w:p>
  </w:footnote>
  <w:footnote w:id="16">
    <w:p w14:paraId="17583771" w14:textId="77777777" w:rsidR="005E2729" w:rsidRPr="00C82045" w:rsidRDefault="005E2729" w:rsidP="00BC4067">
      <w:pPr>
        <w:pStyle w:val="NoSpacing"/>
        <w:jc w:val="both"/>
        <w:rPr>
          <w:rFonts w:cs="Arial"/>
          <w:sz w:val="18"/>
          <w:szCs w:val="18"/>
        </w:rPr>
      </w:pPr>
      <w:r w:rsidRPr="00C82045">
        <w:rPr>
          <w:rStyle w:val="FootnoteReference"/>
          <w:rFonts w:cs="Arial"/>
          <w:sz w:val="18"/>
          <w:szCs w:val="18"/>
        </w:rPr>
        <w:footnoteRef/>
      </w:r>
      <w:r w:rsidRPr="00C82045">
        <w:rPr>
          <w:rFonts w:cs="Arial"/>
          <w:sz w:val="18"/>
          <w:szCs w:val="18"/>
        </w:rPr>
        <w:t xml:space="preserve"> "Global Winners&amp; Reporting Trends", CorporateRegister.com, 2012 available at </w:t>
      </w:r>
    </w:p>
    <w:p w14:paraId="2E53AD90" w14:textId="77777777" w:rsidR="005E2729" w:rsidRPr="00C82045" w:rsidRDefault="005E2729" w:rsidP="00BC4067">
      <w:pPr>
        <w:pStyle w:val="NoSpacing"/>
        <w:jc w:val="both"/>
        <w:rPr>
          <w:rFonts w:cs="Arial"/>
          <w:sz w:val="18"/>
          <w:szCs w:val="18"/>
        </w:rPr>
      </w:pPr>
      <w:r w:rsidRPr="00C82045">
        <w:rPr>
          <w:rFonts w:cs="Arial"/>
          <w:sz w:val="18"/>
          <w:szCs w:val="18"/>
        </w:rPr>
        <w:t>http://www.corporateregister.com/crra/help/CRRA-2012-Exec-Summary.pdf</w:t>
      </w:r>
    </w:p>
  </w:footnote>
  <w:footnote w:id="17">
    <w:p w14:paraId="5B363A0A" w14:textId="77777777" w:rsidR="005E2729" w:rsidRPr="00C82045" w:rsidRDefault="005E2729" w:rsidP="00BC4067">
      <w:pPr>
        <w:pStyle w:val="NoSpacing"/>
        <w:jc w:val="both"/>
        <w:rPr>
          <w:rFonts w:cs="Arial"/>
          <w:sz w:val="18"/>
          <w:szCs w:val="18"/>
        </w:rPr>
      </w:pPr>
      <w:r w:rsidRPr="00C82045">
        <w:rPr>
          <w:rStyle w:val="FootnoteReference"/>
          <w:rFonts w:cs="Arial"/>
          <w:sz w:val="18"/>
          <w:szCs w:val="18"/>
        </w:rPr>
        <w:footnoteRef/>
      </w:r>
      <w:r w:rsidRPr="00C82045">
        <w:rPr>
          <w:rFonts w:cs="Arial"/>
          <w:sz w:val="18"/>
          <w:szCs w:val="18"/>
        </w:rPr>
        <w:t xml:space="preserve">Making the Connections page 2 available at: </w:t>
      </w:r>
      <w:hyperlink r:id="rId2" w:history="1">
        <w:r w:rsidRPr="00C82045">
          <w:rPr>
            <w:rStyle w:val="Hyperlink"/>
            <w:rFonts w:cs="Arial"/>
            <w:sz w:val="18"/>
            <w:szCs w:val="18"/>
          </w:rPr>
          <w:t>http://www.blacksunplc.com/corporate/news/articles/619/the_complete_100_making_connections_.html</w:t>
        </w:r>
      </w:hyperlink>
    </w:p>
  </w:footnote>
  <w:footnote w:id="18">
    <w:p w14:paraId="4A5D6B79" w14:textId="77777777" w:rsidR="005E2729" w:rsidRPr="00C82045" w:rsidRDefault="005E2729" w:rsidP="00BC4067">
      <w:pPr>
        <w:pStyle w:val="NoSpacing"/>
        <w:jc w:val="both"/>
        <w:rPr>
          <w:rFonts w:cs="Arial"/>
          <w:sz w:val="18"/>
          <w:szCs w:val="18"/>
          <w:lang w:eastAsia="en-GB"/>
        </w:rPr>
      </w:pPr>
      <w:r w:rsidRPr="00C82045">
        <w:rPr>
          <w:rStyle w:val="FootnoteReference"/>
          <w:rFonts w:cs="Arial"/>
          <w:sz w:val="18"/>
          <w:szCs w:val="18"/>
        </w:rPr>
        <w:footnoteRef/>
      </w:r>
      <w:r w:rsidRPr="00C82045">
        <w:rPr>
          <w:rFonts w:cs="Arial"/>
          <w:sz w:val="18"/>
          <w:szCs w:val="18"/>
          <w:lang w:eastAsia="en-GB"/>
        </w:rPr>
        <w:t>15) ‘Multilateral trading facility (MTF)’ means a multilateral system, operated by an investment firm or a market operator, which brings together multiple third</w:t>
      </w:r>
      <w:r w:rsidRPr="00C82045">
        <w:rPr>
          <w:rFonts w:eastAsia="MS Gothic" w:cs="Arial"/>
          <w:sz w:val="18"/>
          <w:szCs w:val="18"/>
          <w:lang w:eastAsia="en-GB"/>
        </w:rPr>
        <w:noBreakHyphen/>
      </w:r>
      <w:r w:rsidRPr="00C82045">
        <w:rPr>
          <w:rFonts w:cs="Arial"/>
          <w:sz w:val="18"/>
          <w:szCs w:val="18"/>
          <w:lang w:eastAsia="en-GB"/>
        </w:rPr>
        <w:t>party buying and selling interests in financial instruments – in the system and in accordance with non</w:t>
      </w:r>
      <w:r w:rsidRPr="00C82045">
        <w:rPr>
          <w:rFonts w:eastAsia="MS Gothic" w:cs="Arial"/>
          <w:sz w:val="18"/>
          <w:szCs w:val="18"/>
          <w:lang w:eastAsia="en-GB"/>
        </w:rPr>
        <w:noBreakHyphen/>
      </w:r>
      <w:r w:rsidRPr="00C82045">
        <w:rPr>
          <w:rFonts w:cs="Arial"/>
          <w:sz w:val="18"/>
          <w:szCs w:val="18"/>
          <w:lang w:eastAsia="en-GB"/>
        </w:rPr>
        <w:t>discretionary rules – in a way that results in a contract in accordance with the provisions of Title II;</w:t>
      </w:r>
    </w:p>
    <w:p w14:paraId="7CF0D2A0" w14:textId="77777777" w:rsidR="005E2729" w:rsidRPr="00C82045" w:rsidRDefault="005E2729" w:rsidP="00BC4067">
      <w:pPr>
        <w:pStyle w:val="NoSpacing"/>
        <w:jc w:val="both"/>
        <w:rPr>
          <w:rFonts w:cs="Arial"/>
          <w:sz w:val="18"/>
          <w:szCs w:val="18"/>
        </w:rPr>
      </w:pPr>
    </w:p>
  </w:footnote>
  <w:footnote w:id="19">
    <w:p w14:paraId="3DCD43E1" w14:textId="77777777" w:rsidR="005E2729" w:rsidRPr="00C82045" w:rsidRDefault="005E2729" w:rsidP="00BC4067">
      <w:pPr>
        <w:pStyle w:val="NoSpacing"/>
        <w:jc w:val="both"/>
        <w:rPr>
          <w:rFonts w:cs="Arial"/>
          <w:sz w:val="18"/>
          <w:szCs w:val="18"/>
        </w:rPr>
      </w:pPr>
      <w:r w:rsidRPr="00C82045">
        <w:rPr>
          <w:rStyle w:val="FootnoteReference"/>
          <w:rFonts w:cs="Arial"/>
          <w:sz w:val="18"/>
          <w:szCs w:val="18"/>
        </w:rPr>
        <w:footnoteRef/>
      </w:r>
      <w:r w:rsidRPr="00C82045">
        <w:rPr>
          <w:rFonts w:cs="Arial"/>
          <w:sz w:val="18"/>
          <w:szCs w:val="18"/>
        </w:rPr>
        <w:t xml:space="preserve"> </w:t>
      </w:r>
      <w:r w:rsidRPr="00C82045">
        <w:rPr>
          <w:rFonts w:cs="Arial"/>
          <w:color w:val="000000"/>
          <w:sz w:val="18"/>
          <w:szCs w:val="18"/>
        </w:rPr>
        <w:t xml:space="preserve">Within the meaning of point (14) of Article 4(1) of Directive 2004/39/EC of the European Parliament and of the Council of 21 April 2004 on markets in financial instruments </w:t>
      </w:r>
    </w:p>
  </w:footnote>
  <w:footnote w:id="20">
    <w:p w14:paraId="06B1DD0B" w14:textId="77777777" w:rsidR="005E2729" w:rsidRPr="00C82045" w:rsidRDefault="005E2729" w:rsidP="00BC4067">
      <w:pPr>
        <w:pStyle w:val="NoSpacing"/>
        <w:jc w:val="both"/>
        <w:rPr>
          <w:rFonts w:cs="Arial"/>
          <w:sz w:val="18"/>
          <w:szCs w:val="18"/>
        </w:rPr>
      </w:pPr>
      <w:r w:rsidRPr="00C82045">
        <w:rPr>
          <w:rStyle w:val="FootnoteReference"/>
          <w:rFonts w:cs="Arial"/>
          <w:sz w:val="18"/>
          <w:szCs w:val="18"/>
        </w:rPr>
        <w:footnoteRef/>
      </w:r>
      <w:r w:rsidRPr="00C82045">
        <w:rPr>
          <w:rFonts w:cs="Arial"/>
          <w:sz w:val="18"/>
          <w:szCs w:val="18"/>
        </w:rPr>
        <w:t xml:space="preserve"> </w:t>
      </w:r>
      <w:r w:rsidRPr="00C82045">
        <w:rPr>
          <w:rFonts w:eastAsia="Calibri" w:cs="Arial"/>
          <w:sz w:val="18"/>
          <w:szCs w:val="18"/>
        </w:rPr>
        <w:t xml:space="preserve">FAME database Bureau Van </w:t>
      </w:r>
      <w:proofErr w:type="spellStart"/>
      <w:r w:rsidRPr="00C82045">
        <w:rPr>
          <w:rFonts w:eastAsia="Calibri" w:cs="Arial"/>
          <w:sz w:val="18"/>
          <w:szCs w:val="18"/>
        </w:rPr>
        <w:t>Dijk</w:t>
      </w:r>
      <w:proofErr w:type="spellEnd"/>
      <w:r w:rsidRPr="00C82045">
        <w:rPr>
          <w:rFonts w:eastAsia="Calibri" w:cs="Arial"/>
          <w:sz w:val="18"/>
          <w:szCs w:val="18"/>
        </w:rPr>
        <w:t xml:space="preserve"> Electronic Publishing, 2014 data extracted the 22/09/2014</w:t>
      </w:r>
    </w:p>
  </w:footnote>
  <w:footnote w:id="21">
    <w:p w14:paraId="70799B5A" w14:textId="77777777" w:rsidR="005E2729" w:rsidRPr="00C82045" w:rsidRDefault="005E2729" w:rsidP="00BC4067">
      <w:pPr>
        <w:pStyle w:val="NoSpacing"/>
        <w:jc w:val="both"/>
        <w:rPr>
          <w:rFonts w:cs="Arial"/>
          <w:sz w:val="18"/>
          <w:szCs w:val="18"/>
        </w:rPr>
      </w:pPr>
      <w:r w:rsidRPr="00C82045">
        <w:rPr>
          <w:rStyle w:val="FootnoteReference"/>
          <w:rFonts w:cs="Arial"/>
          <w:sz w:val="18"/>
          <w:szCs w:val="18"/>
        </w:rPr>
        <w:footnoteRef/>
      </w:r>
      <w:r w:rsidRPr="00C82045">
        <w:rPr>
          <w:rFonts w:cs="Arial"/>
          <w:sz w:val="18"/>
          <w:szCs w:val="18"/>
        </w:rPr>
        <w:t xml:space="preserve"> http://www.londonstockexchange.com/home/homepage.htm</w:t>
      </w:r>
    </w:p>
  </w:footnote>
  <w:footnote w:id="22">
    <w:p w14:paraId="0449B9EB" w14:textId="77777777" w:rsidR="005E2729" w:rsidRPr="00C82045" w:rsidRDefault="005E2729" w:rsidP="00BC4067">
      <w:pPr>
        <w:pStyle w:val="NoSpacing"/>
        <w:jc w:val="both"/>
        <w:rPr>
          <w:rFonts w:cs="Arial"/>
          <w:sz w:val="18"/>
          <w:szCs w:val="18"/>
        </w:rPr>
      </w:pPr>
      <w:r w:rsidRPr="00C82045">
        <w:rPr>
          <w:rStyle w:val="FootnoteReference"/>
          <w:rFonts w:cs="Arial"/>
          <w:sz w:val="18"/>
          <w:szCs w:val="18"/>
        </w:rPr>
        <w:footnoteRef/>
      </w:r>
      <w:r w:rsidRPr="00C82045">
        <w:rPr>
          <w:rFonts w:cs="Arial"/>
          <w:sz w:val="18"/>
          <w:szCs w:val="18"/>
        </w:rPr>
        <w:t xml:space="preserve"> http://www.fsa.gov.uk/ukla/officialList.do</w:t>
      </w:r>
    </w:p>
  </w:footnote>
  <w:footnote w:id="23">
    <w:p w14:paraId="1B6E2758" w14:textId="77777777" w:rsidR="005E2729" w:rsidRPr="00C82045" w:rsidRDefault="005E2729" w:rsidP="00BC4067">
      <w:pPr>
        <w:pStyle w:val="NoSpacing"/>
        <w:jc w:val="both"/>
        <w:rPr>
          <w:rFonts w:cs="Arial"/>
          <w:sz w:val="18"/>
          <w:szCs w:val="18"/>
        </w:rPr>
      </w:pPr>
      <w:r w:rsidRPr="00C82045">
        <w:rPr>
          <w:rStyle w:val="FootnoteReference"/>
          <w:rFonts w:cs="Arial"/>
          <w:sz w:val="18"/>
          <w:szCs w:val="18"/>
        </w:rPr>
        <w:footnoteRef/>
      </w:r>
      <w:r w:rsidRPr="00C82045">
        <w:rPr>
          <w:rFonts w:cs="Arial"/>
          <w:sz w:val="18"/>
          <w:szCs w:val="18"/>
        </w:rPr>
        <w:t xml:space="preserve"> http://www.bankofengland.co.uk/pra/Pages/authorisations/banksbuildingsocietieslist.aspx</w:t>
      </w:r>
    </w:p>
  </w:footnote>
  <w:footnote w:id="24">
    <w:p w14:paraId="6BE80C92" w14:textId="77777777" w:rsidR="005E2729" w:rsidRPr="00C82045" w:rsidRDefault="005E2729" w:rsidP="00BC4067">
      <w:pPr>
        <w:pStyle w:val="NoSpacing"/>
        <w:jc w:val="both"/>
        <w:rPr>
          <w:rFonts w:cs="Arial"/>
          <w:sz w:val="18"/>
          <w:szCs w:val="18"/>
        </w:rPr>
      </w:pPr>
      <w:r w:rsidRPr="00C82045">
        <w:rPr>
          <w:rStyle w:val="FootnoteReference"/>
          <w:rFonts w:cs="Arial"/>
          <w:sz w:val="18"/>
          <w:szCs w:val="18"/>
        </w:rPr>
        <w:footnoteRef/>
      </w:r>
      <w:r w:rsidRPr="00C82045">
        <w:rPr>
          <w:rFonts w:cs="Arial"/>
          <w:sz w:val="18"/>
          <w:szCs w:val="18"/>
        </w:rPr>
        <w:t xml:space="preserve"> </w:t>
      </w:r>
      <w:proofErr w:type="gramStart"/>
      <w:r w:rsidRPr="00C82045">
        <w:rPr>
          <w:rFonts w:cs="Arial"/>
          <w:sz w:val="18"/>
          <w:szCs w:val="18"/>
        </w:rPr>
        <w:t xml:space="preserve">Syndicates of the </w:t>
      </w:r>
      <w:r w:rsidRPr="00C82045">
        <w:rPr>
          <w:rFonts w:cs="Arial"/>
          <w:bCs/>
          <w:sz w:val="18"/>
          <w:szCs w:val="18"/>
          <w:lang w:val="en"/>
        </w:rPr>
        <w:t>Lloyd's of London insurance market.</w:t>
      </w:r>
      <w:proofErr w:type="gramEnd"/>
      <w:r w:rsidRPr="00C82045">
        <w:rPr>
          <w:rFonts w:cs="Arial"/>
          <w:sz w:val="18"/>
          <w:szCs w:val="18"/>
        </w:rPr>
        <w:t xml:space="preserve"> </w:t>
      </w:r>
    </w:p>
  </w:footnote>
  <w:footnote w:id="25">
    <w:p w14:paraId="40372052" w14:textId="77777777" w:rsidR="005E2729" w:rsidRPr="00AA0414" w:rsidRDefault="005E2729" w:rsidP="00D763DE">
      <w:pPr>
        <w:pStyle w:val="FootnoteText"/>
        <w:jc w:val="both"/>
        <w:rPr>
          <w:szCs w:val="16"/>
        </w:rPr>
      </w:pPr>
      <w:r w:rsidRPr="00AA0414">
        <w:rPr>
          <w:rStyle w:val="FootnoteReference"/>
          <w:sz w:val="16"/>
          <w:szCs w:val="16"/>
        </w:rPr>
        <w:footnoteRef/>
      </w:r>
      <w:r w:rsidRPr="00AA0414">
        <w:rPr>
          <w:szCs w:val="16"/>
        </w:rPr>
        <w:t xml:space="preserve"> FAME data</w:t>
      </w:r>
    </w:p>
  </w:footnote>
  <w:footnote w:id="26">
    <w:p w14:paraId="1DDFB731" w14:textId="77777777" w:rsidR="005E2729" w:rsidRPr="00AA0414" w:rsidRDefault="005E2729" w:rsidP="00D763DE">
      <w:pPr>
        <w:pStyle w:val="FootnoteText"/>
        <w:jc w:val="both"/>
        <w:rPr>
          <w:szCs w:val="16"/>
        </w:rPr>
      </w:pPr>
      <w:r w:rsidRPr="00AA0414">
        <w:rPr>
          <w:rStyle w:val="FootnoteReference"/>
          <w:sz w:val="16"/>
          <w:szCs w:val="16"/>
        </w:rPr>
        <w:footnoteRef/>
      </w:r>
      <w:r w:rsidRPr="00AA0414">
        <w:rPr>
          <w:szCs w:val="16"/>
        </w:rPr>
        <w:t xml:space="preserve"> </w:t>
      </w:r>
      <w:proofErr w:type="gramStart"/>
      <w:r w:rsidRPr="00AA0414">
        <w:rPr>
          <w:szCs w:val="16"/>
        </w:rPr>
        <w:t>Companies House data shows that 18.6% of companies on the register are dormant, see Companies Register of Activities in the UK 2014-15, Companies House.</w:t>
      </w:r>
      <w:proofErr w:type="gramEnd"/>
    </w:p>
  </w:footnote>
  <w:footnote w:id="27">
    <w:p w14:paraId="2A839EA1" w14:textId="77777777" w:rsidR="005E2729" w:rsidRPr="00AC7763" w:rsidRDefault="005E2729" w:rsidP="00D763DE">
      <w:pPr>
        <w:pStyle w:val="FootnoteText"/>
        <w:jc w:val="both"/>
        <w:rPr>
          <w:szCs w:val="16"/>
        </w:rPr>
      </w:pPr>
      <w:r w:rsidRPr="00AC7763">
        <w:rPr>
          <w:rStyle w:val="FootnoteReference"/>
          <w:sz w:val="16"/>
          <w:szCs w:val="16"/>
        </w:rPr>
        <w:footnoteRef/>
      </w:r>
      <w:r w:rsidRPr="00AC7763">
        <w:rPr>
          <w:szCs w:val="16"/>
        </w:rPr>
        <w:t xml:space="preserve"> </w:t>
      </w:r>
      <w:r w:rsidRPr="00AC7763">
        <w:rPr>
          <w:rFonts w:cs="Arial"/>
          <w:szCs w:val="16"/>
        </w:rPr>
        <w:t>The Impact of Non-Financial Reporting, IFF-</w:t>
      </w:r>
      <w:proofErr w:type="spellStart"/>
      <w:r w:rsidRPr="00AC7763">
        <w:rPr>
          <w:rFonts w:cs="Arial"/>
          <w:szCs w:val="16"/>
        </w:rPr>
        <w:t>Belmana</w:t>
      </w:r>
      <w:proofErr w:type="spellEnd"/>
      <w:r w:rsidRPr="00AC7763">
        <w:rPr>
          <w:rFonts w:cs="Arial"/>
          <w:szCs w:val="16"/>
        </w:rPr>
        <w:t xml:space="preserve"> survey interim results, commissioned by the Department for Energy and Industrial Strategy in 2016. </w:t>
      </w:r>
      <w:r w:rsidRPr="00AC7763">
        <w:rPr>
          <w:rFonts w:cs="Arial"/>
          <w:spacing w:val="-5"/>
          <w:szCs w:val="16"/>
        </w:rPr>
        <w:t xml:space="preserve">This research is to be based on 400 </w:t>
      </w:r>
      <w:r w:rsidRPr="00AC7763">
        <w:rPr>
          <w:rFonts w:eastAsiaTheme="minorEastAsia" w:cs="Arial"/>
          <w:kern w:val="24"/>
          <w:szCs w:val="16"/>
        </w:rPr>
        <w:t>computer assisted telephone interviews (</w:t>
      </w:r>
      <w:r w:rsidRPr="00AC7763">
        <w:rPr>
          <w:rFonts w:cs="Arial"/>
          <w:spacing w:val="-5"/>
          <w:szCs w:val="16"/>
        </w:rPr>
        <w:t xml:space="preserve">CATI) of companies including quoted and unquoted PIEs. It is currently in its fieldwork stage but we have been able to draw on the interim findings to inform this IA. </w:t>
      </w:r>
      <w:r w:rsidRPr="00AC7763">
        <w:rPr>
          <w:rFonts w:cs="Arial"/>
          <w:szCs w:val="16"/>
        </w:rPr>
        <w:t>The interim results of the survey were provided in June 2016 and cover 285 companies, 60 of which are quoted companies.</w:t>
      </w:r>
    </w:p>
  </w:footnote>
  <w:footnote w:id="28">
    <w:p w14:paraId="16695970" w14:textId="77777777" w:rsidR="005E2729" w:rsidRPr="00C82045" w:rsidRDefault="005E2729" w:rsidP="00BC4067">
      <w:pPr>
        <w:pStyle w:val="NoSpacing"/>
        <w:jc w:val="both"/>
        <w:rPr>
          <w:rFonts w:cs="Arial"/>
          <w:sz w:val="18"/>
          <w:szCs w:val="18"/>
        </w:rPr>
      </w:pPr>
      <w:r w:rsidRPr="00C82045">
        <w:rPr>
          <w:rStyle w:val="FootnoteReference"/>
          <w:rFonts w:cs="Arial"/>
          <w:sz w:val="18"/>
          <w:szCs w:val="18"/>
        </w:rPr>
        <w:footnoteRef/>
      </w:r>
      <w:r w:rsidRPr="00C82045">
        <w:rPr>
          <w:rFonts w:cs="Arial"/>
          <w:sz w:val="18"/>
          <w:szCs w:val="18"/>
        </w:rPr>
        <w:t xml:space="preserve"> http://www.ey.com/GL/en/Services/Specialty-Services/Climate-Change-and-Sustainability-Services/EY-tomorrows-investment-rules-2</w:t>
      </w:r>
    </w:p>
  </w:footnote>
  <w:footnote w:id="29">
    <w:p w14:paraId="6298D415" w14:textId="77777777" w:rsidR="005E2729" w:rsidRPr="00C82045" w:rsidRDefault="005E2729" w:rsidP="00162A00">
      <w:pPr>
        <w:pStyle w:val="NoSpacing"/>
        <w:jc w:val="both"/>
        <w:rPr>
          <w:rFonts w:cs="Arial"/>
          <w:sz w:val="18"/>
          <w:szCs w:val="18"/>
        </w:rPr>
      </w:pPr>
      <w:r w:rsidRPr="00C82045">
        <w:rPr>
          <w:rStyle w:val="FootnoteReference"/>
          <w:rFonts w:cs="Arial"/>
          <w:sz w:val="18"/>
          <w:szCs w:val="18"/>
        </w:rPr>
        <w:footnoteRef/>
      </w:r>
      <w:r w:rsidRPr="00C82045">
        <w:rPr>
          <w:rFonts w:cs="Arial"/>
          <w:sz w:val="18"/>
          <w:szCs w:val="18"/>
        </w:rPr>
        <w:t xml:space="preserve"> https://www.unpri.org/news</w:t>
      </w:r>
    </w:p>
  </w:footnote>
  <w:footnote w:id="30">
    <w:p w14:paraId="1C0D24E3" w14:textId="77777777" w:rsidR="005E2729" w:rsidRPr="00C82045" w:rsidRDefault="005E2729" w:rsidP="008A0B24">
      <w:pPr>
        <w:pStyle w:val="NoSpacing"/>
        <w:jc w:val="both"/>
        <w:rPr>
          <w:rFonts w:cs="Arial"/>
          <w:sz w:val="18"/>
          <w:szCs w:val="18"/>
        </w:rPr>
      </w:pPr>
      <w:r w:rsidRPr="00C82045">
        <w:rPr>
          <w:rStyle w:val="FootnoteReference"/>
          <w:rFonts w:cs="Arial"/>
          <w:sz w:val="18"/>
          <w:szCs w:val="18"/>
        </w:rPr>
        <w:footnoteRef/>
      </w:r>
      <w:r w:rsidRPr="00C82045">
        <w:rPr>
          <w:rFonts w:cs="Arial"/>
          <w:sz w:val="18"/>
          <w:szCs w:val="18"/>
        </w:rPr>
        <w:t xml:space="preserve"> </w:t>
      </w:r>
      <w:proofErr w:type="gramStart"/>
      <w:r w:rsidRPr="00C82045">
        <w:rPr>
          <w:rFonts w:cs="Arial"/>
          <w:sz w:val="18"/>
          <w:szCs w:val="18"/>
        </w:rPr>
        <w:t xml:space="preserve">EU Impact </w:t>
      </w:r>
      <w:r>
        <w:rPr>
          <w:rFonts w:cs="Arial"/>
          <w:sz w:val="18"/>
          <w:szCs w:val="18"/>
        </w:rPr>
        <w:t>A</w:t>
      </w:r>
      <w:r w:rsidRPr="00C82045">
        <w:rPr>
          <w:rFonts w:cs="Arial"/>
          <w:sz w:val="18"/>
          <w:szCs w:val="18"/>
        </w:rPr>
        <w:t>ssessment, Proposal for a Directive of the European Parliament and of the council amending Council Directives 78/660/EEC and 83/349/EEC as regards disclosure of nonfinancial and diversity information by certain large companies and groups</w:t>
      </w:r>
      <w:r>
        <w:rPr>
          <w:rFonts w:cs="Arial"/>
          <w:sz w:val="18"/>
          <w:szCs w:val="18"/>
        </w:rPr>
        <w:t>.</w:t>
      </w:r>
      <w:proofErr w:type="gramEnd"/>
    </w:p>
  </w:footnote>
  <w:footnote w:id="31">
    <w:p w14:paraId="3F4CEA96" w14:textId="77777777" w:rsidR="005E2729" w:rsidRPr="009F7CD7" w:rsidRDefault="005E2729" w:rsidP="008A0B24">
      <w:pPr>
        <w:pStyle w:val="NoSpacing"/>
        <w:jc w:val="both"/>
        <w:rPr>
          <w:rFonts w:cs="Arial"/>
          <w:sz w:val="16"/>
          <w:szCs w:val="16"/>
        </w:rPr>
      </w:pPr>
      <w:r w:rsidRPr="009F7CD7">
        <w:rPr>
          <w:rFonts w:cs="Arial"/>
          <w:sz w:val="16"/>
          <w:szCs w:val="16"/>
        </w:rPr>
        <w:footnoteRef/>
      </w:r>
      <w:r w:rsidRPr="009F7CD7">
        <w:rPr>
          <w:rFonts w:cs="Arial"/>
          <w:sz w:val="16"/>
          <w:szCs w:val="16"/>
        </w:rPr>
        <w:t xml:space="preserve"> EU Impact assessment, Proposal for a Directive of the European Parliament and of the council amending Council Directives 78/660/EEC and 83/349/EEC as regards disclosure of nonfinancial and diversity information by certain large companies and groups</w:t>
      </w:r>
    </w:p>
  </w:footnote>
  <w:footnote w:id="32">
    <w:p w14:paraId="04D05955" w14:textId="77777777" w:rsidR="005E2729" w:rsidRPr="009F7CD7" w:rsidRDefault="005E2729" w:rsidP="00027216">
      <w:pPr>
        <w:pStyle w:val="NoSpacing"/>
        <w:jc w:val="both"/>
        <w:rPr>
          <w:rFonts w:cs="Arial"/>
          <w:sz w:val="16"/>
          <w:szCs w:val="16"/>
        </w:rPr>
      </w:pPr>
      <w:r w:rsidRPr="009F7CD7">
        <w:rPr>
          <w:rFonts w:cs="Arial"/>
          <w:sz w:val="16"/>
          <w:szCs w:val="16"/>
        </w:rPr>
        <w:footnoteRef/>
      </w:r>
      <w:r w:rsidRPr="009F7CD7">
        <w:rPr>
          <w:rFonts w:cs="Arial"/>
          <w:sz w:val="16"/>
          <w:szCs w:val="16"/>
        </w:rPr>
        <w:t xml:space="preserve"> IMPACT ASSESSMENT Accompanying the document Proposal for a DIRECTIVE OF THE EUROPEAN PARLIAMENT AND OF THE COUNCIL amending Council Directives 78/660/EEC and 83/349/EEC as regards disclosure of non-financial and diversity information by certain large companies and groups: Available at  http://eur-lex.europa.eu/legal-content/EN/ALL/?uri=CELEX:52013SC0127</w:t>
      </w:r>
    </w:p>
  </w:footnote>
  <w:footnote w:id="33">
    <w:p w14:paraId="47FFC761" w14:textId="77777777" w:rsidR="005E2729" w:rsidRPr="009F7CD7" w:rsidRDefault="005E2729" w:rsidP="00D763DE">
      <w:pPr>
        <w:pStyle w:val="CommentText"/>
        <w:spacing w:after="0"/>
        <w:jc w:val="both"/>
        <w:rPr>
          <w:rFonts w:ascii="Arial" w:hAnsi="Arial" w:cs="Arial"/>
          <w:sz w:val="16"/>
          <w:szCs w:val="16"/>
        </w:rPr>
      </w:pPr>
      <w:r w:rsidRPr="009F7CD7">
        <w:rPr>
          <w:rStyle w:val="FootnoteReference"/>
          <w:rFonts w:ascii="Arial" w:hAnsi="Arial" w:cs="Arial"/>
          <w:sz w:val="16"/>
          <w:szCs w:val="16"/>
        </w:rPr>
        <w:footnoteRef/>
      </w:r>
      <w:r w:rsidRPr="009F7CD7">
        <w:rPr>
          <w:rFonts w:ascii="Arial" w:hAnsi="Arial" w:cs="Arial"/>
          <w:sz w:val="16"/>
          <w:szCs w:val="16"/>
          <w:lang w:val="fr-CA"/>
        </w:rPr>
        <w:t xml:space="preserve"> NFR EU IA </w:t>
      </w:r>
      <w:hyperlink r:id="rId3" w:history="1">
        <w:r w:rsidRPr="009F7CD7">
          <w:rPr>
            <w:rStyle w:val="Hyperlink"/>
            <w:rFonts w:ascii="Arial" w:eastAsia="SimSun" w:hAnsi="Arial" w:cs="Arial"/>
            <w:sz w:val="16"/>
            <w:szCs w:val="16"/>
            <w:lang w:val="fr-CA"/>
          </w:rPr>
          <w:t>http://eur-lex.europa.eu/legal-content/EN/TXT/PDF/?uri=CELEX:52013SC0127&amp;from=EN</w:t>
        </w:r>
      </w:hyperlink>
    </w:p>
  </w:footnote>
  <w:footnote w:id="34">
    <w:p w14:paraId="3A90A23D" w14:textId="77777777" w:rsidR="005E2729" w:rsidRPr="009F7CD7" w:rsidRDefault="005E2729" w:rsidP="00BC4067">
      <w:pPr>
        <w:pStyle w:val="FootnoteText"/>
        <w:jc w:val="both"/>
        <w:rPr>
          <w:rFonts w:cs="Arial"/>
          <w:szCs w:val="16"/>
        </w:rPr>
      </w:pPr>
      <w:r w:rsidRPr="009F7CD7">
        <w:rPr>
          <w:rFonts w:cs="Arial"/>
          <w:szCs w:val="16"/>
        </w:rPr>
        <w:footnoteRef/>
      </w:r>
      <w:r w:rsidRPr="009F7CD7">
        <w:rPr>
          <w:rFonts w:cs="Arial"/>
          <w:szCs w:val="16"/>
        </w:rPr>
        <w:t xml:space="preserve"> "Corporate governance, board diversity, and firm value", Carter, </w:t>
      </w:r>
      <w:proofErr w:type="spellStart"/>
      <w:r w:rsidRPr="009F7CD7">
        <w:rPr>
          <w:rFonts w:cs="Arial"/>
          <w:szCs w:val="16"/>
        </w:rPr>
        <w:t>Simkins</w:t>
      </w:r>
      <w:proofErr w:type="spellEnd"/>
      <w:r w:rsidRPr="009F7CD7">
        <w:rPr>
          <w:rFonts w:cs="Arial"/>
          <w:szCs w:val="16"/>
        </w:rPr>
        <w:t xml:space="preserve"> and Simpson, 2003</w:t>
      </w:r>
    </w:p>
  </w:footnote>
  <w:footnote w:id="35">
    <w:p w14:paraId="59ACDB5F" w14:textId="77777777" w:rsidR="005E2729" w:rsidRPr="009F7CD7" w:rsidRDefault="005E2729" w:rsidP="00162A00">
      <w:pPr>
        <w:pStyle w:val="FootnoteText"/>
        <w:jc w:val="both"/>
        <w:rPr>
          <w:rFonts w:cs="Arial"/>
          <w:szCs w:val="16"/>
        </w:rPr>
      </w:pPr>
      <w:r w:rsidRPr="009F7CD7">
        <w:rPr>
          <w:rFonts w:cs="Arial"/>
          <w:szCs w:val="16"/>
        </w:rPr>
        <w:footnoteRef/>
      </w:r>
      <w:r w:rsidRPr="009F7CD7">
        <w:rPr>
          <w:rFonts w:cs="Arial"/>
          <w:szCs w:val="16"/>
        </w:rPr>
        <w:t xml:space="preserve"> "The Ultimate Glass Ceiling Revisited: the presence of women on corporate boards." </w:t>
      </w:r>
      <w:proofErr w:type="spellStart"/>
      <w:r w:rsidRPr="009F7CD7">
        <w:rPr>
          <w:rFonts w:cs="Arial"/>
          <w:szCs w:val="16"/>
        </w:rPr>
        <w:t>Arfken</w:t>
      </w:r>
      <w:proofErr w:type="spellEnd"/>
      <w:r w:rsidRPr="009F7CD7">
        <w:rPr>
          <w:rFonts w:cs="Arial"/>
          <w:szCs w:val="16"/>
        </w:rPr>
        <w:t xml:space="preserve">, </w:t>
      </w:r>
      <w:proofErr w:type="spellStart"/>
      <w:r w:rsidRPr="009F7CD7">
        <w:rPr>
          <w:rFonts w:cs="Arial"/>
          <w:szCs w:val="16"/>
        </w:rPr>
        <w:t>Bellar</w:t>
      </w:r>
      <w:proofErr w:type="spellEnd"/>
      <w:r w:rsidRPr="009F7CD7">
        <w:rPr>
          <w:rFonts w:cs="Arial"/>
          <w:szCs w:val="16"/>
        </w:rPr>
        <w:t xml:space="preserve"> and</w:t>
      </w:r>
      <w:r>
        <w:rPr>
          <w:rFonts w:cs="Arial"/>
          <w:szCs w:val="16"/>
        </w:rPr>
        <w:t xml:space="preserve"> </w:t>
      </w:r>
      <w:r w:rsidRPr="009F7CD7">
        <w:rPr>
          <w:rFonts w:cs="Arial"/>
          <w:szCs w:val="16"/>
        </w:rPr>
        <w:t>Helms, 2004</w:t>
      </w:r>
    </w:p>
  </w:footnote>
  <w:footnote w:id="36">
    <w:p w14:paraId="5768A3DA" w14:textId="77777777" w:rsidR="005E2729" w:rsidRPr="003E0BA9" w:rsidRDefault="005E2729" w:rsidP="00D763DE">
      <w:pPr>
        <w:pStyle w:val="FootnoteText"/>
        <w:jc w:val="both"/>
        <w:rPr>
          <w:szCs w:val="16"/>
        </w:rPr>
      </w:pPr>
      <w:r w:rsidRPr="003E0BA9">
        <w:rPr>
          <w:rStyle w:val="FootnoteReference"/>
          <w:sz w:val="16"/>
          <w:szCs w:val="16"/>
        </w:rPr>
        <w:footnoteRef/>
      </w:r>
      <w:r w:rsidRPr="003E0BA9">
        <w:rPr>
          <w:szCs w:val="16"/>
        </w:rPr>
        <w:t xml:space="preserve"> </w:t>
      </w:r>
      <w:r w:rsidRPr="003E0BA9">
        <w:rPr>
          <w:rFonts w:cs="Arial"/>
          <w:szCs w:val="16"/>
        </w:rPr>
        <w:t>The Impact of Non-Financial Reporting, IFF-</w:t>
      </w:r>
      <w:proofErr w:type="spellStart"/>
      <w:r w:rsidRPr="003E0BA9">
        <w:rPr>
          <w:rFonts w:cs="Arial"/>
          <w:szCs w:val="16"/>
        </w:rPr>
        <w:t>Belmana</w:t>
      </w:r>
      <w:proofErr w:type="spellEnd"/>
      <w:r w:rsidRPr="003E0BA9">
        <w:rPr>
          <w:rFonts w:cs="Arial"/>
          <w:szCs w:val="16"/>
        </w:rPr>
        <w:t xml:space="preserve"> survey interim results, commissioned by the Department for Energy and Industrial Strategy in 2016.</w:t>
      </w:r>
    </w:p>
  </w:footnote>
  <w:footnote w:id="37">
    <w:p w14:paraId="6462C1F4" w14:textId="77777777" w:rsidR="005E2729" w:rsidRPr="003E0BA9" w:rsidRDefault="005E2729" w:rsidP="00D763DE">
      <w:pPr>
        <w:pStyle w:val="FootnoteText"/>
        <w:jc w:val="both"/>
        <w:rPr>
          <w:szCs w:val="16"/>
        </w:rPr>
      </w:pPr>
      <w:r w:rsidRPr="003E0BA9">
        <w:rPr>
          <w:rStyle w:val="FootnoteReference"/>
          <w:sz w:val="16"/>
          <w:szCs w:val="16"/>
        </w:rPr>
        <w:footnoteRef/>
      </w:r>
      <w:r w:rsidRPr="003E0BA9">
        <w:rPr>
          <w:szCs w:val="16"/>
        </w:rPr>
        <w:t xml:space="preserve"> </w:t>
      </w:r>
      <w:r w:rsidRPr="003E0BA9">
        <w:rPr>
          <w:rFonts w:cs="Arial"/>
          <w:szCs w:val="16"/>
        </w:rPr>
        <w:t>These are companies with equity traded on an EU regulated exchange</w:t>
      </w:r>
      <w:r>
        <w:rPr>
          <w:rFonts w:cs="Arial"/>
          <w:szCs w:val="16"/>
        </w:rPr>
        <w:t xml:space="preserve"> but</w:t>
      </w:r>
      <w:r w:rsidRPr="003E0BA9">
        <w:rPr>
          <w:rFonts w:cs="Arial"/>
          <w:szCs w:val="16"/>
        </w:rPr>
        <w:t xml:space="preserve"> who have fewer than 500 employees</w:t>
      </w:r>
      <w:r>
        <w:rPr>
          <w:rFonts w:cs="Arial"/>
          <w:szCs w:val="16"/>
        </w:rPr>
        <w:t xml:space="preserve"> and as a result are excluded from the scope of the NFRD</w:t>
      </w:r>
      <w:r w:rsidRPr="003E0BA9">
        <w:rPr>
          <w:rFonts w:cs="Arial"/>
          <w:szCs w:val="16"/>
        </w:rPr>
        <w:t>.</w:t>
      </w:r>
    </w:p>
  </w:footnote>
  <w:footnote w:id="38">
    <w:p w14:paraId="3BB78CBA" w14:textId="77777777" w:rsidR="005E2729" w:rsidRPr="00C82045" w:rsidRDefault="005E2729" w:rsidP="00BC4067">
      <w:pPr>
        <w:pStyle w:val="NoSpacing"/>
        <w:jc w:val="both"/>
        <w:rPr>
          <w:rFonts w:cs="Arial"/>
          <w:sz w:val="18"/>
          <w:szCs w:val="18"/>
        </w:rPr>
      </w:pPr>
      <w:r w:rsidRPr="00C82045">
        <w:rPr>
          <w:rStyle w:val="FootnoteReference"/>
          <w:rFonts w:cs="Arial"/>
          <w:sz w:val="18"/>
          <w:szCs w:val="18"/>
        </w:rPr>
        <w:footnoteRef/>
      </w:r>
      <w:r w:rsidRPr="00C82045">
        <w:rPr>
          <w:rFonts w:cs="Arial"/>
          <w:sz w:val="18"/>
          <w:szCs w:val="18"/>
        </w:rPr>
        <w:t xml:space="preserve"> </w:t>
      </w:r>
      <w:r w:rsidRPr="003E0BA9">
        <w:rPr>
          <w:rFonts w:cs="Arial"/>
          <w:sz w:val="16"/>
          <w:szCs w:val="16"/>
        </w:rPr>
        <w:t>The Impact of Non-Financial Reporting, IFF-</w:t>
      </w:r>
      <w:proofErr w:type="spellStart"/>
      <w:r w:rsidRPr="003E0BA9">
        <w:rPr>
          <w:rFonts w:cs="Arial"/>
          <w:sz w:val="16"/>
          <w:szCs w:val="16"/>
        </w:rPr>
        <w:t>Belmana</w:t>
      </w:r>
      <w:proofErr w:type="spellEnd"/>
      <w:r w:rsidRPr="003E0BA9">
        <w:rPr>
          <w:rFonts w:cs="Arial"/>
          <w:sz w:val="16"/>
          <w:szCs w:val="16"/>
        </w:rPr>
        <w:t xml:space="preserve"> survey interim results, commissioned by the Department for Energy and Industrial Strategy in 2016.</w:t>
      </w:r>
    </w:p>
  </w:footnote>
  <w:footnote w:id="39">
    <w:p w14:paraId="0B9E824E" w14:textId="77777777" w:rsidR="005E2729" w:rsidRPr="00C82045" w:rsidRDefault="005E2729" w:rsidP="00BC4067">
      <w:pPr>
        <w:pStyle w:val="NoSpacing"/>
        <w:jc w:val="both"/>
        <w:rPr>
          <w:rFonts w:cs="Arial"/>
          <w:sz w:val="18"/>
          <w:szCs w:val="18"/>
        </w:rPr>
      </w:pPr>
      <w:r w:rsidRPr="00C82045">
        <w:rPr>
          <w:rStyle w:val="FootnoteReference"/>
          <w:rFonts w:cs="Arial"/>
          <w:sz w:val="18"/>
          <w:szCs w:val="18"/>
        </w:rPr>
        <w:footnoteRef/>
      </w:r>
      <w:r w:rsidRPr="00C82045">
        <w:rPr>
          <w:rFonts w:cs="Arial"/>
          <w:sz w:val="18"/>
          <w:szCs w:val="18"/>
        </w:rPr>
        <w:t xml:space="preserve"> </w:t>
      </w:r>
      <w:hyperlink r:id="rId4" w:history="1">
        <w:r w:rsidRPr="00C82045">
          <w:rPr>
            <w:rStyle w:val="Hyperlink"/>
            <w:rFonts w:cs="Arial"/>
            <w:sz w:val="18"/>
            <w:szCs w:val="18"/>
          </w:rPr>
          <w:t>https://www.gov.uk/government/uploads/system/uploads/attachment_data/file/468831/bis-13-1038-Better-regulation-framework-manual.pdf</w:t>
        </w:r>
      </w:hyperlink>
      <w:r w:rsidRPr="00C82045">
        <w:rPr>
          <w:rFonts w:cs="Arial"/>
          <w:sz w:val="18"/>
          <w:szCs w:val="18"/>
        </w:rPr>
        <w:t xml:space="preserve"> </w:t>
      </w:r>
    </w:p>
  </w:footnote>
  <w:footnote w:id="40">
    <w:p w14:paraId="5AF9AFCB" w14:textId="77777777" w:rsidR="005E2729" w:rsidRPr="001F065E" w:rsidRDefault="005E2729" w:rsidP="00BC4067">
      <w:pPr>
        <w:autoSpaceDE w:val="0"/>
        <w:autoSpaceDN w:val="0"/>
        <w:adjustRightInd w:val="0"/>
        <w:jc w:val="both"/>
        <w:rPr>
          <w:rFonts w:cs="Arial"/>
          <w:sz w:val="18"/>
          <w:szCs w:val="18"/>
          <w:lang w:eastAsia="en-GB"/>
        </w:rPr>
      </w:pPr>
      <w:r w:rsidRPr="001F065E">
        <w:rPr>
          <w:rStyle w:val="FootnoteReference"/>
          <w:rFonts w:cs="Arial"/>
          <w:sz w:val="18"/>
          <w:szCs w:val="18"/>
        </w:rPr>
        <w:footnoteRef/>
      </w:r>
      <w:r w:rsidRPr="001F065E">
        <w:rPr>
          <w:rFonts w:cs="Arial"/>
          <w:sz w:val="18"/>
          <w:szCs w:val="18"/>
        </w:rPr>
        <w:t xml:space="preserve"> </w:t>
      </w:r>
      <w:r w:rsidRPr="001F065E">
        <w:rPr>
          <w:rFonts w:cs="Arial"/>
          <w:sz w:val="18"/>
          <w:szCs w:val="18"/>
          <w:lang w:eastAsia="en-GB"/>
        </w:rPr>
        <w:t>DWP (2014), The Family Test: Guidance for Government Departments,</w:t>
      </w:r>
    </w:p>
    <w:p w14:paraId="37D9E732" w14:textId="77777777" w:rsidR="005E2729" w:rsidRPr="001F065E" w:rsidRDefault="007771D9" w:rsidP="00162A00">
      <w:pPr>
        <w:pStyle w:val="FootnoteText"/>
        <w:jc w:val="both"/>
        <w:rPr>
          <w:rFonts w:cs="Arial"/>
          <w:sz w:val="18"/>
          <w:szCs w:val="18"/>
        </w:rPr>
      </w:pPr>
      <w:hyperlink r:id="rId5" w:history="1">
        <w:r w:rsidR="005E2729" w:rsidRPr="001F065E">
          <w:rPr>
            <w:rStyle w:val="Hyperlink"/>
            <w:rFonts w:cs="Arial"/>
            <w:sz w:val="18"/>
            <w:szCs w:val="18"/>
            <w:lang w:eastAsia="en-GB"/>
          </w:rPr>
          <w:t>https://www.gov.uk/government/uploads/system/uploads/attachment_data/file/368894/family-test-guidance.pdf</w:t>
        </w:r>
      </w:hyperlink>
      <w:r w:rsidR="005E2729" w:rsidRPr="001F065E">
        <w:rPr>
          <w:rFonts w:cs="Arial"/>
          <w:sz w:val="18"/>
          <w:szCs w:val="18"/>
          <w:lang w:eastAsia="en-GB"/>
        </w:rPr>
        <w:t xml:space="preserve"> </w:t>
      </w:r>
    </w:p>
  </w:footnote>
  <w:footnote w:id="41">
    <w:p w14:paraId="3D874AF2" w14:textId="77777777" w:rsidR="005E2729" w:rsidRPr="00C82045" w:rsidRDefault="005E2729" w:rsidP="00162A00">
      <w:pPr>
        <w:pStyle w:val="NoSpacing"/>
        <w:jc w:val="both"/>
        <w:rPr>
          <w:rFonts w:cs="Arial"/>
          <w:sz w:val="18"/>
          <w:szCs w:val="18"/>
        </w:rPr>
      </w:pPr>
      <w:r w:rsidRPr="00C82045">
        <w:rPr>
          <w:rStyle w:val="FootnoteReference"/>
          <w:rFonts w:cs="Arial"/>
          <w:sz w:val="18"/>
          <w:szCs w:val="18"/>
        </w:rPr>
        <w:footnoteRef/>
      </w:r>
      <w:r w:rsidRPr="00C82045">
        <w:rPr>
          <w:rFonts w:cs="Arial"/>
          <w:sz w:val="18"/>
          <w:szCs w:val="18"/>
        </w:rPr>
        <w:t xml:space="preserve"> </w:t>
      </w:r>
      <w:r w:rsidRPr="003E0BA9">
        <w:rPr>
          <w:rFonts w:cs="Arial"/>
          <w:sz w:val="16"/>
          <w:szCs w:val="16"/>
        </w:rPr>
        <w:t>The Impact of Non-Financial Reporting, IFF-</w:t>
      </w:r>
      <w:proofErr w:type="spellStart"/>
      <w:r w:rsidRPr="003E0BA9">
        <w:rPr>
          <w:rFonts w:cs="Arial"/>
          <w:sz w:val="16"/>
          <w:szCs w:val="16"/>
        </w:rPr>
        <w:t>Belmana</w:t>
      </w:r>
      <w:proofErr w:type="spellEnd"/>
      <w:r w:rsidRPr="003E0BA9">
        <w:rPr>
          <w:rFonts w:cs="Arial"/>
          <w:sz w:val="16"/>
          <w:szCs w:val="16"/>
        </w:rPr>
        <w:t xml:space="preserve"> survey interim results, commissioned by the Department for Energy and Industrial Strategy in 2016.</w:t>
      </w:r>
    </w:p>
  </w:footnote>
  <w:footnote w:id="42">
    <w:p w14:paraId="0A530155" w14:textId="77777777" w:rsidR="005E2729" w:rsidRPr="00C82045" w:rsidRDefault="005E2729" w:rsidP="00162A00">
      <w:pPr>
        <w:pStyle w:val="NoSpacing"/>
        <w:jc w:val="both"/>
        <w:rPr>
          <w:rFonts w:cs="Arial"/>
          <w:sz w:val="18"/>
          <w:szCs w:val="18"/>
        </w:rPr>
      </w:pPr>
      <w:r w:rsidRPr="00C82045">
        <w:rPr>
          <w:rStyle w:val="FootnoteReference"/>
          <w:rFonts w:cs="Arial"/>
          <w:sz w:val="18"/>
          <w:szCs w:val="18"/>
        </w:rPr>
        <w:footnoteRef/>
      </w:r>
      <w:r w:rsidRPr="00C82045">
        <w:rPr>
          <w:rFonts w:cs="Arial"/>
          <w:sz w:val="18"/>
          <w:szCs w:val="18"/>
        </w:rPr>
        <w:t xml:space="preserve"> </w:t>
      </w:r>
      <w:r w:rsidRPr="003E0BA9">
        <w:rPr>
          <w:rFonts w:cs="Arial"/>
          <w:sz w:val="16"/>
          <w:szCs w:val="16"/>
        </w:rPr>
        <w:t>The Impact of Non-Financial Reporting, IFF-</w:t>
      </w:r>
      <w:proofErr w:type="spellStart"/>
      <w:r w:rsidRPr="003E0BA9">
        <w:rPr>
          <w:rFonts w:cs="Arial"/>
          <w:sz w:val="16"/>
          <w:szCs w:val="16"/>
        </w:rPr>
        <w:t>Belmana</w:t>
      </w:r>
      <w:proofErr w:type="spellEnd"/>
      <w:r w:rsidRPr="003E0BA9">
        <w:rPr>
          <w:rFonts w:cs="Arial"/>
          <w:sz w:val="16"/>
          <w:szCs w:val="16"/>
        </w:rPr>
        <w:t xml:space="preserve"> survey interim results, commissioned by the Department for Energy and Industrial Strategy in 2016.</w:t>
      </w:r>
    </w:p>
  </w:footnote>
  <w:footnote w:id="43">
    <w:p w14:paraId="2D66BE12" w14:textId="77777777" w:rsidR="00FB03EF" w:rsidRDefault="00FB03EF">
      <w:pPr>
        <w:pStyle w:val="FootnoteText"/>
      </w:pPr>
      <w:r>
        <w:rPr>
          <w:rStyle w:val="FootnoteReference"/>
        </w:rPr>
        <w:footnoteRef/>
      </w:r>
      <w:r>
        <w:t xml:space="preserve"> </w:t>
      </w:r>
      <w:r w:rsidR="003A61DA">
        <w:t xml:space="preserve">The tables show two rows for quoted companies under option 3. The first has estimates of the number of companies affected under the </w:t>
      </w:r>
      <w:r w:rsidR="009E1DD7">
        <w:t>minimum requirements</w:t>
      </w:r>
      <w:r w:rsidR="003A61DA">
        <w:t xml:space="preserve"> and the second row has estimates of the numbers of additional companies that would be affected under this option. </w:t>
      </w:r>
    </w:p>
  </w:footnote>
  <w:footnote w:id="44">
    <w:p w14:paraId="5996881D" w14:textId="77777777" w:rsidR="005E2729" w:rsidRPr="001F065E" w:rsidRDefault="005E2729" w:rsidP="00D763DE">
      <w:pPr>
        <w:pStyle w:val="FootnoteText"/>
        <w:jc w:val="both"/>
        <w:rPr>
          <w:rFonts w:cs="Arial"/>
          <w:sz w:val="18"/>
          <w:szCs w:val="18"/>
        </w:rPr>
      </w:pPr>
      <w:r w:rsidRPr="001F065E">
        <w:rPr>
          <w:rStyle w:val="FootnoteReference"/>
          <w:rFonts w:cs="Arial"/>
          <w:sz w:val="18"/>
          <w:szCs w:val="18"/>
        </w:rPr>
        <w:footnoteRef/>
      </w:r>
      <w:r w:rsidRPr="001F065E">
        <w:rPr>
          <w:rFonts w:cs="Arial"/>
          <w:sz w:val="18"/>
          <w:szCs w:val="18"/>
        </w:rPr>
        <w:t xml:space="preserve"> Because it is assumed that complying with regulatory requirements will be done in work time – displacing business as usual tasks.</w:t>
      </w:r>
    </w:p>
  </w:footnote>
  <w:footnote w:id="45">
    <w:p w14:paraId="7EF096A0" w14:textId="77777777" w:rsidR="005E2729" w:rsidRPr="00C82045" w:rsidRDefault="005E2729" w:rsidP="00D763DE">
      <w:pPr>
        <w:pStyle w:val="NoSpacing"/>
        <w:jc w:val="both"/>
        <w:rPr>
          <w:rFonts w:cs="Arial"/>
          <w:sz w:val="18"/>
          <w:szCs w:val="18"/>
        </w:rPr>
      </w:pPr>
      <w:r w:rsidRPr="00C82045">
        <w:rPr>
          <w:rStyle w:val="FootnoteReference"/>
          <w:rFonts w:cs="Arial"/>
          <w:sz w:val="18"/>
          <w:szCs w:val="18"/>
        </w:rPr>
        <w:footnoteRef/>
      </w:r>
      <w:hyperlink r:id="rId6" w:history="1">
        <w:r w:rsidRPr="00C82045">
          <w:rPr>
            <w:rStyle w:val="Hyperlink"/>
            <w:rFonts w:cs="Arial"/>
            <w:sz w:val="18"/>
            <w:szCs w:val="18"/>
          </w:rPr>
          <w:t>http://www.ons.gov.uk/employmentandlabourmarket/peopleinwork/earningsandworkinghours/datasets/occupation2digitsocashetable2</w:t>
        </w:r>
      </w:hyperlink>
    </w:p>
  </w:footnote>
  <w:footnote w:id="46">
    <w:p w14:paraId="6ECF6D03" w14:textId="77777777" w:rsidR="005E2729" w:rsidRPr="00C82045" w:rsidRDefault="005E2729" w:rsidP="00D763DE">
      <w:pPr>
        <w:pStyle w:val="NoSpacing"/>
        <w:jc w:val="both"/>
        <w:rPr>
          <w:rFonts w:cs="Arial"/>
          <w:sz w:val="18"/>
          <w:szCs w:val="18"/>
        </w:rPr>
      </w:pPr>
      <w:r w:rsidRPr="00C82045">
        <w:rPr>
          <w:rStyle w:val="FootnoteReference"/>
          <w:rFonts w:cs="Arial"/>
          <w:sz w:val="18"/>
          <w:szCs w:val="18"/>
        </w:rPr>
        <w:footnoteRef/>
      </w:r>
      <w:r w:rsidRPr="00C82045">
        <w:rPr>
          <w:rFonts w:cs="Arial"/>
          <w:sz w:val="18"/>
          <w:szCs w:val="18"/>
        </w:rPr>
        <w:t xml:space="preserve"> </w:t>
      </w:r>
      <w:hyperlink r:id="rId7" w:history="1">
        <w:r w:rsidRPr="00C82045">
          <w:rPr>
            <w:rStyle w:val="Hyperlink"/>
            <w:rFonts w:cs="Arial"/>
            <w:sz w:val="18"/>
            <w:szCs w:val="18"/>
          </w:rPr>
          <w:t>http://ec.europa.eu/eurostat/statistics-explained/index.php/File:Labour_costs_per_hour_in_EUR,_2004-2015_whole_economy_excluding_agriculture_and_public_administration.png</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A6530A" w14:textId="77777777" w:rsidR="005E2729" w:rsidRDefault="005E2729">
    <w:pPr>
      <w:pStyle w:val="Header"/>
    </w:pPr>
    <w:r>
      <w:fldChar w:fldCharType="begin"/>
    </w:r>
    <w:r>
      <w:instrText xml:space="preserve"> DOCPROPERTY  Classification  \* MERGEFORMAT </w:instrTex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1B6CBF" w14:textId="77777777" w:rsidR="005E2729" w:rsidRDefault="005E2729"/>
  <w:p w14:paraId="5527B620" w14:textId="77777777" w:rsidR="005E2729" w:rsidRDefault="005E2729"/>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C02EAC8"/>
    <w:lvl w:ilvl="0">
      <w:start w:val="1"/>
      <w:numFmt w:val="decimal"/>
      <w:lvlText w:val="%1."/>
      <w:lvlJc w:val="left"/>
      <w:pPr>
        <w:tabs>
          <w:tab w:val="num" w:pos="1492"/>
        </w:tabs>
        <w:ind w:left="1492" w:hanging="360"/>
      </w:pPr>
    </w:lvl>
  </w:abstractNum>
  <w:abstractNum w:abstractNumId="1">
    <w:nsid w:val="FFFFFF7D"/>
    <w:multiLevelType w:val="singleLevel"/>
    <w:tmpl w:val="3438C8F0"/>
    <w:lvl w:ilvl="0">
      <w:start w:val="1"/>
      <w:numFmt w:val="decimal"/>
      <w:lvlText w:val="%1."/>
      <w:lvlJc w:val="left"/>
      <w:pPr>
        <w:tabs>
          <w:tab w:val="num" w:pos="1209"/>
        </w:tabs>
        <w:ind w:left="1209" w:hanging="360"/>
      </w:pPr>
    </w:lvl>
  </w:abstractNum>
  <w:abstractNum w:abstractNumId="2">
    <w:nsid w:val="FFFFFF7E"/>
    <w:multiLevelType w:val="singleLevel"/>
    <w:tmpl w:val="D742A838"/>
    <w:lvl w:ilvl="0">
      <w:start w:val="1"/>
      <w:numFmt w:val="decimal"/>
      <w:lvlText w:val="%1."/>
      <w:lvlJc w:val="left"/>
      <w:pPr>
        <w:tabs>
          <w:tab w:val="num" w:pos="926"/>
        </w:tabs>
        <w:ind w:left="926" w:hanging="360"/>
      </w:pPr>
    </w:lvl>
  </w:abstractNum>
  <w:abstractNum w:abstractNumId="3">
    <w:nsid w:val="FFFFFF7F"/>
    <w:multiLevelType w:val="singleLevel"/>
    <w:tmpl w:val="23A4D59C"/>
    <w:lvl w:ilvl="0">
      <w:start w:val="1"/>
      <w:numFmt w:val="decimal"/>
      <w:lvlText w:val="%1."/>
      <w:lvlJc w:val="left"/>
      <w:pPr>
        <w:tabs>
          <w:tab w:val="num" w:pos="643"/>
        </w:tabs>
        <w:ind w:left="643" w:hanging="360"/>
      </w:pPr>
    </w:lvl>
  </w:abstractNum>
  <w:abstractNum w:abstractNumId="4">
    <w:nsid w:val="FFFFFF80"/>
    <w:multiLevelType w:val="singleLevel"/>
    <w:tmpl w:val="ACBC2C1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2A7E6D1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649C09E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1DE075D6"/>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1B587AE4"/>
    <w:lvl w:ilvl="0">
      <w:start w:val="1"/>
      <w:numFmt w:val="decimal"/>
      <w:lvlText w:val="%1."/>
      <w:lvlJc w:val="left"/>
      <w:pPr>
        <w:tabs>
          <w:tab w:val="num" w:pos="360"/>
        </w:tabs>
        <w:ind w:left="360" w:hanging="360"/>
      </w:pPr>
    </w:lvl>
  </w:abstractNum>
  <w:abstractNum w:abstractNumId="9">
    <w:nsid w:val="FFFFFF89"/>
    <w:multiLevelType w:val="singleLevel"/>
    <w:tmpl w:val="9644316A"/>
    <w:lvl w:ilvl="0">
      <w:start w:val="1"/>
      <w:numFmt w:val="bullet"/>
      <w:lvlText w:val=""/>
      <w:lvlJc w:val="left"/>
      <w:pPr>
        <w:tabs>
          <w:tab w:val="num" w:pos="360"/>
        </w:tabs>
        <w:ind w:left="360" w:hanging="360"/>
      </w:pPr>
      <w:rPr>
        <w:rFonts w:ascii="Symbol" w:hAnsi="Symbol" w:hint="default"/>
      </w:rPr>
    </w:lvl>
  </w:abstractNum>
  <w:abstractNum w:abstractNumId="10">
    <w:nsid w:val="001131D5"/>
    <w:multiLevelType w:val="multilevel"/>
    <w:tmpl w:val="7E8654E2"/>
    <w:lvl w:ilvl="0">
      <w:start w:val="1"/>
      <w:numFmt w:val="decimal"/>
      <w:lvlText w:val="%1"/>
      <w:lvlJc w:val="left"/>
      <w:pPr>
        <w:tabs>
          <w:tab w:val="num" w:pos="0"/>
        </w:tabs>
        <w:ind w:left="0"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10C61C4"/>
    <w:multiLevelType w:val="hybridMultilevel"/>
    <w:tmpl w:val="134820A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nsid w:val="0138618C"/>
    <w:multiLevelType w:val="hybridMultilevel"/>
    <w:tmpl w:val="CC4893A8"/>
    <w:lvl w:ilvl="0" w:tplc="71542488">
      <w:numFmt w:val="bullet"/>
      <w:lvlText w:val="-"/>
      <w:lvlJc w:val="left"/>
      <w:pPr>
        <w:ind w:left="720" w:hanging="360"/>
      </w:pPr>
      <w:rPr>
        <w:rFonts w:ascii="Calibri" w:eastAsia="Times New Roman" w:hAnsi="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01960630"/>
    <w:multiLevelType w:val="hybridMultilevel"/>
    <w:tmpl w:val="283AC01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nsid w:val="0AAB01D5"/>
    <w:multiLevelType w:val="hybridMultilevel"/>
    <w:tmpl w:val="DB7CE7DE"/>
    <w:lvl w:ilvl="0" w:tplc="AFDC0560">
      <w:start w:val="1"/>
      <w:numFmt w:val="decimal"/>
      <w:lvlText w:val="%1."/>
      <w:lvlJc w:val="left"/>
      <w:pPr>
        <w:ind w:left="720" w:hanging="360"/>
      </w:pPr>
      <w:rPr>
        <w:rFonts w:ascii="Arial" w:eastAsia="Times New Roman" w:hAnsi="Arial" w:cs="Arial"/>
        <w:b/>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5">
    <w:nsid w:val="0C345AEA"/>
    <w:multiLevelType w:val="hybridMultilevel"/>
    <w:tmpl w:val="917CAD5A"/>
    <w:lvl w:ilvl="0" w:tplc="F89E7910">
      <w:start w:val="1"/>
      <w:numFmt w:val="upperLetter"/>
      <w:lvlText w:val="%1)"/>
      <w:lvlJc w:val="left"/>
      <w:pPr>
        <w:ind w:left="720" w:hanging="360"/>
      </w:pPr>
      <w:rPr>
        <w:rFonts w:cs="Times New Roman" w:hint="default"/>
        <w:b/>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6">
    <w:nsid w:val="1A2943E7"/>
    <w:multiLevelType w:val="multilevel"/>
    <w:tmpl w:val="3604C19E"/>
    <w:lvl w:ilvl="0">
      <w:start w:val="1"/>
      <w:numFmt w:val="bullet"/>
      <w:lvlText w:val=""/>
      <w:lvlJc w:val="left"/>
      <w:pPr>
        <w:tabs>
          <w:tab w:val="num" w:pos="284"/>
        </w:tabs>
        <w:ind w:left="284" w:hanging="284"/>
      </w:pPr>
      <w:rPr>
        <w:rFonts w:ascii="Wingdings" w:hAnsi="Wingdings" w:hint="default"/>
      </w:rPr>
    </w:lvl>
    <w:lvl w:ilvl="1">
      <w:start w:val="1"/>
      <w:numFmt w:val="bullet"/>
      <w:lvlText w:val=""/>
      <w:lvlJc w:val="left"/>
      <w:pPr>
        <w:tabs>
          <w:tab w:val="num" w:pos="567"/>
        </w:tabs>
        <w:ind w:left="567" w:hanging="283"/>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7">
    <w:nsid w:val="1E9749AC"/>
    <w:multiLevelType w:val="hybridMultilevel"/>
    <w:tmpl w:val="8CB45A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1FCF7691"/>
    <w:multiLevelType w:val="hybridMultilevel"/>
    <w:tmpl w:val="F48AE97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nsid w:val="2576687E"/>
    <w:multiLevelType w:val="hybridMultilevel"/>
    <w:tmpl w:val="132E2E6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nsid w:val="2A217B1D"/>
    <w:multiLevelType w:val="hybridMultilevel"/>
    <w:tmpl w:val="B7F011D8"/>
    <w:lvl w:ilvl="0" w:tplc="08090001">
      <w:start w:val="1"/>
      <w:numFmt w:val="bullet"/>
      <w:lvlText w:val=""/>
      <w:lvlJc w:val="left"/>
      <w:pPr>
        <w:ind w:left="473" w:hanging="360"/>
      </w:pPr>
      <w:rPr>
        <w:rFonts w:ascii="Symbol" w:hAnsi="Symbol" w:hint="default"/>
      </w:rPr>
    </w:lvl>
    <w:lvl w:ilvl="1" w:tplc="08090003" w:tentative="1">
      <w:start w:val="1"/>
      <w:numFmt w:val="bullet"/>
      <w:lvlText w:val="o"/>
      <w:lvlJc w:val="left"/>
      <w:pPr>
        <w:ind w:left="1193" w:hanging="360"/>
      </w:pPr>
      <w:rPr>
        <w:rFonts w:ascii="Courier New" w:hAnsi="Courier New" w:cs="Courier New" w:hint="default"/>
      </w:rPr>
    </w:lvl>
    <w:lvl w:ilvl="2" w:tplc="08090005" w:tentative="1">
      <w:start w:val="1"/>
      <w:numFmt w:val="bullet"/>
      <w:lvlText w:val=""/>
      <w:lvlJc w:val="left"/>
      <w:pPr>
        <w:ind w:left="1913" w:hanging="360"/>
      </w:pPr>
      <w:rPr>
        <w:rFonts w:ascii="Wingdings" w:hAnsi="Wingdings" w:hint="default"/>
      </w:rPr>
    </w:lvl>
    <w:lvl w:ilvl="3" w:tplc="08090001" w:tentative="1">
      <w:start w:val="1"/>
      <w:numFmt w:val="bullet"/>
      <w:lvlText w:val=""/>
      <w:lvlJc w:val="left"/>
      <w:pPr>
        <w:ind w:left="2633" w:hanging="360"/>
      </w:pPr>
      <w:rPr>
        <w:rFonts w:ascii="Symbol" w:hAnsi="Symbol" w:hint="default"/>
      </w:rPr>
    </w:lvl>
    <w:lvl w:ilvl="4" w:tplc="08090003" w:tentative="1">
      <w:start w:val="1"/>
      <w:numFmt w:val="bullet"/>
      <w:lvlText w:val="o"/>
      <w:lvlJc w:val="left"/>
      <w:pPr>
        <w:ind w:left="3353" w:hanging="360"/>
      </w:pPr>
      <w:rPr>
        <w:rFonts w:ascii="Courier New" w:hAnsi="Courier New" w:cs="Courier New" w:hint="default"/>
      </w:rPr>
    </w:lvl>
    <w:lvl w:ilvl="5" w:tplc="08090005" w:tentative="1">
      <w:start w:val="1"/>
      <w:numFmt w:val="bullet"/>
      <w:lvlText w:val=""/>
      <w:lvlJc w:val="left"/>
      <w:pPr>
        <w:ind w:left="4073" w:hanging="360"/>
      </w:pPr>
      <w:rPr>
        <w:rFonts w:ascii="Wingdings" w:hAnsi="Wingdings" w:hint="default"/>
      </w:rPr>
    </w:lvl>
    <w:lvl w:ilvl="6" w:tplc="08090001" w:tentative="1">
      <w:start w:val="1"/>
      <w:numFmt w:val="bullet"/>
      <w:lvlText w:val=""/>
      <w:lvlJc w:val="left"/>
      <w:pPr>
        <w:ind w:left="4793" w:hanging="360"/>
      </w:pPr>
      <w:rPr>
        <w:rFonts w:ascii="Symbol" w:hAnsi="Symbol" w:hint="default"/>
      </w:rPr>
    </w:lvl>
    <w:lvl w:ilvl="7" w:tplc="08090003" w:tentative="1">
      <w:start w:val="1"/>
      <w:numFmt w:val="bullet"/>
      <w:lvlText w:val="o"/>
      <w:lvlJc w:val="left"/>
      <w:pPr>
        <w:ind w:left="5513" w:hanging="360"/>
      </w:pPr>
      <w:rPr>
        <w:rFonts w:ascii="Courier New" w:hAnsi="Courier New" w:cs="Courier New" w:hint="default"/>
      </w:rPr>
    </w:lvl>
    <w:lvl w:ilvl="8" w:tplc="08090005" w:tentative="1">
      <w:start w:val="1"/>
      <w:numFmt w:val="bullet"/>
      <w:lvlText w:val=""/>
      <w:lvlJc w:val="left"/>
      <w:pPr>
        <w:ind w:left="6233" w:hanging="360"/>
      </w:pPr>
      <w:rPr>
        <w:rFonts w:ascii="Wingdings" w:hAnsi="Wingdings" w:hint="default"/>
      </w:rPr>
    </w:lvl>
  </w:abstractNum>
  <w:abstractNum w:abstractNumId="21">
    <w:nsid w:val="2ABE06F6"/>
    <w:multiLevelType w:val="multilevel"/>
    <w:tmpl w:val="5D1EC4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2">
    <w:nsid w:val="2B3F39F8"/>
    <w:multiLevelType w:val="multilevel"/>
    <w:tmpl w:val="130ADDBA"/>
    <w:lvl w:ilvl="0">
      <w:start w:val="1"/>
      <w:numFmt w:val="bullet"/>
      <w:pStyle w:val="EBBullet"/>
      <w:lvlText w:val=""/>
      <w:lvlJc w:val="left"/>
      <w:pPr>
        <w:tabs>
          <w:tab w:val="num" w:pos="284"/>
        </w:tabs>
        <w:ind w:left="284" w:hanging="284"/>
      </w:pPr>
      <w:rPr>
        <w:rFonts w:ascii="Symbol" w:hAnsi="Symbol" w:hint="default"/>
      </w:rPr>
    </w:lvl>
    <w:lvl w:ilvl="1">
      <w:start w:val="1"/>
      <w:numFmt w:val="bullet"/>
      <w:lvlText w:val=""/>
      <w:lvlJc w:val="left"/>
      <w:pPr>
        <w:tabs>
          <w:tab w:val="num" w:pos="567"/>
        </w:tabs>
        <w:ind w:left="567" w:hanging="283"/>
      </w:pPr>
      <w:rPr>
        <w:rFonts w:ascii="Symbol" w:hAnsi="Symbol"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3">
    <w:nsid w:val="2E053639"/>
    <w:multiLevelType w:val="hybridMultilevel"/>
    <w:tmpl w:val="C962590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nsid w:val="2FD9553D"/>
    <w:multiLevelType w:val="hybridMultilevel"/>
    <w:tmpl w:val="B066B93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nsid w:val="303B146B"/>
    <w:multiLevelType w:val="hybridMultilevel"/>
    <w:tmpl w:val="E35015B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nsid w:val="31820482"/>
    <w:multiLevelType w:val="hybridMultilevel"/>
    <w:tmpl w:val="3A10EF4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nsid w:val="340609DA"/>
    <w:multiLevelType w:val="hybridMultilevel"/>
    <w:tmpl w:val="34D88F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346E221A"/>
    <w:multiLevelType w:val="hybridMultilevel"/>
    <w:tmpl w:val="2612EFFA"/>
    <w:lvl w:ilvl="0" w:tplc="08090001">
      <w:start w:val="1"/>
      <w:numFmt w:val="bullet"/>
      <w:lvlText w:val=""/>
      <w:lvlJc w:val="left"/>
      <w:pPr>
        <w:ind w:left="720" w:hanging="360"/>
      </w:pPr>
      <w:rPr>
        <w:rFonts w:ascii="Symbol" w:hAnsi="Symbol" w:hint="default"/>
      </w:rPr>
    </w:lvl>
    <w:lvl w:ilvl="1" w:tplc="39A25A26">
      <w:numFmt w:val="bullet"/>
      <w:lvlText w:val="-"/>
      <w:lvlJc w:val="left"/>
      <w:pPr>
        <w:ind w:left="1440" w:hanging="360"/>
      </w:pPr>
      <w:rPr>
        <w:rFonts w:ascii="Calibri" w:eastAsia="Times New Roman" w:hAnsi="Calibri" w:cs="Calibr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3777104D"/>
    <w:multiLevelType w:val="multilevel"/>
    <w:tmpl w:val="02B2DD8E"/>
    <w:lvl w:ilvl="0">
      <w:start w:val="1"/>
      <w:numFmt w:val="decimal"/>
      <w:suff w:val="nothing"/>
      <w:lvlText w:val="%1"/>
      <w:lvlJc w:val="left"/>
      <w:pPr>
        <w:ind w:left="0" w:firstLine="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30">
    <w:nsid w:val="3B9F14E0"/>
    <w:multiLevelType w:val="hybridMultilevel"/>
    <w:tmpl w:val="24321C1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1">
    <w:nsid w:val="47B93EF4"/>
    <w:multiLevelType w:val="hybridMultilevel"/>
    <w:tmpl w:val="B1C2F55E"/>
    <w:lvl w:ilvl="0" w:tplc="08090001">
      <w:start w:val="1"/>
      <w:numFmt w:val="bullet"/>
      <w:lvlText w:val=""/>
      <w:lvlJc w:val="left"/>
      <w:pPr>
        <w:ind w:left="360" w:hanging="360"/>
      </w:pPr>
      <w:rPr>
        <w:rFonts w:ascii="Symbol" w:hAnsi="Symbol" w:hint="default"/>
      </w:rPr>
    </w:lvl>
    <w:lvl w:ilvl="1" w:tplc="08090019" w:tentative="1">
      <w:start w:val="1"/>
      <w:numFmt w:val="lowerLetter"/>
      <w:lvlText w:val="%2."/>
      <w:lvlJc w:val="left"/>
      <w:pPr>
        <w:ind w:left="1080" w:hanging="360"/>
      </w:pPr>
      <w:rPr>
        <w:rFonts w:cs="Times New Roman"/>
      </w:rPr>
    </w:lvl>
    <w:lvl w:ilvl="2" w:tplc="0809001B" w:tentative="1">
      <w:start w:val="1"/>
      <w:numFmt w:val="lowerRoman"/>
      <w:lvlText w:val="%3."/>
      <w:lvlJc w:val="right"/>
      <w:pPr>
        <w:ind w:left="1800" w:hanging="180"/>
      </w:pPr>
      <w:rPr>
        <w:rFonts w:cs="Times New Roman"/>
      </w:rPr>
    </w:lvl>
    <w:lvl w:ilvl="3" w:tplc="0809000F" w:tentative="1">
      <w:start w:val="1"/>
      <w:numFmt w:val="decimal"/>
      <w:lvlText w:val="%4."/>
      <w:lvlJc w:val="left"/>
      <w:pPr>
        <w:ind w:left="2520" w:hanging="360"/>
      </w:pPr>
      <w:rPr>
        <w:rFonts w:cs="Times New Roman"/>
      </w:rPr>
    </w:lvl>
    <w:lvl w:ilvl="4" w:tplc="08090019" w:tentative="1">
      <w:start w:val="1"/>
      <w:numFmt w:val="lowerLetter"/>
      <w:lvlText w:val="%5."/>
      <w:lvlJc w:val="left"/>
      <w:pPr>
        <w:ind w:left="3240" w:hanging="360"/>
      </w:pPr>
      <w:rPr>
        <w:rFonts w:cs="Times New Roman"/>
      </w:rPr>
    </w:lvl>
    <w:lvl w:ilvl="5" w:tplc="0809001B" w:tentative="1">
      <w:start w:val="1"/>
      <w:numFmt w:val="lowerRoman"/>
      <w:lvlText w:val="%6."/>
      <w:lvlJc w:val="right"/>
      <w:pPr>
        <w:ind w:left="3960" w:hanging="180"/>
      </w:pPr>
      <w:rPr>
        <w:rFonts w:cs="Times New Roman"/>
      </w:rPr>
    </w:lvl>
    <w:lvl w:ilvl="6" w:tplc="0809000F" w:tentative="1">
      <w:start w:val="1"/>
      <w:numFmt w:val="decimal"/>
      <w:lvlText w:val="%7."/>
      <w:lvlJc w:val="left"/>
      <w:pPr>
        <w:ind w:left="4680" w:hanging="360"/>
      </w:pPr>
      <w:rPr>
        <w:rFonts w:cs="Times New Roman"/>
      </w:rPr>
    </w:lvl>
    <w:lvl w:ilvl="7" w:tplc="08090019" w:tentative="1">
      <w:start w:val="1"/>
      <w:numFmt w:val="lowerLetter"/>
      <w:lvlText w:val="%8."/>
      <w:lvlJc w:val="left"/>
      <w:pPr>
        <w:ind w:left="5400" w:hanging="360"/>
      </w:pPr>
      <w:rPr>
        <w:rFonts w:cs="Times New Roman"/>
      </w:rPr>
    </w:lvl>
    <w:lvl w:ilvl="8" w:tplc="0809001B" w:tentative="1">
      <w:start w:val="1"/>
      <w:numFmt w:val="lowerRoman"/>
      <w:lvlText w:val="%9."/>
      <w:lvlJc w:val="right"/>
      <w:pPr>
        <w:ind w:left="6120" w:hanging="180"/>
      </w:pPr>
      <w:rPr>
        <w:rFonts w:cs="Times New Roman"/>
      </w:rPr>
    </w:lvl>
  </w:abstractNum>
  <w:abstractNum w:abstractNumId="32">
    <w:nsid w:val="487C0598"/>
    <w:multiLevelType w:val="hybridMultilevel"/>
    <w:tmpl w:val="0D049030"/>
    <w:lvl w:ilvl="0" w:tplc="0809000F">
      <w:start w:val="1"/>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33">
    <w:nsid w:val="56B46D7A"/>
    <w:multiLevelType w:val="hybridMultilevel"/>
    <w:tmpl w:val="7996E6D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nsid w:val="57714EB8"/>
    <w:multiLevelType w:val="hybridMultilevel"/>
    <w:tmpl w:val="4CD4D318"/>
    <w:lvl w:ilvl="0" w:tplc="9BA46BC8">
      <w:start w:val="1"/>
      <w:numFmt w:val="decimal"/>
      <w:lvlText w:val="%1."/>
      <w:lvlJc w:val="left"/>
      <w:pPr>
        <w:ind w:left="720" w:hanging="360"/>
      </w:pPr>
      <w:rPr>
        <w:rFonts w:ascii="Arial" w:hAnsi="Arial" w:cs="Times New Roman" w:hint="default"/>
        <w:color w:val="000000"/>
        <w:sz w:val="24"/>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35">
    <w:nsid w:val="5E58134B"/>
    <w:multiLevelType w:val="hybridMultilevel"/>
    <w:tmpl w:val="D1E2561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6">
    <w:nsid w:val="643355E6"/>
    <w:multiLevelType w:val="hybridMultilevel"/>
    <w:tmpl w:val="B6E630F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7">
    <w:nsid w:val="64600C2E"/>
    <w:multiLevelType w:val="hybridMultilevel"/>
    <w:tmpl w:val="F992FC50"/>
    <w:lvl w:ilvl="0" w:tplc="0809000F">
      <w:start w:val="1"/>
      <w:numFmt w:val="decimal"/>
      <w:lvlText w:val="%1."/>
      <w:lvlJc w:val="left"/>
      <w:pPr>
        <w:ind w:left="360" w:hanging="360"/>
      </w:pPr>
      <w:rPr>
        <w:rFonts w:cs="Times New Roman"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8">
    <w:nsid w:val="64B06EA0"/>
    <w:multiLevelType w:val="hybridMultilevel"/>
    <w:tmpl w:val="A79C8FF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9">
    <w:nsid w:val="667908AF"/>
    <w:multiLevelType w:val="hybridMultilevel"/>
    <w:tmpl w:val="BDB07EF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0">
    <w:nsid w:val="68513EB0"/>
    <w:multiLevelType w:val="hybridMultilevel"/>
    <w:tmpl w:val="5CD27A0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1">
    <w:nsid w:val="6C460454"/>
    <w:multiLevelType w:val="hybridMultilevel"/>
    <w:tmpl w:val="5EB0F2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nsid w:val="6D2C0B80"/>
    <w:multiLevelType w:val="hybridMultilevel"/>
    <w:tmpl w:val="C428BC8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3">
    <w:nsid w:val="6EF04ACE"/>
    <w:multiLevelType w:val="hybridMultilevel"/>
    <w:tmpl w:val="EB4EB04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4">
    <w:nsid w:val="718851C2"/>
    <w:multiLevelType w:val="multilevel"/>
    <w:tmpl w:val="3626DD9A"/>
    <w:lvl w:ilvl="0">
      <w:start w:val="1"/>
      <w:numFmt w:val="decimal"/>
      <w:pStyle w:val="IARefNumber"/>
      <w:suff w:val="nothing"/>
      <w:lvlText w:val="%1"/>
      <w:lvlJc w:val="left"/>
      <w:pPr>
        <w:ind w:left="0" w:firstLine="113"/>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45">
    <w:nsid w:val="73B65BA0"/>
    <w:multiLevelType w:val="hybridMultilevel"/>
    <w:tmpl w:val="30E41522"/>
    <w:lvl w:ilvl="0" w:tplc="289E8070">
      <w:start w:val="1"/>
      <w:numFmt w:val="decimal"/>
      <w:lvlText w:val="%1."/>
      <w:lvlJc w:val="left"/>
      <w:pPr>
        <w:ind w:left="360" w:hanging="360"/>
      </w:pPr>
      <w:rPr>
        <w:rFonts w:hint="default"/>
        <w:b/>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nsid w:val="755939CF"/>
    <w:multiLevelType w:val="hybridMultilevel"/>
    <w:tmpl w:val="0CAA253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7">
    <w:nsid w:val="7C592EB1"/>
    <w:multiLevelType w:val="hybridMultilevel"/>
    <w:tmpl w:val="C24C684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nsid w:val="7D4E722B"/>
    <w:multiLevelType w:val="multilevel"/>
    <w:tmpl w:val="643609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9">
    <w:nsid w:val="7F5D61B0"/>
    <w:multiLevelType w:val="hybridMultilevel"/>
    <w:tmpl w:val="4BA8FB92"/>
    <w:lvl w:ilvl="0" w:tplc="0809000F">
      <w:start w:val="1"/>
      <w:numFmt w:val="decimal"/>
      <w:lvlText w:val="%1."/>
      <w:lvlJc w:val="left"/>
      <w:pPr>
        <w:ind w:left="360" w:hanging="360"/>
      </w:pPr>
      <w:rPr>
        <w:b/>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0">
    <w:nsid w:val="7FB75C1D"/>
    <w:multiLevelType w:val="multilevel"/>
    <w:tmpl w:val="E2CC615A"/>
    <w:lvl w:ilvl="0">
      <w:start w:val="1"/>
      <w:numFmt w:val="none"/>
      <w:pStyle w:val="EBNumberRestart"/>
      <w:suff w:val="nothing"/>
      <w:lvlText w:val="%1"/>
      <w:lvlJc w:val="left"/>
      <w:pPr>
        <w:ind w:left="0" w:firstLine="0"/>
      </w:pPr>
      <w:rPr>
        <w:rFonts w:hint="default"/>
      </w:rPr>
    </w:lvl>
    <w:lvl w:ilvl="1">
      <w:start w:val="1"/>
      <w:numFmt w:val="decimal"/>
      <w:pStyle w:val="EBNumber"/>
      <w:lvlText w:val="%1%2."/>
      <w:lvlJc w:val="left"/>
      <w:pPr>
        <w:tabs>
          <w:tab w:val="num" w:pos="425"/>
        </w:tabs>
        <w:ind w:left="425" w:hanging="425"/>
      </w:pPr>
      <w:rPr>
        <w:rFonts w:hint="default"/>
      </w:rPr>
    </w:lvl>
    <w:lvl w:ilvl="2">
      <w:start w:val="1"/>
      <w:numFmt w:val="lowerLetter"/>
      <w:lvlText w:val="%1%3."/>
      <w:lvlJc w:val="left"/>
      <w:pPr>
        <w:tabs>
          <w:tab w:val="num" w:pos="851"/>
        </w:tabs>
        <w:ind w:left="851" w:hanging="426"/>
      </w:pPr>
      <w:rPr>
        <w:rFonts w:hint="default"/>
      </w:rPr>
    </w:lvl>
    <w:lvl w:ilvl="3">
      <w:start w:val="1"/>
      <w:numFmt w:val="none"/>
      <w:lvlText w:val="%1"/>
      <w:lvlJc w:val="left"/>
      <w:pPr>
        <w:tabs>
          <w:tab w:val="num" w:pos="2880"/>
        </w:tabs>
        <w:ind w:left="1728" w:hanging="648"/>
      </w:pPr>
      <w:rPr>
        <w:rFonts w:hint="default"/>
      </w:rPr>
    </w:lvl>
    <w:lvl w:ilvl="4">
      <w:start w:val="1"/>
      <w:numFmt w:val="none"/>
      <w:lvlText w:val="%1"/>
      <w:lvlJc w:val="left"/>
      <w:pPr>
        <w:tabs>
          <w:tab w:val="num" w:pos="3600"/>
        </w:tabs>
        <w:ind w:left="2232" w:hanging="792"/>
      </w:pPr>
      <w:rPr>
        <w:rFonts w:hint="default"/>
      </w:rPr>
    </w:lvl>
    <w:lvl w:ilvl="5">
      <w:start w:val="1"/>
      <w:numFmt w:val="none"/>
      <w:lvlText w:val="%1"/>
      <w:lvlJc w:val="left"/>
      <w:pPr>
        <w:tabs>
          <w:tab w:val="num" w:pos="4320"/>
        </w:tabs>
        <w:ind w:left="2736" w:hanging="936"/>
      </w:pPr>
      <w:rPr>
        <w:rFonts w:hint="default"/>
      </w:rPr>
    </w:lvl>
    <w:lvl w:ilvl="6">
      <w:start w:val="1"/>
      <w:numFmt w:val="none"/>
      <w:lvlText w:val="%1"/>
      <w:lvlJc w:val="left"/>
      <w:pPr>
        <w:tabs>
          <w:tab w:val="num" w:pos="5040"/>
        </w:tabs>
        <w:ind w:left="3240" w:hanging="1080"/>
      </w:pPr>
      <w:rPr>
        <w:rFonts w:hint="default"/>
      </w:rPr>
    </w:lvl>
    <w:lvl w:ilvl="7">
      <w:start w:val="1"/>
      <w:numFmt w:val="decimal"/>
      <w:lvlText w:val="%1.%2.%3.%4.%5.%6.%7.%8."/>
      <w:lvlJc w:val="left"/>
      <w:pPr>
        <w:tabs>
          <w:tab w:val="num" w:pos="5760"/>
        </w:tabs>
        <w:ind w:left="3744" w:hanging="1224"/>
      </w:pPr>
      <w:rPr>
        <w:rFonts w:hint="default"/>
      </w:rPr>
    </w:lvl>
    <w:lvl w:ilvl="8">
      <w:start w:val="1"/>
      <w:numFmt w:val="decimal"/>
      <w:lvlText w:val="%1.%2.%3.%4.%5.%6.%7.%8.%9."/>
      <w:lvlJc w:val="left"/>
      <w:pPr>
        <w:tabs>
          <w:tab w:val="num" w:pos="6480"/>
        </w:tabs>
        <w:ind w:left="4320" w:hanging="1440"/>
      </w:pPr>
      <w:rPr>
        <w:rFonts w:hint="default"/>
      </w:rPr>
    </w:lvl>
  </w:abstractNum>
  <w:abstractNum w:abstractNumId="51">
    <w:nsid w:val="7FD14203"/>
    <w:multiLevelType w:val="hybridMultilevel"/>
    <w:tmpl w:val="3F62214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50"/>
  </w:num>
  <w:num w:numId="12">
    <w:abstractNumId w:val="44"/>
  </w:num>
  <w:num w:numId="13">
    <w:abstractNumId w:val="10"/>
  </w:num>
  <w:num w:numId="14">
    <w:abstractNumId w:val="29"/>
  </w:num>
  <w:num w:numId="15">
    <w:abstractNumId w:val="22"/>
  </w:num>
  <w:num w:numId="16">
    <w:abstractNumId w:val="16"/>
  </w:num>
  <w:num w:numId="17">
    <w:abstractNumId w:val="22"/>
  </w:num>
  <w:num w:numId="18">
    <w:abstractNumId w:val="50"/>
  </w:num>
  <w:num w:numId="19">
    <w:abstractNumId w:val="50"/>
  </w:num>
  <w:num w:numId="20">
    <w:abstractNumId w:val="50"/>
  </w:num>
  <w:num w:numId="21">
    <w:abstractNumId w:val="22"/>
  </w:num>
  <w:num w:numId="22">
    <w:abstractNumId w:val="15"/>
  </w:num>
  <w:num w:numId="23">
    <w:abstractNumId w:val="41"/>
  </w:num>
  <w:num w:numId="24">
    <w:abstractNumId w:val="14"/>
  </w:num>
  <w:num w:numId="25">
    <w:abstractNumId w:val="32"/>
  </w:num>
  <w:num w:numId="26">
    <w:abstractNumId w:val="34"/>
  </w:num>
  <w:num w:numId="27">
    <w:abstractNumId w:val="17"/>
  </w:num>
  <w:num w:numId="28">
    <w:abstractNumId w:val="30"/>
  </w:num>
  <w:num w:numId="29">
    <w:abstractNumId w:val="37"/>
  </w:num>
  <w:num w:numId="30">
    <w:abstractNumId w:val="40"/>
  </w:num>
  <w:num w:numId="31">
    <w:abstractNumId w:val="19"/>
  </w:num>
  <w:num w:numId="32">
    <w:abstractNumId w:val="24"/>
  </w:num>
  <w:num w:numId="33">
    <w:abstractNumId w:val="33"/>
  </w:num>
  <w:num w:numId="34">
    <w:abstractNumId w:val="31"/>
  </w:num>
  <w:num w:numId="35">
    <w:abstractNumId w:val="27"/>
  </w:num>
  <w:num w:numId="36">
    <w:abstractNumId w:val="48"/>
  </w:num>
  <w:num w:numId="37">
    <w:abstractNumId w:val="21"/>
  </w:num>
  <w:num w:numId="38">
    <w:abstractNumId w:val="39"/>
  </w:num>
  <w:num w:numId="39">
    <w:abstractNumId w:val="26"/>
  </w:num>
  <w:num w:numId="40">
    <w:abstractNumId w:val="43"/>
  </w:num>
  <w:num w:numId="41">
    <w:abstractNumId w:val="23"/>
  </w:num>
  <w:num w:numId="42">
    <w:abstractNumId w:val="11"/>
  </w:num>
  <w:num w:numId="43">
    <w:abstractNumId w:val="35"/>
  </w:num>
  <w:num w:numId="44">
    <w:abstractNumId w:val="51"/>
  </w:num>
  <w:num w:numId="45">
    <w:abstractNumId w:val="49"/>
  </w:num>
  <w:num w:numId="46">
    <w:abstractNumId w:val="12"/>
  </w:num>
  <w:num w:numId="47">
    <w:abstractNumId w:val="46"/>
  </w:num>
  <w:num w:numId="48">
    <w:abstractNumId w:val="36"/>
  </w:num>
  <w:num w:numId="49">
    <w:abstractNumId w:val="45"/>
  </w:num>
  <w:num w:numId="50">
    <w:abstractNumId w:val="13"/>
  </w:num>
  <w:num w:numId="51">
    <w:abstractNumId w:val="42"/>
  </w:num>
  <w:num w:numId="52">
    <w:abstractNumId w:val="47"/>
  </w:num>
  <w:num w:numId="53">
    <w:abstractNumId w:val="28"/>
  </w:num>
  <w:num w:numId="54">
    <w:abstractNumId w:val="20"/>
  </w:num>
  <w:num w:numId="55">
    <w:abstractNumId w:val="25"/>
  </w:num>
  <w:num w:numId="56">
    <w:abstractNumId w:val="18"/>
  </w:num>
  <w:num w:numId="57">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edit="forms" w:enforcement="0"/>
  <w:defaultTabStop w:val="720"/>
  <w:doNotShadeFormData/>
  <w:characterSpacingControl w:val="doNotCompress"/>
  <w:hdrShapeDefaults>
    <o:shapedefaults v:ext="edit" spidmax="10241"/>
  </w:hdrShapeDefaults>
  <w:footnotePr>
    <w:numRestart w:val="eachSec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NewDoc" w:val="Created"/>
    <w:docVar w:name="SigAgile" w:val="ᦑ_x0000__x0008__x0000_቟_x0000_,_x0000_܊_x0000_ኋ_x0000__x0000__x0000_ᦕ_x0000__x0000__x0000__x0000__x0000_ᦗ_x0000_舰嬒आ蘪虈෷܁ꀂኂがኂɈā༱രआ虠ňͥȄԁ　놁ਆثЁ舁ȷЁ膠ア龁ᨰਆثЁ舁ȷἁఄ_x000c__x0000__x0001__x0000__x0001__x0000_脰む؍怉䢆攁ЃĂ_x0005_漄_x0017__x0000_ _x0000_ _x0000__x0018__x0000_/_x0000_O_x0000_⸲㘱㠮〴ㄮㄮ㄰㌮㐮㈮ㄮ䘀_xd891_㋡쒘펰총ᗭ蚄捥䀂ᮤ瓌궠쌵魃粘䳍듆⌎꼵壐㧈鰞阸䦚_xdec5_㋲鹴ꃏྂ〶҂ビ΂ꂻȃȁဂ_xda18_黑紦믨⅊쵘毌䨻രआ蘪虈෷āԅ　쪁଱र̆ѕጆ唂ㅓ〗ؕ唃਄ณ敖楲楓湧‬湉⹣ἱᴰ̆ѕጋ嘖牥卩杩⁮牔獵⁴敎睴牯ㅫ〺ظ唃଄ㄓ挨 〲㘰嘠牥卩杩Ɱ䤠据‮‭潆⁲畡桴牯穩摥甠敳漠汮ㅹぅك唃̄㰓敖楲楓湧䌠慬獳㌠倠扵楬⁣牐浩牡⁹敃瑲晩捩瑡潩⁮畁桴牯瑩⁹‭㕇Ḱഗ㘰ㄱ㠰〰〰〰᝚㌍〶ㄷ㈶㔳㔹娹脰㇊》؉唃؄ȓ单ᜱᔰ̆ѕጊ嘎牥卩杩Ɱ䤠据ㄮ〟؝唃଄ᘓ敖楲楓湧吠畲瑳丠瑥潷歲㨱㠰̆ѕጋ⠱⥣㈠〰‶敖楲楓湧‬湉⹣ⴠ䘠牯愠瑵潨楲敺⁤獵⁥湯祬䔱䌰̆ѕጃ嘼牥卩杩⁮汃獡⁳″畐汢捩倠楲慭祲䌠牥楴楦慣楴湯䄠瑵潨楲祴ⴠ䜠〵Ƃ〢؍⨉䢆čā_x0005_舃༁　ƂȊƂ_x0001_⒯ࠈ稩鸵ౠ㭋_xdc4e_뱼䔼묜⧾車ࡗ撣ᖅ귱㇈嶉ꨪ䊦辳맸띕랱덋迾ݾ䏯曛ᕢ콡ൠ_xd8a4_쏠ࡢ吽쩉呙⚅⯥ᮏꇵ슑䤳䏘橣䭒迒烨䵑觑筩烇돶ዜ_xdb74_嵻噋雓ᖿꅷ▢꿲鈜ᡧІ郯㫝ᦵ˿诠㟫ퟴ꼽痝㎑ᴙ䀜瓋ᤤ錡ᓙ곾刪过ӕ掍衇椼쮃䟾⮽佾闅ຮ풝䏑柀ࠔ鼿롳ਲ਼巏㐿隇ᔥ̂_x0001_ꌁ늁脰ク؏唃ጝāӿ々ă！ะ̆ᵕď！Єȃ؁洰ࠆثԁ܅ఁ愄弰嶡宠夰地唰ख浩条⽥楧て〡〟؇⬅̎ᨂᐄ᫓겆躍썫胏푪ᡈ第⸙┰⌖瑨灴⼺氯杯⹯敶楲楳湧挮浯瘯汳杯⹯楧て؝唃ฝᘄᐄ퍿ꝥ_xddc2_믬ヰ㥃˺㎯㌱രआ蘪虈෷āԅ̀Ƃ_x0001_⒓お扟_xd8cf_頚㴯_xdcea_⶙瞽ꗶ≹Ꞔ碠괒๢灅앤韧ⵦঘ彾횯⣌ꨁᨈ_xde47_粒鉼࡚⁩_xd90d_派㱮渍鄆ᡀ_xdbdf_ꩁ雠줠操㠕즁蒢଩漓󳤌ȥꓛᦋ퉄穁椅塊恏绊檂ȋ▪㤗_xdbb5_斄锪붊_xde86_腞茖ိ_xdecc_ꣽ⪂⡭ട쐋☚ᇴၯ閵Ղ_xdb32_鷎幑똨薞寓ꗯ䕽牀랎欎؎㏻䠵롱➝쒋彥蘍鱶穄闶㉝㌈咤ᢶ栿䩂㢅荔텟⳨곲협橣舰︄舰ΠĂȂ䈐㍃聩⥌骆ﰫ箹ᵝに؍⨉䢆čଁ_x0005_缰଱र̆ѕጆ唂ㅓ〝؛唃਄ᐓ祓慭瑮捥䌠牯潰慲楴湯ἱᴰ̆ѕጋ化浹湡整⁣牔獵⁴敎睴牯ㅫ〰خ唃̄✓祓慭瑮捥䌠慬獳㌠匠䅈㔲‶潃敤匠杩楮杮䌠ぁ᜞ㄍ〵ㄵ〱〰〰娰ഗ㜱㔰ㄱ㌲㤵㤵ず蒁଱र̆ѕጆ䜂ㅂ』؍唃ࠄ،潌摮湯༱ര̆ѕఇ䰆湯潤ㅮ〢ؠ唃਄ᤌ桔⁥瑓瑡潩敮祲传晦捩⁥瑌ㅤ》؉唃଄Ȍ呉∱‰̆ѕః吙敨匠慴楴湯牥⁹晏楦散䰠摴舰∁രआ蘪虈෷āԁ̀Ƃ_x000f_舰ਁ舂ā혀舶췵앧裘昰촨躊꤀혻㏀ᢊ煌徑딛픭蠌傤﷣䬺틘戫忘￟贰䏔ഁ萵⋍豒悗絷음뼑쥽ឋ哜颚椅櫥鑘홐믟ὅ僮鋉妡㫆⑬౐⹾駪횀ᡁ㝶↰팿앝沱誉7䐠깯匿ㇳᵜ뼚肋ꈏ効ꕿ⸡ǎྏ셶쥶禾詥ތ쐭窕採낖彮햓鵑走萃鏝靪鵾ᮔ殳屐Ꝯ糰븬笏斆_xd84b_℠첤봡Ὗ㘴㪁ꩿ㐽厗왦ᬐ皿׳嗡뜋ꊦ⯽ᅺɷăĀ芣渁舰樁र̆ᵕГ。　؎唃༝āӿ̄܂むؓ唃┝ఄਰࠆثԁ܅̃昰̆ᵕРたそٛ怋䢆蘁䗸܁̗䰰⌰ࠆثԁ܅Ă᜖瑨灴㩳⼯⹤祳捭⹢潣⽭灣びإ⬈Ćԅȇ。ᨙ栗瑴獰⼺搯献浹扣挮浯爯慰ἰ̆ᵕУ〘耖阔医称霳綯⬮쫌蚷爞てث唃Ἕ␄∰‰ẠᲠ᪆瑨灴⼺猯⹶祳捭⹢潣⽭癳挮汲地ࠆثԁ܅ā䬄䤰ἰࠆثԁ܅İᎆ瑨灴⼺猯⹶祳捭⹤潣ねئ⬈Ćԅ〇蘂栚瑴㩰⼯癳献浹扣挮浯猯⹶牣ぴؑ怉䢆蘁䋸āЄȃငᘰਆثЁ舁ȷᬁࠄذāĀ！രआ蘪虈෷āԋ̀Ƃ_x0001_$謫﯊ᗰꠝ콒쐣ꂳ熦⩘὞㧩▼䆵ૅ㌩阪訛뾽헫穔십_xdf28_靏﻾ᅳ娗ﲺ쫄몒첑m嫗㟱උ謓燘＞ᢻ쨠㖒喒ꗂ_xdb63_굺᫒䖄䊷ￌ꾚ㄠ깦걹덒涱ි艔ࢢꂄ裾䏿태촼枅幣蔾ḍ맞䢉죚⽄ᓡ齗៤祌೟﹢Ξ惶᯵킼해틒鈥ㄒ᳓絔➥ປ葅_xdf9c_ᗣ찏ᚯ撸놙Ɜ뾻쓥䆽질㸪ဢ셍㶡뤲㵕滓񙑮ル㳐첀때껳핿鸍茶舰夅舰䄄ΠĂȂ㴐흸盹恉憲Ự蛊〪؍⨉䢆čଁ_x0005_脰㇊》؉唃؄ȓ单ᜱᔰ̆ѕጊ嘎牥卩杩Ɱ䤠据ㄮ〟؝唃଄ᘓ敖楲楓湧吠畲瑳丠瑥潷歲㨱㠰̆ѕጋ⠱⥣㈠〰‶敖楲楓湧‬湉⹣ⴠ䘠牯愠瑵潨楲敺⁤獵⁥湯祬䔱䌰̆ѕጃ嘼牥卩杩⁮汃獡⁳″畐汢捩倠楲慭祲䌠牥楴楦慣楴湯䄠瑵潨楲祴ⴠ䜠〵᜞ㄍㄳㄲ〰〰〰娰ഗ㌲㈱㤰㌲㤵㤵ずㅿ》؉唃؄ȓ单ᴱᬰ̆ѕጊ匔浹湡整⁣潃灲牯瑡潩ㅮ〟؝唃଄ᘓ祓慭瑮捥吠畲瑳丠瑥潷歲〱⸰̆ѕጃ匧浹湡整⁣汃獡⁳″䡓㉁㘵䌠摯⁥楓湧湩⁧䅃舰∁രआ蘪虈෷āԁ̀Ƃ_x000f_舰ਁ舂ā需ẃᘀⲯ튱쐈棗冓Ṡ䟢_xdbb4_䵘戣둪媿儛ꏷ᠍桷_xd8bb_ꬶℯ_xda50_忧丧숋좗瀉ꦓ峚不ඤꂑ츔犑⹔ꏎ䓛勩㼛㱁䫊ꫤꬹ챓퀡쿌魿싦壌艪㘽᳏韅␇빻ⴱ渽뗜䊙䮟镡ᱟ紗诛懥碉棇꼛砑頚쒮䝕_xd953_㊳ꇖ䘎앀銗톊ꝓ宙㖅퍗鏪慢ਠデ⑷䴑荢몶桻ㆂ旮_xdfca_헹늍_xdc35_⮌橯屲葠鐌쁞剖䠀폌ꗸ_xde7d_휯꠸햄롆蘓ᯂ㡚鯝˛ăĀ芣茁舰缁⼰ࠆثԁ܅ā⌄ℰἰࠆثԁ܅İᎆ瑨灴⼺猯⸲祳捭⹢潣ねؒ唃ጝāӿ〈Ć！Ă　٬唃”攄挰愰ଆ虠ňŅᜇ〃げئ⬈Ćԅȇᘁ栚瑴㩰⼯睷⹷祳慭瑵⹨潣⽭灣びب⬈Ćԅȇ。᨜栚瑴㩰⼯睷⹷祳慭瑵⹨潣⽭灲ちذ唃Ἕ⤄✰┰⎠↠ᾆ瑨灴⼺猯⸱祳捭⹢潣⽭捰㍡札⸵牣ぬ؝唃┝ᘄᐰࠆثԁ܅ȃࠆثԁ܅̃ะ̆ᵕď！Єȃ؁⤰̆ᵕБ〢ꐠ〞ㄜ〚ؘ唃̄ᄓ祓慭瑮捥䭐ⵉⴱ㘵〷؝唃ฝᘄᐄ㮖㍹꾗荽⻯찫럊Ẇ晲ἰ̆ᵕУ〘耖缔旓슧र䏳塀꼂ㄳ〳؍⨉䢆čଁ_x0005_舃āጀ᪅椞㞩ꃷ꒽纯愝﹓貝౞疦砞⌗﷝᫬唃יּ镱旇Ꝛゎ䓒慚烛_xda6f_ԡ⻂멳鏑巾췉͞觠㾞Ṵ謸횩믏⼵堳銨텖䷈舻秦ᚄ⣼놰ꈝ_xd987_羦嚤㾥蒭⤮糞ꢼꎪн鎺ຢ≐ᜩ蝌㫤弑ꓖ褥֛⽫즴䰁笧갋ԙꀢᕠ_xda3f_﯉䱍ﮏ杲ﵷ鐧뫇ี䦈跾⣽䪯봒댍֗䓞ᔌ㛺̫쇜Őꇱ崑뷢䬧빔萫ཞ쎦մ쎗⊉ᾱ춽푃䳱㾩讵꾄ᓐㄡʂあʂȾā脰んㅿ》؉唃؄ȓ单ᴱᬰ̆ѕጊ匔浹湡整⁣潃灲牯瑡潩ㅮ〟؝唃଄ᘓ祓慭瑮捥吠畲瑳丠瑥潷歲〱⸰̆ѕጃ匧浹湡整⁣汃獡⁳″䡓㉁㘵䌠摯⁥楓湧湩⁧䅃ဂ䍂椳䲀蘩⮚맼嵻欝രआ虠ňͥȄԁꀀ肁ᐰਆثЁ舁ȷఁرаʠᤰआ蘪虈෷ँ㄃،⬊ĆĄ㞂Ă〄؜⬊ĆĄ㞂Ăㄋ『،⬊ĆĄ㞂Ă〕د⨉䢆čЉ∱ 澤섭Ὣ⸥㑞祵繴᪮嚡죲ᐋ龃ᄅ恫艓횓രआ蘪虈෷āԁЀƂ⤀꒭确긽ҥፏ魾䉫蒉㬼鄠덮텐摤稍쪆센磯Ὅ勴⼜樷➈辫ㆍ켯빌挈䗴䟼㥜ᔹ菹쇧럼୯吹䴣Ƒ퉘_xded5_냏눩✧豎핌ힽ낽蹁╋皮雴䋎ꊞ貚䆽껬櫑ߩ㔤鿌ള㿀俵埕麽覻䪙멶짗ꐑ혪輠Ⳳ젴툫骛ꄖ᎝ᓈẅ쭶긞獡閎⳹厼෮䔤_xdf6d_屝볧킪娗ￗㆻ戲_xdd7b_놮僧껑䪬ꠕ㮅洽爛쓺_xdd00_藶⚼솷볆ᓑ탆쨂約Ầሌ鬆뚭◞䢵耡蠳_x0004__x0000_䌀剅ᡔ_x0000_Ā_x0000_က_x0000_谀펔採䚭：㰴茋逊峎_x0000_Ā_x0000_Ѐ_x0000__x0000__x0008_Ѐ_x0000_Ā_x0000_က_x0000_舀졏鿺㭼啸撚ᑅ_x0000_Ā_x0000_᐀_x0000_ᤀ馅䊢袞涗㡝䷗ﭜ륁Ɇ_x0000_Ā_x0000_밀_x0000_ᰀ_x0000_氀_x0000_Ā_x0000__x0000__x0000__x0000__x0000__x0000__x0000_Ȁ_x0000_氀攀ⴀ攀㤀　㔀昀㔀愀　ⴀ昀㄀　㌀ⴀ㐀㈀愀㘀ⴀ㤀㜀㤀㔀ⴀ昀戀㄀搀㌀攀挀愀昀㔀㤀㜀_x0000_䴀椀挀爀漀猀漀昀琀 匀琀爀漀渀最 䌀爀礀瀀琀漀最爀愀瀀栀椀挀 倀爀漀瘀椀搀攀爀_x0000_̀_x0000_Ā_x0000_᐀_x0000_褀ൎ饚싥豖쳳ὄ㗼㷫ྐ_x0000_Ā_x0000_ _x0000_錀䏂球虠緟퉂숇뇹刏뇤妗싊⫯ꏪ᪂Է᧜_x0000_Ā_x0000_က_x0000_匀㳱䐅⟕啢ꘛ荤䭷_x0000_Ā_x0000_䐀_x0000_䔀䄀㘀㄀㠀　㤀㜀䔀㌀㤀㌀㐀　㤀䄀䘀䄀㌀㄀㘀䘀　䘀㠀㜀䔀㈀䌀㈀　㈀开_x0000_ _x0000_Ā_x0000_Ȁ_x0005_　҂ヾ΂ꃦȃȁဂ䍂椳䲀蘩⮚맼嵻欝രआ蘪虈෷āԋ　ㅿ》؉唃؄ȓ单ᴱᬰ̆ѕጊ匔浹湡整⁣潃灲牯瑡潩ㅮ〟؝唃଄ᘓ祓慭瑮捥吠畲瑳丠瑥潷歲〱⸰̆ѕጃ匧浹湡整⁣汃獡⁳″䡓㉁㘵䌠摯⁥楓湧湩⁧䅃Ḱഗ㔱㔰ㄱ〰〰〰᝚ㄍ〷ㄵ㈱㔳㔹娹脰ㆄ》؉唃؄ȓ䉇༱ര̆ѕఈ䰆湯潤ㅮ』؍唃܄،潌摮湯∱‰̆ѕఊ吙敨匠慴楴湯牥⁹晏楦散䰠摴଱र̆ѕఋ䤂ㅔ〢ؠ唃̄ᤌ桔⁥瑓瑡潩敮祲传晦捩⁥瑌つƂ〢؍⨉䢆čā_x0005_舃༁　ƂȊƂ_x0001_㛖柍_xd8c5_よ⡦諍㮩샖訳䰘酱᭟ⶵೕꒈ㫽_xd84b_⯒_xd862__xdff8_ヿ풍Ńᐍ㗡춄刢鞌睠䱽ᇇ᾿緯诉_xdc17_驔֘塪傔_xdfd6_䖻쥐ꆒ왙氺瀤僡縌肙䇖Ḙ盯뀷㼡巓뇅襬㞊 潄就᫲访ྀ릢罒↥츮輁瘏盁뻉敹貊ⴇ闄ꅺ陣溰赟鏪凕炝΍_xdd84_ẓ櫯纗钝댛偫湜ⱼ྾虻䭥⃘ꐡ⇌徽㐟脶缺㶪霴書჆뼛单௦ꚷﶢ稫眑̂_x0001_ꌁƂのƂな؉唃ጝȄ0ะ̆ᵕď！Єȃ耇ጰ̆ᵕХ「؊⬈Ćԅ̇〃٦唃”弄崰嬰ଆ虠ňŅᜇ〃がأ⬈Ćԅȇᘁ栗瑴獰⼺搯献浹扣挮浯振獰┰ࠆثԁ܅Ȃᤰ᜚瑨灴㩳⼯⹤祳捭⹢潣⽭灲ち؟唃⌝᠄ᘰᒀ㮖㍹꾗荽⻯찫럊Ẇ晲⬰̆ᵕП〤〢ꀠꀞ蘜栚瑴㩰⼯癳献浹扣挮浯猯⹶牣ぬٗ⬈ĆԅćЁかぉ؟⬈Ćԅ〇蘁栓瑴㩰⼯癳献浹摣挮浯☰ࠆثԁ܅Ȱ᪆瑨灴⼺猯⹶祳捭⹢潣⽭癳挮瑲ᄰआ虠ňłЁ̄Ђ【ؖ⬊ĆĄ㞂ĂЛ〈Ć_x0001_āヿ؍⨉䢆čଁ_x0005_舃ā␀⬀쪋ᴕᲨ䓤勶⏏도ꚠ塱帪밹딥앁⤊⨳ᮖ붊哕⣂俟ﺗ現ᜑ멚쓧鋊醺淌휀謷ግ_xd88b_ṱ믿‘鋊鈵쉕接竛튭萚띅챂髿₯昱禮劬놳퉭名ꊂ萈ﺠ膈ꫥ￰_xdc43_㳐藍啧揤㹞අ_xde1e_覹_xda48_䓈圔䰗_xdf79_戌黾받瓐埕틢◒ኒ팱吜ꕽ鬧䔎鲄༕꿌렖읤駦ꮱ뮧县뷄졁⫉∾䴐ꇁ㈽喹팽╮滙퀰耼䳌羮෕㚞_x0000__x0000__x0000__x0000__x0000__x0000__x0000_开"/>
    <w:docVar w:name="VerNumber" w:val="3.9.0"/>
  </w:docVars>
  <w:rsids>
    <w:rsidRoot w:val="000E17BB"/>
    <w:rsid w:val="00000766"/>
    <w:rsid w:val="000019B2"/>
    <w:rsid w:val="00001E72"/>
    <w:rsid w:val="00003A70"/>
    <w:rsid w:val="00004041"/>
    <w:rsid w:val="000045F8"/>
    <w:rsid w:val="0000505F"/>
    <w:rsid w:val="000071A5"/>
    <w:rsid w:val="000079C0"/>
    <w:rsid w:val="00010950"/>
    <w:rsid w:val="00010EE1"/>
    <w:rsid w:val="00011D02"/>
    <w:rsid w:val="00012458"/>
    <w:rsid w:val="000142F1"/>
    <w:rsid w:val="0001460F"/>
    <w:rsid w:val="000166B7"/>
    <w:rsid w:val="00021306"/>
    <w:rsid w:val="00021CED"/>
    <w:rsid w:val="000222F1"/>
    <w:rsid w:val="00022BE0"/>
    <w:rsid w:val="00022F52"/>
    <w:rsid w:val="00023080"/>
    <w:rsid w:val="0002370C"/>
    <w:rsid w:val="000239A7"/>
    <w:rsid w:val="00023E62"/>
    <w:rsid w:val="000251D0"/>
    <w:rsid w:val="000262F4"/>
    <w:rsid w:val="00026555"/>
    <w:rsid w:val="00026AC0"/>
    <w:rsid w:val="00027216"/>
    <w:rsid w:val="00031D20"/>
    <w:rsid w:val="00034F01"/>
    <w:rsid w:val="0003786D"/>
    <w:rsid w:val="0004016B"/>
    <w:rsid w:val="000407D8"/>
    <w:rsid w:val="000413C5"/>
    <w:rsid w:val="00044EB5"/>
    <w:rsid w:val="00045828"/>
    <w:rsid w:val="00045BAD"/>
    <w:rsid w:val="00051403"/>
    <w:rsid w:val="00052F44"/>
    <w:rsid w:val="00053802"/>
    <w:rsid w:val="000541B2"/>
    <w:rsid w:val="00054418"/>
    <w:rsid w:val="00056EE6"/>
    <w:rsid w:val="0006047F"/>
    <w:rsid w:val="0006053F"/>
    <w:rsid w:val="00062821"/>
    <w:rsid w:val="00062F7D"/>
    <w:rsid w:val="000671A2"/>
    <w:rsid w:val="00067751"/>
    <w:rsid w:val="00070EEB"/>
    <w:rsid w:val="00071299"/>
    <w:rsid w:val="00072272"/>
    <w:rsid w:val="0007524C"/>
    <w:rsid w:val="0007532E"/>
    <w:rsid w:val="000767AC"/>
    <w:rsid w:val="0007695E"/>
    <w:rsid w:val="00076A78"/>
    <w:rsid w:val="00076C08"/>
    <w:rsid w:val="000820F5"/>
    <w:rsid w:val="00082659"/>
    <w:rsid w:val="00082BAC"/>
    <w:rsid w:val="00082E1D"/>
    <w:rsid w:val="00083103"/>
    <w:rsid w:val="000860CC"/>
    <w:rsid w:val="00086128"/>
    <w:rsid w:val="0008731F"/>
    <w:rsid w:val="00091D83"/>
    <w:rsid w:val="00093598"/>
    <w:rsid w:val="0009381F"/>
    <w:rsid w:val="00094680"/>
    <w:rsid w:val="000956FD"/>
    <w:rsid w:val="000963A4"/>
    <w:rsid w:val="000A0D5D"/>
    <w:rsid w:val="000A0EDE"/>
    <w:rsid w:val="000A36EE"/>
    <w:rsid w:val="000A5C5D"/>
    <w:rsid w:val="000A6E4B"/>
    <w:rsid w:val="000A7981"/>
    <w:rsid w:val="000A79FC"/>
    <w:rsid w:val="000B07A1"/>
    <w:rsid w:val="000B08D9"/>
    <w:rsid w:val="000B1176"/>
    <w:rsid w:val="000B3E49"/>
    <w:rsid w:val="000B4428"/>
    <w:rsid w:val="000B5942"/>
    <w:rsid w:val="000B69BA"/>
    <w:rsid w:val="000B75B1"/>
    <w:rsid w:val="000C031E"/>
    <w:rsid w:val="000C165A"/>
    <w:rsid w:val="000C192C"/>
    <w:rsid w:val="000C1D45"/>
    <w:rsid w:val="000C30D8"/>
    <w:rsid w:val="000C4589"/>
    <w:rsid w:val="000C57D5"/>
    <w:rsid w:val="000C6A87"/>
    <w:rsid w:val="000C6D0F"/>
    <w:rsid w:val="000D1CB0"/>
    <w:rsid w:val="000D55B5"/>
    <w:rsid w:val="000D58BD"/>
    <w:rsid w:val="000D5ED5"/>
    <w:rsid w:val="000D7F7C"/>
    <w:rsid w:val="000E17BB"/>
    <w:rsid w:val="000E3308"/>
    <w:rsid w:val="000E3FD7"/>
    <w:rsid w:val="000E452D"/>
    <w:rsid w:val="000E4EB7"/>
    <w:rsid w:val="000E7E9F"/>
    <w:rsid w:val="000F004E"/>
    <w:rsid w:val="000F0840"/>
    <w:rsid w:val="000F37BB"/>
    <w:rsid w:val="000F4481"/>
    <w:rsid w:val="000F4D94"/>
    <w:rsid w:val="000F57BB"/>
    <w:rsid w:val="00101961"/>
    <w:rsid w:val="00102870"/>
    <w:rsid w:val="00110396"/>
    <w:rsid w:val="001110DB"/>
    <w:rsid w:val="00112752"/>
    <w:rsid w:val="00115D70"/>
    <w:rsid w:val="00120113"/>
    <w:rsid w:val="00122FA3"/>
    <w:rsid w:val="001235DD"/>
    <w:rsid w:val="0012369A"/>
    <w:rsid w:val="001236C8"/>
    <w:rsid w:val="001243CD"/>
    <w:rsid w:val="0012460B"/>
    <w:rsid w:val="00125099"/>
    <w:rsid w:val="00127373"/>
    <w:rsid w:val="00131CE4"/>
    <w:rsid w:val="00131F7E"/>
    <w:rsid w:val="001326C7"/>
    <w:rsid w:val="00133A17"/>
    <w:rsid w:val="00133C58"/>
    <w:rsid w:val="001350C7"/>
    <w:rsid w:val="001365F4"/>
    <w:rsid w:val="0014140D"/>
    <w:rsid w:val="00141B6F"/>
    <w:rsid w:val="0014336D"/>
    <w:rsid w:val="00144F2D"/>
    <w:rsid w:val="0014661E"/>
    <w:rsid w:val="001477D1"/>
    <w:rsid w:val="00150855"/>
    <w:rsid w:val="00150DAE"/>
    <w:rsid w:val="0015254E"/>
    <w:rsid w:val="00152C60"/>
    <w:rsid w:val="001535F3"/>
    <w:rsid w:val="00156E0C"/>
    <w:rsid w:val="00157CF4"/>
    <w:rsid w:val="001605F6"/>
    <w:rsid w:val="00160691"/>
    <w:rsid w:val="00162A00"/>
    <w:rsid w:val="00165113"/>
    <w:rsid w:val="00167B8A"/>
    <w:rsid w:val="001709E2"/>
    <w:rsid w:val="00174C10"/>
    <w:rsid w:val="00175447"/>
    <w:rsid w:val="0018030F"/>
    <w:rsid w:val="00182B85"/>
    <w:rsid w:val="00183038"/>
    <w:rsid w:val="00183882"/>
    <w:rsid w:val="001844B6"/>
    <w:rsid w:val="001851A3"/>
    <w:rsid w:val="001851B9"/>
    <w:rsid w:val="001855B1"/>
    <w:rsid w:val="0018769E"/>
    <w:rsid w:val="0019021E"/>
    <w:rsid w:val="001904FD"/>
    <w:rsid w:val="00190F9A"/>
    <w:rsid w:val="00194050"/>
    <w:rsid w:val="00194745"/>
    <w:rsid w:val="00194E96"/>
    <w:rsid w:val="001973BE"/>
    <w:rsid w:val="001A07F1"/>
    <w:rsid w:val="001A3B0B"/>
    <w:rsid w:val="001A4332"/>
    <w:rsid w:val="001A4432"/>
    <w:rsid w:val="001A478E"/>
    <w:rsid w:val="001A509E"/>
    <w:rsid w:val="001A6FE6"/>
    <w:rsid w:val="001A7B61"/>
    <w:rsid w:val="001A7D6D"/>
    <w:rsid w:val="001B063C"/>
    <w:rsid w:val="001B1210"/>
    <w:rsid w:val="001B290F"/>
    <w:rsid w:val="001B305C"/>
    <w:rsid w:val="001B34EB"/>
    <w:rsid w:val="001C0018"/>
    <w:rsid w:val="001C0644"/>
    <w:rsid w:val="001C0B58"/>
    <w:rsid w:val="001C3363"/>
    <w:rsid w:val="001C4733"/>
    <w:rsid w:val="001C51EE"/>
    <w:rsid w:val="001C7C39"/>
    <w:rsid w:val="001D09CC"/>
    <w:rsid w:val="001D0AF4"/>
    <w:rsid w:val="001D1133"/>
    <w:rsid w:val="001D12D6"/>
    <w:rsid w:val="001D2096"/>
    <w:rsid w:val="001D2D37"/>
    <w:rsid w:val="001D3A43"/>
    <w:rsid w:val="001D3C11"/>
    <w:rsid w:val="001D4AA8"/>
    <w:rsid w:val="001D4D42"/>
    <w:rsid w:val="001D5AAB"/>
    <w:rsid w:val="001D5EC9"/>
    <w:rsid w:val="001D6B90"/>
    <w:rsid w:val="001E152A"/>
    <w:rsid w:val="001E1DA0"/>
    <w:rsid w:val="001E3BE3"/>
    <w:rsid w:val="001F1B0A"/>
    <w:rsid w:val="001F2D89"/>
    <w:rsid w:val="001F396E"/>
    <w:rsid w:val="001F4352"/>
    <w:rsid w:val="001F5423"/>
    <w:rsid w:val="001F5DD9"/>
    <w:rsid w:val="001F5E94"/>
    <w:rsid w:val="001F69E9"/>
    <w:rsid w:val="001F6D51"/>
    <w:rsid w:val="001F71C9"/>
    <w:rsid w:val="0020104C"/>
    <w:rsid w:val="0020151D"/>
    <w:rsid w:val="00201573"/>
    <w:rsid w:val="00201B79"/>
    <w:rsid w:val="00201FA1"/>
    <w:rsid w:val="00202E56"/>
    <w:rsid w:val="002033D6"/>
    <w:rsid w:val="00203758"/>
    <w:rsid w:val="00204AB1"/>
    <w:rsid w:val="00205E05"/>
    <w:rsid w:val="0020708B"/>
    <w:rsid w:val="00207B21"/>
    <w:rsid w:val="00207D2A"/>
    <w:rsid w:val="00211257"/>
    <w:rsid w:val="002144F0"/>
    <w:rsid w:val="00214F5E"/>
    <w:rsid w:val="00216F02"/>
    <w:rsid w:val="0021731F"/>
    <w:rsid w:val="00217748"/>
    <w:rsid w:val="00217CA1"/>
    <w:rsid w:val="00220F29"/>
    <w:rsid w:val="00221FAD"/>
    <w:rsid w:val="0022490F"/>
    <w:rsid w:val="00225F9C"/>
    <w:rsid w:val="002274E5"/>
    <w:rsid w:val="0022767B"/>
    <w:rsid w:val="00227EBE"/>
    <w:rsid w:val="002307D9"/>
    <w:rsid w:val="00231EFA"/>
    <w:rsid w:val="0023355B"/>
    <w:rsid w:val="002347A2"/>
    <w:rsid w:val="00241738"/>
    <w:rsid w:val="002425C2"/>
    <w:rsid w:val="00242C41"/>
    <w:rsid w:val="002437A8"/>
    <w:rsid w:val="00246163"/>
    <w:rsid w:val="00246360"/>
    <w:rsid w:val="00247CF1"/>
    <w:rsid w:val="00250259"/>
    <w:rsid w:val="00251ED1"/>
    <w:rsid w:val="002530A8"/>
    <w:rsid w:val="00253F4D"/>
    <w:rsid w:val="0025657D"/>
    <w:rsid w:val="002575C7"/>
    <w:rsid w:val="00261673"/>
    <w:rsid w:val="0026191F"/>
    <w:rsid w:val="00262437"/>
    <w:rsid w:val="0026330D"/>
    <w:rsid w:val="00264946"/>
    <w:rsid w:val="00265153"/>
    <w:rsid w:val="00266F21"/>
    <w:rsid w:val="002718D6"/>
    <w:rsid w:val="00272539"/>
    <w:rsid w:val="00272F62"/>
    <w:rsid w:val="002739ED"/>
    <w:rsid w:val="00273A3C"/>
    <w:rsid w:val="00275B54"/>
    <w:rsid w:val="00281E7E"/>
    <w:rsid w:val="00282EFA"/>
    <w:rsid w:val="00283182"/>
    <w:rsid w:val="002837FC"/>
    <w:rsid w:val="00284C30"/>
    <w:rsid w:val="00286282"/>
    <w:rsid w:val="0028755A"/>
    <w:rsid w:val="00287BA8"/>
    <w:rsid w:val="00287DF9"/>
    <w:rsid w:val="00290335"/>
    <w:rsid w:val="0029158C"/>
    <w:rsid w:val="00292C17"/>
    <w:rsid w:val="00293742"/>
    <w:rsid w:val="00293D5D"/>
    <w:rsid w:val="00294EDA"/>
    <w:rsid w:val="002974C3"/>
    <w:rsid w:val="00297DD1"/>
    <w:rsid w:val="002A06DA"/>
    <w:rsid w:val="002A456F"/>
    <w:rsid w:val="002A6E2B"/>
    <w:rsid w:val="002B195E"/>
    <w:rsid w:val="002B2572"/>
    <w:rsid w:val="002B4B80"/>
    <w:rsid w:val="002B4D79"/>
    <w:rsid w:val="002B6854"/>
    <w:rsid w:val="002B6A51"/>
    <w:rsid w:val="002B7335"/>
    <w:rsid w:val="002B77F5"/>
    <w:rsid w:val="002C1D0C"/>
    <w:rsid w:val="002C1EC2"/>
    <w:rsid w:val="002C331D"/>
    <w:rsid w:val="002D1020"/>
    <w:rsid w:val="002D19BE"/>
    <w:rsid w:val="002D1AE9"/>
    <w:rsid w:val="002D2D7E"/>
    <w:rsid w:val="002D3103"/>
    <w:rsid w:val="002D4104"/>
    <w:rsid w:val="002D4177"/>
    <w:rsid w:val="002D41B4"/>
    <w:rsid w:val="002D548B"/>
    <w:rsid w:val="002D66B1"/>
    <w:rsid w:val="002D6B6E"/>
    <w:rsid w:val="002D7ECF"/>
    <w:rsid w:val="002E13E1"/>
    <w:rsid w:val="002E1C94"/>
    <w:rsid w:val="002E46DE"/>
    <w:rsid w:val="002E4E68"/>
    <w:rsid w:val="002E5406"/>
    <w:rsid w:val="002E78D7"/>
    <w:rsid w:val="002F1CB1"/>
    <w:rsid w:val="002F2BA5"/>
    <w:rsid w:val="002F3633"/>
    <w:rsid w:val="002F5518"/>
    <w:rsid w:val="002F55C5"/>
    <w:rsid w:val="002F5B67"/>
    <w:rsid w:val="002F653C"/>
    <w:rsid w:val="002F7D4C"/>
    <w:rsid w:val="00300CED"/>
    <w:rsid w:val="00300D77"/>
    <w:rsid w:val="003030E1"/>
    <w:rsid w:val="00303289"/>
    <w:rsid w:val="00304677"/>
    <w:rsid w:val="00304C1D"/>
    <w:rsid w:val="003069E8"/>
    <w:rsid w:val="00307737"/>
    <w:rsid w:val="00307E85"/>
    <w:rsid w:val="00310269"/>
    <w:rsid w:val="00310E67"/>
    <w:rsid w:val="003111DB"/>
    <w:rsid w:val="00311373"/>
    <w:rsid w:val="00311CCB"/>
    <w:rsid w:val="00312B3E"/>
    <w:rsid w:val="00313937"/>
    <w:rsid w:val="00314466"/>
    <w:rsid w:val="003149E9"/>
    <w:rsid w:val="00315EA8"/>
    <w:rsid w:val="00316B83"/>
    <w:rsid w:val="00317DAD"/>
    <w:rsid w:val="003203C7"/>
    <w:rsid w:val="00320415"/>
    <w:rsid w:val="003227FD"/>
    <w:rsid w:val="003228BF"/>
    <w:rsid w:val="00322E0B"/>
    <w:rsid w:val="00323107"/>
    <w:rsid w:val="00323C5A"/>
    <w:rsid w:val="00324485"/>
    <w:rsid w:val="00327934"/>
    <w:rsid w:val="00331DCE"/>
    <w:rsid w:val="00332055"/>
    <w:rsid w:val="00332280"/>
    <w:rsid w:val="003323DB"/>
    <w:rsid w:val="00332B05"/>
    <w:rsid w:val="003330C7"/>
    <w:rsid w:val="00335C9A"/>
    <w:rsid w:val="003409BF"/>
    <w:rsid w:val="003415CC"/>
    <w:rsid w:val="00345525"/>
    <w:rsid w:val="0034740B"/>
    <w:rsid w:val="00351302"/>
    <w:rsid w:val="00355928"/>
    <w:rsid w:val="00355E73"/>
    <w:rsid w:val="00356841"/>
    <w:rsid w:val="00357DBA"/>
    <w:rsid w:val="00362DAF"/>
    <w:rsid w:val="003640B6"/>
    <w:rsid w:val="00364715"/>
    <w:rsid w:val="00365687"/>
    <w:rsid w:val="003657AB"/>
    <w:rsid w:val="00370A03"/>
    <w:rsid w:val="00372A69"/>
    <w:rsid w:val="00376491"/>
    <w:rsid w:val="00380002"/>
    <w:rsid w:val="00380189"/>
    <w:rsid w:val="0038098E"/>
    <w:rsid w:val="00380A15"/>
    <w:rsid w:val="00381107"/>
    <w:rsid w:val="00381308"/>
    <w:rsid w:val="003818E8"/>
    <w:rsid w:val="003848EF"/>
    <w:rsid w:val="00384905"/>
    <w:rsid w:val="00385BF8"/>
    <w:rsid w:val="00386188"/>
    <w:rsid w:val="00386560"/>
    <w:rsid w:val="00390FD2"/>
    <w:rsid w:val="00391232"/>
    <w:rsid w:val="00395DFD"/>
    <w:rsid w:val="00395F95"/>
    <w:rsid w:val="00396C1A"/>
    <w:rsid w:val="003972F5"/>
    <w:rsid w:val="003A12B1"/>
    <w:rsid w:val="003A151C"/>
    <w:rsid w:val="003A27F7"/>
    <w:rsid w:val="003A53C5"/>
    <w:rsid w:val="003A5EEC"/>
    <w:rsid w:val="003A6079"/>
    <w:rsid w:val="003A61DA"/>
    <w:rsid w:val="003A68AB"/>
    <w:rsid w:val="003A7572"/>
    <w:rsid w:val="003B00FB"/>
    <w:rsid w:val="003B04F0"/>
    <w:rsid w:val="003B101A"/>
    <w:rsid w:val="003B1336"/>
    <w:rsid w:val="003B20FC"/>
    <w:rsid w:val="003B30DD"/>
    <w:rsid w:val="003B3AC1"/>
    <w:rsid w:val="003B3E18"/>
    <w:rsid w:val="003B72CF"/>
    <w:rsid w:val="003B78AB"/>
    <w:rsid w:val="003C2DEE"/>
    <w:rsid w:val="003C411C"/>
    <w:rsid w:val="003C4286"/>
    <w:rsid w:val="003C6871"/>
    <w:rsid w:val="003C6C81"/>
    <w:rsid w:val="003D0BFE"/>
    <w:rsid w:val="003D0FC4"/>
    <w:rsid w:val="003D11C0"/>
    <w:rsid w:val="003D227B"/>
    <w:rsid w:val="003D2341"/>
    <w:rsid w:val="003D2D82"/>
    <w:rsid w:val="003D33A3"/>
    <w:rsid w:val="003D572E"/>
    <w:rsid w:val="003D57B2"/>
    <w:rsid w:val="003D6960"/>
    <w:rsid w:val="003D77EE"/>
    <w:rsid w:val="003D78E8"/>
    <w:rsid w:val="003E0510"/>
    <w:rsid w:val="003E0BA9"/>
    <w:rsid w:val="003E185A"/>
    <w:rsid w:val="003E1BBB"/>
    <w:rsid w:val="003E2295"/>
    <w:rsid w:val="003E2303"/>
    <w:rsid w:val="003E2F53"/>
    <w:rsid w:val="003E54B6"/>
    <w:rsid w:val="003E58BD"/>
    <w:rsid w:val="003E66BB"/>
    <w:rsid w:val="003E7276"/>
    <w:rsid w:val="003E7A4D"/>
    <w:rsid w:val="003F1D29"/>
    <w:rsid w:val="003F1F49"/>
    <w:rsid w:val="003F2FA0"/>
    <w:rsid w:val="003F42A7"/>
    <w:rsid w:val="003F6045"/>
    <w:rsid w:val="003F6C65"/>
    <w:rsid w:val="003F71C5"/>
    <w:rsid w:val="004016DE"/>
    <w:rsid w:val="00402146"/>
    <w:rsid w:val="004025DC"/>
    <w:rsid w:val="00402E80"/>
    <w:rsid w:val="004041B8"/>
    <w:rsid w:val="00405ACA"/>
    <w:rsid w:val="00406AAE"/>
    <w:rsid w:val="0041160C"/>
    <w:rsid w:val="00415552"/>
    <w:rsid w:val="00416050"/>
    <w:rsid w:val="004163A2"/>
    <w:rsid w:val="00417259"/>
    <w:rsid w:val="004175D4"/>
    <w:rsid w:val="0042018D"/>
    <w:rsid w:val="00422963"/>
    <w:rsid w:val="004233A9"/>
    <w:rsid w:val="004240A9"/>
    <w:rsid w:val="004247C8"/>
    <w:rsid w:val="0042494E"/>
    <w:rsid w:val="00426AB3"/>
    <w:rsid w:val="00426DD2"/>
    <w:rsid w:val="00432445"/>
    <w:rsid w:val="00433533"/>
    <w:rsid w:val="00433707"/>
    <w:rsid w:val="0043446F"/>
    <w:rsid w:val="0043683F"/>
    <w:rsid w:val="00437FCC"/>
    <w:rsid w:val="004406D1"/>
    <w:rsid w:val="00440A77"/>
    <w:rsid w:val="004422A6"/>
    <w:rsid w:val="00442BD1"/>
    <w:rsid w:val="004442E2"/>
    <w:rsid w:val="00445634"/>
    <w:rsid w:val="00447E32"/>
    <w:rsid w:val="0045253C"/>
    <w:rsid w:val="00452B35"/>
    <w:rsid w:val="004547EA"/>
    <w:rsid w:val="00455EAA"/>
    <w:rsid w:val="00456494"/>
    <w:rsid w:val="00457408"/>
    <w:rsid w:val="004577E1"/>
    <w:rsid w:val="0045799A"/>
    <w:rsid w:val="00460A38"/>
    <w:rsid w:val="00462598"/>
    <w:rsid w:val="00463490"/>
    <w:rsid w:val="004661B4"/>
    <w:rsid w:val="00466326"/>
    <w:rsid w:val="00467E1C"/>
    <w:rsid w:val="00470048"/>
    <w:rsid w:val="00470BEA"/>
    <w:rsid w:val="00471060"/>
    <w:rsid w:val="004716AC"/>
    <w:rsid w:val="00471E07"/>
    <w:rsid w:val="004763AF"/>
    <w:rsid w:val="0047687B"/>
    <w:rsid w:val="00480137"/>
    <w:rsid w:val="004802F7"/>
    <w:rsid w:val="0048196D"/>
    <w:rsid w:val="00481DBF"/>
    <w:rsid w:val="00483E1A"/>
    <w:rsid w:val="00483FB7"/>
    <w:rsid w:val="00484F01"/>
    <w:rsid w:val="00485114"/>
    <w:rsid w:val="004860C0"/>
    <w:rsid w:val="00487074"/>
    <w:rsid w:val="0049072A"/>
    <w:rsid w:val="00490FF7"/>
    <w:rsid w:val="004930F6"/>
    <w:rsid w:val="00493B5E"/>
    <w:rsid w:val="0049416F"/>
    <w:rsid w:val="004948C9"/>
    <w:rsid w:val="00495404"/>
    <w:rsid w:val="0049623C"/>
    <w:rsid w:val="00496B1B"/>
    <w:rsid w:val="00497931"/>
    <w:rsid w:val="004A03D2"/>
    <w:rsid w:val="004A0656"/>
    <w:rsid w:val="004A14BC"/>
    <w:rsid w:val="004A3D93"/>
    <w:rsid w:val="004A3EFD"/>
    <w:rsid w:val="004A3F27"/>
    <w:rsid w:val="004A44C8"/>
    <w:rsid w:val="004A7E39"/>
    <w:rsid w:val="004B1880"/>
    <w:rsid w:val="004B3B7B"/>
    <w:rsid w:val="004B5251"/>
    <w:rsid w:val="004B5F0F"/>
    <w:rsid w:val="004C00E7"/>
    <w:rsid w:val="004C1BBB"/>
    <w:rsid w:val="004C4C8F"/>
    <w:rsid w:val="004C5754"/>
    <w:rsid w:val="004D0574"/>
    <w:rsid w:val="004D0C7C"/>
    <w:rsid w:val="004D118B"/>
    <w:rsid w:val="004D6A72"/>
    <w:rsid w:val="004D7BB0"/>
    <w:rsid w:val="004E09CE"/>
    <w:rsid w:val="004E1174"/>
    <w:rsid w:val="004E1D27"/>
    <w:rsid w:val="004E29C6"/>
    <w:rsid w:val="004E3E8F"/>
    <w:rsid w:val="004E4095"/>
    <w:rsid w:val="004E5E6C"/>
    <w:rsid w:val="004E60B1"/>
    <w:rsid w:val="004E6683"/>
    <w:rsid w:val="004F2D5C"/>
    <w:rsid w:val="004F5E43"/>
    <w:rsid w:val="004F6C59"/>
    <w:rsid w:val="004F7BA3"/>
    <w:rsid w:val="00500698"/>
    <w:rsid w:val="00500C9D"/>
    <w:rsid w:val="00503C39"/>
    <w:rsid w:val="00506528"/>
    <w:rsid w:val="00507986"/>
    <w:rsid w:val="0051050D"/>
    <w:rsid w:val="00510AC6"/>
    <w:rsid w:val="005116B1"/>
    <w:rsid w:val="00513E1D"/>
    <w:rsid w:val="00517351"/>
    <w:rsid w:val="00520444"/>
    <w:rsid w:val="0052463E"/>
    <w:rsid w:val="00525511"/>
    <w:rsid w:val="00526B28"/>
    <w:rsid w:val="00527387"/>
    <w:rsid w:val="00527A7D"/>
    <w:rsid w:val="00531DE2"/>
    <w:rsid w:val="00533D7B"/>
    <w:rsid w:val="00537E40"/>
    <w:rsid w:val="005409C5"/>
    <w:rsid w:val="00540A7C"/>
    <w:rsid w:val="00543090"/>
    <w:rsid w:val="005431A9"/>
    <w:rsid w:val="00543348"/>
    <w:rsid w:val="00544292"/>
    <w:rsid w:val="005456EC"/>
    <w:rsid w:val="005466CE"/>
    <w:rsid w:val="00547154"/>
    <w:rsid w:val="00550EB3"/>
    <w:rsid w:val="0055125F"/>
    <w:rsid w:val="00551A14"/>
    <w:rsid w:val="00553883"/>
    <w:rsid w:val="00554795"/>
    <w:rsid w:val="00556DEA"/>
    <w:rsid w:val="00557DD6"/>
    <w:rsid w:val="00560465"/>
    <w:rsid w:val="00560972"/>
    <w:rsid w:val="00562768"/>
    <w:rsid w:val="00563EA5"/>
    <w:rsid w:val="00563F7B"/>
    <w:rsid w:val="005640A6"/>
    <w:rsid w:val="0056664A"/>
    <w:rsid w:val="00570F8E"/>
    <w:rsid w:val="005719FD"/>
    <w:rsid w:val="00571B06"/>
    <w:rsid w:val="00572118"/>
    <w:rsid w:val="00572434"/>
    <w:rsid w:val="00573359"/>
    <w:rsid w:val="005746D9"/>
    <w:rsid w:val="00574A89"/>
    <w:rsid w:val="00575FFA"/>
    <w:rsid w:val="005767E8"/>
    <w:rsid w:val="00576F30"/>
    <w:rsid w:val="005779F9"/>
    <w:rsid w:val="0058081E"/>
    <w:rsid w:val="005811A1"/>
    <w:rsid w:val="00581989"/>
    <w:rsid w:val="00582144"/>
    <w:rsid w:val="00586CE4"/>
    <w:rsid w:val="00586D82"/>
    <w:rsid w:val="005875FD"/>
    <w:rsid w:val="005879B8"/>
    <w:rsid w:val="00591130"/>
    <w:rsid w:val="00593648"/>
    <w:rsid w:val="00594141"/>
    <w:rsid w:val="00594190"/>
    <w:rsid w:val="00594AC6"/>
    <w:rsid w:val="00594F99"/>
    <w:rsid w:val="00596281"/>
    <w:rsid w:val="00596F19"/>
    <w:rsid w:val="005970B5"/>
    <w:rsid w:val="00597559"/>
    <w:rsid w:val="005978D0"/>
    <w:rsid w:val="005A0026"/>
    <w:rsid w:val="005A0170"/>
    <w:rsid w:val="005A0B86"/>
    <w:rsid w:val="005A1A2B"/>
    <w:rsid w:val="005A2FC0"/>
    <w:rsid w:val="005A3880"/>
    <w:rsid w:val="005A417A"/>
    <w:rsid w:val="005A43B6"/>
    <w:rsid w:val="005A66F6"/>
    <w:rsid w:val="005A73C3"/>
    <w:rsid w:val="005A7A14"/>
    <w:rsid w:val="005B341F"/>
    <w:rsid w:val="005B44D6"/>
    <w:rsid w:val="005B5651"/>
    <w:rsid w:val="005B5699"/>
    <w:rsid w:val="005B613F"/>
    <w:rsid w:val="005B7725"/>
    <w:rsid w:val="005C0E7F"/>
    <w:rsid w:val="005C62E3"/>
    <w:rsid w:val="005D27B8"/>
    <w:rsid w:val="005D2E03"/>
    <w:rsid w:val="005D4544"/>
    <w:rsid w:val="005D4F09"/>
    <w:rsid w:val="005D5178"/>
    <w:rsid w:val="005D6EA8"/>
    <w:rsid w:val="005D6F05"/>
    <w:rsid w:val="005E10E3"/>
    <w:rsid w:val="005E2729"/>
    <w:rsid w:val="005E3FC7"/>
    <w:rsid w:val="005E455C"/>
    <w:rsid w:val="005F1ED0"/>
    <w:rsid w:val="005F3219"/>
    <w:rsid w:val="005F32E7"/>
    <w:rsid w:val="005F3D89"/>
    <w:rsid w:val="005F54D7"/>
    <w:rsid w:val="005F6655"/>
    <w:rsid w:val="005F698B"/>
    <w:rsid w:val="00600956"/>
    <w:rsid w:val="006011E1"/>
    <w:rsid w:val="00602401"/>
    <w:rsid w:val="00604158"/>
    <w:rsid w:val="0060666C"/>
    <w:rsid w:val="00606C5F"/>
    <w:rsid w:val="00610AAD"/>
    <w:rsid w:val="006119D9"/>
    <w:rsid w:val="00614CE6"/>
    <w:rsid w:val="00615CA5"/>
    <w:rsid w:val="00615D43"/>
    <w:rsid w:val="00616BCC"/>
    <w:rsid w:val="0061761A"/>
    <w:rsid w:val="00621039"/>
    <w:rsid w:val="00621AA7"/>
    <w:rsid w:val="00621E1D"/>
    <w:rsid w:val="00623DFF"/>
    <w:rsid w:val="00624299"/>
    <w:rsid w:val="006243EB"/>
    <w:rsid w:val="00625536"/>
    <w:rsid w:val="00625AC1"/>
    <w:rsid w:val="00626698"/>
    <w:rsid w:val="006267F8"/>
    <w:rsid w:val="00630966"/>
    <w:rsid w:val="00630EC4"/>
    <w:rsid w:val="00630EC9"/>
    <w:rsid w:val="0063153B"/>
    <w:rsid w:val="00631B4C"/>
    <w:rsid w:val="00631EAF"/>
    <w:rsid w:val="00632522"/>
    <w:rsid w:val="006328B1"/>
    <w:rsid w:val="00632CB9"/>
    <w:rsid w:val="00635BAE"/>
    <w:rsid w:val="006368D9"/>
    <w:rsid w:val="00641D5A"/>
    <w:rsid w:val="00642777"/>
    <w:rsid w:val="00643B89"/>
    <w:rsid w:val="00645936"/>
    <w:rsid w:val="00646433"/>
    <w:rsid w:val="00646B44"/>
    <w:rsid w:val="00646B92"/>
    <w:rsid w:val="00647402"/>
    <w:rsid w:val="00650282"/>
    <w:rsid w:val="00650A11"/>
    <w:rsid w:val="006511BB"/>
    <w:rsid w:val="006531EF"/>
    <w:rsid w:val="00656305"/>
    <w:rsid w:val="0066034A"/>
    <w:rsid w:val="006631B8"/>
    <w:rsid w:val="006656EC"/>
    <w:rsid w:val="006662EE"/>
    <w:rsid w:val="00667977"/>
    <w:rsid w:val="00670256"/>
    <w:rsid w:val="00670360"/>
    <w:rsid w:val="00672163"/>
    <w:rsid w:val="006725A4"/>
    <w:rsid w:val="00674043"/>
    <w:rsid w:val="006753F0"/>
    <w:rsid w:val="0067567C"/>
    <w:rsid w:val="0067720E"/>
    <w:rsid w:val="00677C65"/>
    <w:rsid w:val="0068051F"/>
    <w:rsid w:val="006812CF"/>
    <w:rsid w:val="006820E6"/>
    <w:rsid w:val="006824EE"/>
    <w:rsid w:val="00682BBC"/>
    <w:rsid w:val="00684490"/>
    <w:rsid w:val="006867B7"/>
    <w:rsid w:val="00686F5E"/>
    <w:rsid w:val="00690DAA"/>
    <w:rsid w:val="006914EF"/>
    <w:rsid w:val="00692122"/>
    <w:rsid w:val="00692DE8"/>
    <w:rsid w:val="0069403E"/>
    <w:rsid w:val="006945C8"/>
    <w:rsid w:val="00695D4D"/>
    <w:rsid w:val="006966CF"/>
    <w:rsid w:val="006A0557"/>
    <w:rsid w:val="006A0782"/>
    <w:rsid w:val="006A1B09"/>
    <w:rsid w:val="006A2772"/>
    <w:rsid w:val="006A2A2C"/>
    <w:rsid w:val="006A2D92"/>
    <w:rsid w:val="006A3D8D"/>
    <w:rsid w:val="006A56C1"/>
    <w:rsid w:val="006A5A2E"/>
    <w:rsid w:val="006A6199"/>
    <w:rsid w:val="006A682F"/>
    <w:rsid w:val="006B04D1"/>
    <w:rsid w:val="006B3C41"/>
    <w:rsid w:val="006B4257"/>
    <w:rsid w:val="006B4876"/>
    <w:rsid w:val="006B7192"/>
    <w:rsid w:val="006C0521"/>
    <w:rsid w:val="006C5AD5"/>
    <w:rsid w:val="006C5CE3"/>
    <w:rsid w:val="006C6483"/>
    <w:rsid w:val="006C672D"/>
    <w:rsid w:val="006C7426"/>
    <w:rsid w:val="006D1474"/>
    <w:rsid w:val="006D1F7D"/>
    <w:rsid w:val="006D29CD"/>
    <w:rsid w:val="006D2BE3"/>
    <w:rsid w:val="006D2BEB"/>
    <w:rsid w:val="006D2BF3"/>
    <w:rsid w:val="006D2EEB"/>
    <w:rsid w:val="006D37CF"/>
    <w:rsid w:val="006D5924"/>
    <w:rsid w:val="006E11EC"/>
    <w:rsid w:val="006E17B6"/>
    <w:rsid w:val="006E37D4"/>
    <w:rsid w:val="006E45FF"/>
    <w:rsid w:val="006E650F"/>
    <w:rsid w:val="006E6C2A"/>
    <w:rsid w:val="006E7242"/>
    <w:rsid w:val="006F0156"/>
    <w:rsid w:val="006F0945"/>
    <w:rsid w:val="006F3BB8"/>
    <w:rsid w:val="006F4553"/>
    <w:rsid w:val="0070149F"/>
    <w:rsid w:val="00703D2D"/>
    <w:rsid w:val="00706E3F"/>
    <w:rsid w:val="00706FE9"/>
    <w:rsid w:val="00710BF9"/>
    <w:rsid w:val="00712914"/>
    <w:rsid w:val="0071360C"/>
    <w:rsid w:val="0071367B"/>
    <w:rsid w:val="007139B6"/>
    <w:rsid w:val="0071468E"/>
    <w:rsid w:val="0071686F"/>
    <w:rsid w:val="007169CF"/>
    <w:rsid w:val="00716A12"/>
    <w:rsid w:val="00716D5C"/>
    <w:rsid w:val="00716E66"/>
    <w:rsid w:val="00717760"/>
    <w:rsid w:val="00717800"/>
    <w:rsid w:val="0072018D"/>
    <w:rsid w:val="007208D9"/>
    <w:rsid w:val="00720AF5"/>
    <w:rsid w:val="00720C9D"/>
    <w:rsid w:val="00720FFE"/>
    <w:rsid w:val="007234BB"/>
    <w:rsid w:val="00724C0F"/>
    <w:rsid w:val="00732185"/>
    <w:rsid w:val="0073258B"/>
    <w:rsid w:val="00732BA8"/>
    <w:rsid w:val="0073350E"/>
    <w:rsid w:val="00733F8C"/>
    <w:rsid w:val="00734E99"/>
    <w:rsid w:val="007359A7"/>
    <w:rsid w:val="00736A54"/>
    <w:rsid w:val="00743475"/>
    <w:rsid w:val="00744352"/>
    <w:rsid w:val="00744ECC"/>
    <w:rsid w:val="0074677C"/>
    <w:rsid w:val="00746E21"/>
    <w:rsid w:val="0074740B"/>
    <w:rsid w:val="00747E73"/>
    <w:rsid w:val="007506AE"/>
    <w:rsid w:val="0075393B"/>
    <w:rsid w:val="0075471A"/>
    <w:rsid w:val="00755917"/>
    <w:rsid w:val="0075771C"/>
    <w:rsid w:val="007608D7"/>
    <w:rsid w:val="00763D76"/>
    <w:rsid w:val="00764FAA"/>
    <w:rsid w:val="00767A04"/>
    <w:rsid w:val="00773719"/>
    <w:rsid w:val="00773B58"/>
    <w:rsid w:val="00774343"/>
    <w:rsid w:val="007754E1"/>
    <w:rsid w:val="007771D9"/>
    <w:rsid w:val="00777487"/>
    <w:rsid w:val="007777A1"/>
    <w:rsid w:val="0078003D"/>
    <w:rsid w:val="0078273E"/>
    <w:rsid w:val="007827EB"/>
    <w:rsid w:val="00782DCD"/>
    <w:rsid w:val="00782F88"/>
    <w:rsid w:val="0078442D"/>
    <w:rsid w:val="0078471D"/>
    <w:rsid w:val="00784EC0"/>
    <w:rsid w:val="0078730F"/>
    <w:rsid w:val="007875DF"/>
    <w:rsid w:val="0078760F"/>
    <w:rsid w:val="007913FD"/>
    <w:rsid w:val="0079221B"/>
    <w:rsid w:val="007925C2"/>
    <w:rsid w:val="0079592C"/>
    <w:rsid w:val="00796A50"/>
    <w:rsid w:val="00797FCE"/>
    <w:rsid w:val="007A01E1"/>
    <w:rsid w:val="007A49C2"/>
    <w:rsid w:val="007A4BDD"/>
    <w:rsid w:val="007A5FEA"/>
    <w:rsid w:val="007A7049"/>
    <w:rsid w:val="007B05B3"/>
    <w:rsid w:val="007B14CE"/>
    <w:rsid w:val="007B241A"/>
    <w:rsid w:val="007B33D7"/>
    <w:rsid w:val="007B4E6D"/>
    <w:rsid w:val="007C06F5"/>
    <w:rsid w:val="007C08F8"/>
    <w:rsid w:val="007C1837"/>
    <w:rsid w:val="007C1B87"/>
    <w:rsid w:val="007C2377"/>
    <w:rsid w:val="007C293A"/>
    <w:rsid w:val="007D0CC0"/>
    <w:rsid w:val="007D537B"/>
    <w:rsid w:val="007D6F3F"/>
    <w:rsid w:val="007D73CC"/>
    <w:rsid w:val="007D7C80"/>
    <w:rsid w:val="007E1522"/>
    <w:rsid w:val="007E190E"/>
    <w:rsid w:val="007E1BD0"/>
    <w:rsid w:val="007E1D58"/>
    <w:rsid w:val="007E6CF8"/>
    <w:rsid w:val="007E6ECC"/>
    <w:rsid w:val="007F0ABE"/>
    <w:rsid w:val="007F0ED9"/>
    <w:rsid w:val="007F25A7"/>
    <w:rsid w:val="007F2645"/>
    <w:rsid w:val="007F2E9C"/>
    <w:rsid w:val="007F42BA"/>
    <w:rsid w:val="007F4668"/>
    <w:rsid w:val="007F571B"/>
    <w:rsid w:val="007F64C7"/>
    <w:rsid w:val="008031EC"/>
    <w:rsid w:val="008034D8"/>
    <w:rsid w:val="00805283"/>
    <w:rsid w:val="008054F0"/>
    <w:rsid w:val="00805BD3"/>
    <w:rsid w:val="00807DB6"/>
    <w:rsid w:val="0081001C"/>
    <w:rsid w:val="00811634"/>
    <w:rsid w:val="00815425"/>
    <w:rsid w:val="008155E3"/>
    <w:rsid w:val="00815DBB"/>
    <w:rsid w:val="00817638"/>
    <w:rsid w:val="008228A5"/>
    <w:rsid w:val="00822B3C"/>
    <w:rsid w:val="0082307E"/>
    <w:rsid w:val="008245A7"/>
    <w:rsid w:val="00827ACD"/>
    <w:rsid w:val="00830ED9"/>
    <w:rsid w:val="008334E8"/>
    <w:rsid w:val="00834367"/>
    <w:rsid w:val="00834565"/>
    <w:rsid w:val="008369A3"/>
    <w:rsid w:val="00837300"/>
    <w:rsid w:val="00837F65"/>
    <w:rsid w:val="008410B6"/>
    <w:rsid w:val="008441E1"/>
    <w:rsid w:val="00845B33"/>
    <w:rsid w:val="00846450"/>
    <w:rsid w:val="0084654D"/>
    <w:rsid w:val="008469BF"/>
    <w:rsid w:val="008478CE"/>
    <w:rsid w:val="00847C2B"/>
    <w:rsid w:val="00847E7D"/>
    <w:rsid w:val="00847F14"/>
    <w:rsid w:val="00850CF7"/>
    <w:rsid w:val="00854B58"/>
    <w:rsid w:val="0085583B"/>
    <w:rsid w:val="00856EF0"/>
    <w:rsid w:val="00857E85"/>
    <w:rsid w:val="00860804"/>
    <w:rsid w:val="00860E75"/>
    <w:rsid w:val="0086103A"/>
    <w:rsid w:val="008617EA"/>
    <w:rsid w:val="0086208D"/>
    <w:rsid w:val="008629E3"/>
    <w:rsid w:val="00864321"/>
    <w:rsid w:val="00865DC8"/>
    <w:rsid w:val="00870B8A"/>
    <w:rsid w:val="00870D58"/>
    <w:rsid w:val="008712A0"/>
    <w:rsid w:val="008717D4"/>
    <w:rsid w:val="00872621"/>
    <w:rsid w:val="008727AA"/>
    <w:rsid w:val="008729DD"/>
    <w:rsid w:val="00872A4E"/>
    <w:rsid w:val="00873250"/>
    <w:rsid w:val="00873825"/>
    <w:rsid w:val="008739EF"/>
    <w:rsid w:val="00873ADE"/>
    <w:rsid w:val="00876F9A"/>
    <w:rsid w:val="00877C17"/>
    <w:rsid w:val="008839E5"/>
    <w:rsid w:val="00883C78"/>
    <w:rsid w:val="0088761A"/>
    <w:rsid w:val="00890A9E"/>
    <w:rsid w:val="00891732"/>
    <w:rsid w:val="00891E13"/>
    <w:rsid w:val="00892576"/>
    <w:rsid w:val="00894601"/>
    <w:rsid w:val="00894CD3"/>
    <w:rsid w:val="0089524E"/>
    <w:rsid w:val="00895D49"/>
    <w:rsid w:val="0089655D"/>
    <w:rsid w:val="0089699B"/>
    <w:rsid w:val="008A0B24"/>
    <w:rsid w:val="008A4654"/>
    <w:rsid w:val="008A6491"/>
    <w:rsid w:val="008A6708"/>
    <w:rsid w:val="008A7CF1"/>
    <w:rsid w:val="008B0674"/>
    <w:rsid w:val="008B0B60"/>
    <w:rsid w:val="008B0CFF"/>
    <w:rsid w:val="008B20C2"/>
    <w:rsid w:val="008B333C"/>
    <w:rsid w:val="008B3684"/>
    <w:rsid w:val="008B3CD2"/>
    <w:rsid w:val="008B5C6E"/>
    <w:rsid w:val="008B62CB"/>
    <w:rsid w:val="008B75E1"/>
    <w:rsid w:val="008C011F"/>
    <w:rsid w:val="008C0805"/>
    <w:rsid w:val="008C096C"/>
    <w:rsid w:val="008C0B6E"/>
    <w:rsid w:val="008C1CAA"/>
    <w:rsid w:val="008C26F4"/>
    <w:rsid w:val="008C2C7F"/>
    <w:rsid w:val="008C3539"/>
    <w:rsid w:val="008C4888"/>
    <w:rsid w:val="008C624A"/>
    <w:rsid w:val="008D0500"/>
    <w:rsid w:val="008D1DB1"/>
    <w:rsid w:val="008D1DF0"/>
    <w:rsid w:val="008D2042"/>
    <w:rsid w:val="008D3892"/>
    <w:rsid w:val="008D39AA"/>
    <w:rsid w:val="008D3E8C"/>
    <w:rsid w:val="008D4828"/>
    <w:rsid w:val="008D4918"/>
    <w:rsid w:val="008D5118"/>
    <w:rsid w:val="008D55F9"/>
    <w:rsid w:val="008D6A9C"/>
    <w:rsid w:val="008E0D56"/>
    <w:rsid w:val="008E2B2F"/>
    <w:rsid w:val="008E348C"/>
    <w:rsid w:val="008E4DFF"/>
    <w:rsid w:val="008E549E"/>
    <w:rsid w:val="008E54D0"/>
    <w:rsid w:val="008E5E23"/>
    <w:rsid w:val="008E67C0"/>
    <w:rsid w:val="008E7798"/>
    <w:rsid w:val="008E7F9F"/>
    <w:rsid w:val="008F09FE"/>
    <w:rsid w:val="008F0DCB"/>
    <w:rsid w:val="008F0E8C"/>
    <w:rsid w:val="008F1046"/>
    <w:rsid w:val="008F18B3"/>
    <w:rsid w:val="008F1E40"/>
    <w:rsid w:val="008F281A"/>
    <w:rsid w:val="008F2DC7"/>
    <w:rsid w:val="008F5890"/>
    <w:rsid w:val="008F5958"/>
    <w:rsid w:val="008F5B59"/>
    <w:rsid w:val="008F6E9D"/>
    <w:rsid w:val="00900C12"/>
    <w:rsid w:val="0090134A"/>
    <w:rsid w:val="00901EDF"/>
    <w:rsid w:val="00903CAE"/>
    <w:rsid w:val="00904B02"/>
    <w:rsid w:val="00904BBF"/>
    <w:rsid w:val="009050B9"/>
    <w:rsid w:val="00905752"/>
    <w:rsid w:val="00906288"/>
    <w:rsid w:val="00906E14"/>
    <w:rsid w:val="009076FD"/>
    <w:rsid w:val="00907B83"/>
    <w:rsid w:val="0091113E"/>
    <w:rsid w:val="009125A7"/>
    <w:rsid w:val="009128E8"/>
    <w:rsid w:val="00912DE2"/>
    <w:rsid w:val="0091445A"/>
    <w:rsid w:val="009145EC"/>
    <w:rsid w:val="009151F5"/>
    <w:rsid w:val="009175A4"/>
    <w:rsid w:val="00920962"/>
    <w:rsid w:val="00920A27"/>
    <w:rsid w:val="00926C2E"/>
    <w:rsid w:val="0092726F"/>
    <w:rsid w:val="009308F0"/>
    <w:rsid w:val="0093251D"/>
    <w:rsid w:val="0093679D"/>
    <w:rsid w:val="00936C94"/>
    <w:rsid w:val="00937CD8"/>
    <w:rsid w:val="00937DFB"/>
    <w:rsid w:val="0094131B"/>
    <w:rsid w:val="00941D69"/>
    <w:rsid w:val="00944597"/>
    <w:rsid w:val="00944936"/>
    <w:rsid w:val="00944AA7"/>
    <w:rsid w:val="00944FC7"/>
    <w:rsid w:val="00946AD7"/>
    <w:rsid w:val="00947C30"/>
    <w:rsid w:val="00947F91"/>
    <w:rsid w:val="0095045E"/>
    <w:rsid w:val="009527D5"/>
    <w:rsid w:val="00952D7C"/>
    <w:rsid w:val="009540D9"/>
    <w:rsid w:val="009546F6"/>
    <w:rsid w:val="009569C9"/>
    <w:rsid w:val="00956BA1"/>
    <w:rsid w:val="00961356"/>
    <w:rsid w:val="00962C9F"/>
    <w:rsid w:val="00963DA9"/>
    <w:rsid w:val="0096455D"/>
    <w:rsid w:val="00964F55"/>
    <w:rsid w:val="00965CBF"/>
    <w:rsid w:val="00966271"/>
    <w:rsid w:val="0097372C"/>
    <w:rsid w:val="00975270"/>
    <w:rsid w:val="00976837"/>
    <w:rsid w:val="009769C6"/>
    <w:rsid w:val="00977F47"/>
    <w:rsid w:val="00980FD2"/>
    <w:rsid w:val="00982A5F"/>
    <w:rsid w:val="009837EF"/>
    <w:rsid w:val="00983E88"/>
    <w:rsid w:val="00984BDC"/>
    <w:rsid w:val="009857E0"/>
    <w:rsid w:val="00987A1D"/>
    <w:rsid w:val="00990BFC"/>
    <w:rsid w:val="0099116B"/>
    <w:rsid w:val="0099118E"/>
    <w:rsid w:val="009918FB"/>
    <w:rsid w:val="00991CE2"/>
    <w:rsid w:val="009A0497"/>
    <w:rsid w:val="009A058C"/>
    <w:rsid w:val="009A1142"/>
    <w:rsid w:val="009A1A9A"/>
    <w:rsid w:val="009A2D21"/>
    <w:rsid w:val="009A37CC"/>
    <w:rsid w:val="009B157C"/>
    <w:rsid w:val="009B17B7"/>
    <w:rsid w:val="009B2293"/>
    <w:rsid w:val="009B36BF"/>
    <w:rsid w:val="009B3896"/>
    <w:rsid w:val="009B488F"/>
    <w:rsid w:val="009B4CD4"/>
    <w:rsid w:val="009B5872"/>
    <w:rsid w:val="009B5A80"/>
    <w:rsid w:val="009B671B"/>
    <w:rsid w:val="009B6ACF"/>
    <w:rsid w:val="009B6B48"/>
    <w:rsid w:val="009B7123"/>
    <w:rsid w:val="009C0CEB"/>
    <w:rsid w:val="009C3E19"/>
    <w:rsid w:val="009C74B5"/>
    <w:rsid w:val="009C7BD2"/>
    <w:rsid w:val="009D0E47"/>
    <w:rsid w:val="009D1F1C"/>
    <w:rsid w:val="009D2902"/>
    <w:rsid w:val="009D39D7"/>
    <w:rsid w:val="009D3AEC"/>
    <w:rsid w:val="009D463F"/>
    <w:rsid w:val="009D5978"/>
    <w:rsid w:val="009D6B02"/>
    <w:rsid w:val="009D7957"/>
    <w:rsid w:val="009D7CE6"/>
    <w:rsid w:val="009E008F"/>
    <w:rsid w:val="009E0870"/>
    <w:rsid w:val="009E1DD7"/>
    <w:rsid w:val="009E262C"/>
    <w:rsid w:val="009E2E26"/>
    <w:rsid w:val="009E3B03"/>
    <w:rsid w:val="009E6430"/>
    <w:rsid w:val="009E720C"/>
    <w:rsid w:val="009E771F"/>
    <w:rsid w:val="009E7BB5"/>
    <w:rsid w:val="009F2527"/>
    <w:rsid w:val="009F48BD"/>
    <w:rsid w:val="009F56A0"/>
    <w:rsid w:val="009F60B9"/>
    <w:rsid w:val="009F6692"/>
    <w:rsid w:val="009F7CD7"/>
    <w:rsid w:val="00A00F82"/>
    <w:rsid w:val="00A01C94"/>
    <w:rsid w:val="00A02AB8"/>
    <w:rsid w:val="00A0444F"/>
    <w:rsid w:val="00A0476D"/>
    <w:rsid w:val="00A05393"/>
    <w:rsid w:val="00A05924"/>
    <w:rsid w:val="00A12337"/>
    <w:rsid w:val="00A127AE"/>
    <w:rsid w:val="00A212FC"/>
    <w:rsid w:val="00A214D7"/>
    <w:rsid w:val="00A21C3A"/>
    <w:rsid w:val="00A21E2D"/>
    <w:rsid w:val="00A22274"/>
    <w:rsid w:val="00A223AF"/>
    <w:rsid w:val="00A2267C"/>
    <w:rsid w:val="00A23419"/>
    <w:rsid w:val="00A3175D"/>
    <w:rsid w:val="00A32793"/>
    <w:rsid w:val="00A37515"/>
    <w:rsid w:val="00A376D1"/>
    <w:rsid w:val="00A412A4"/>
    <w:rsid w:val="00A44E29"/>
    <w:rsid w:val="00A45752"/>
    <w:rsid w:val="00A46BA8"/>
    <w:rsid w:val="00A54607"/>
    <w:rsid w:val="00A56632"/>
    <w:rsid w:val="00A566F7"/>
    <w:rsid w:val="00A605AA"/>
    <w:rsid w:val="00A60788"/>
    <w:rsid w:val="00A624D4"/>
    <w:rsid w:val="00A63766"/>
    <w:rsid w:val="00A63795"/>
    <w:rsid w:val="00A63817"/>
    <w:rsid w:val="00A64DFC"/>
    <w:rsid w:val="00A64E67"/>
    <w:rsid w:val="00A652CB"/>
    <w:rsid w:val="00A65708"/>
    <w:rsid w:val="00A7024E"/>
    <w:rsid w:val="00A737F4"/>
    <w:rsid w:val="00A74FE2"/>
    <w:rsid w:val="00A75DAF"/>
    <w:rsid w:val="00A76EBE"/>
    <w:rsid w:val="00A80316"/>
    <w:rsid w:val="00A80DCD"/>
    <w:rsid w:val="00A82647"/>
    <w:rsid w:val="00A8360B"/>
    <w:rsid w:val="00A84D1F"/>
    <w:rsid w:val="00A8579B"/>
    <w:rsid w:val="00A857D9"/>
    <w:rsid w:val="00A86340"/>
    <w:rsid w:val="00A865B6"/>
    <w:rsid w:val="00A90857"/>
    <w:rsid w:val="00A90A64"/>
    <w:rsid w:val="00A91448"/>
    <w:rsid w:val="00A92245"/>
    <w:rsid w:val="00A93708"/>
    <w:rsid w:val="00A93A78"/>
    <w:rsid w:val="00A94548"/>
    <w:rsid w:val="00A97E0B"/>
    <w:rsid w:val="00AA0414"/>
    <w:rsid w:val="00AA0807"/>
    <w:rsid w:val="00AA1937"/>
    <w:rsid w:val="00AA25A1"/>
    <w:rsid w:val="00AA2B6A"/>
    <w:rsid w:val="00AA37C2"/>
    <w:rsid w:val="00AA4B70"/>
    <w:rsid w:val="00AA7756"/>
    <w:rsid w:val="00AA7E7D"/>
    <w:rsid w:val="00AB2198"/>
    <w:rsid w:val="00AB2960"/>
    <w:rsid w:val="00AB574B"/>
    <w:rsid w:val="00AB6DF3"/>
    <w:rsid w:val="00AB79EC"/>
    <w:rsid w:val="00AC06AD"/>
    <w:rsid w:val="00AC1849"/>
    <w:rsid w:val="00AC1DB2"/>
    <w:rsid w:val="00AC23DD"/>
    <w:rsid w:val="00AC4436"/>
    <w:rsid w:val="00AC6D7C"/>
    <w:rsid w:val="00AC758F"/>
    <w:rsid w:val="00AC7763"/>
    <w:rsid w:val="00AD01BB"/>
    <w:rsid w:val="00AD02B4"/>
    <w:rsid w:val="00AD4CDC"/>
    <w:rsid w:val="00AD5C7A"/>
    <w:rsid w:val="00AD63C5"/>
    <w:rsid w:val="00AD640D"/>
    <w:rsid w:val="00AD6B21"/>
    <w:rsid w:val="00AD6D7F"/>
    <w:rsid w:val="00AE0DAF"/>
    <w:rsid w:val="00AE1E77"/>
    <w:rsid w:val="00AE311C"/>
    <w:rsid w:val="00AE32FC"/>
    <w:rsid w:val="00AE3926"/>
    <w:rsid w:val="00AE46AA"/>
    <w:rsid w:val="00AE6061"/>
    <w:rsid w:val="00AE6D93"/>
    <w:rsid w:val="00AF0388"/>
    <w:rsid w:val="00AF05EF"/>
    <w:rsid w:val="00AF0863"/>
    <w:rsid w:val="00AF29BB"/>
    <w:rsid w:val="00AF2B88"/>
    <w:rsid w:val="00AF4714"/>
    <w:rsid w:val="00AF5F2E"/>
    <w:rsid w:val="00AF63A9"/>
    <w:rsid w:val="00AF739D"/>
    <w:rsid w:val="00B00194"/>
    <w:rsid w:val="00B006A9"/>
    <w:rsid w:val="00B01ECE"/>
    <w:rsid w:val="00B04E96"/>
    <w:rsid w:val="00B06148"/>
    <w:rsid w:val="00B068F2"/>
    <w:rsid w:val="00B11112"/>
    <w:rsid w:val="00B11BD1"/>
    <w:rsid w:val="00B12922"/>
    <w:rsid w:val="00B13310"/>
    <w:rsid w:val="00B13DDB"/>
    <w:rsid w:val="00B154EA"/>
    <w:rsid w:val="00B16720"/>
    <w:rsid w:val="00B20969"/>
    <w:rsid w:val="00B2109F"/>
    <w:rsid w:val="00B22390"/>
    <w:rsid w:val="00B2258D"/>
    <w:rsid w:val="00B225B0"/>
    <w:rsid w:val="00B318B0"/>
    <w:rsid w:val="00B31E83"/>
    <w:rsid w:val="00B3230A"/>
    <w:rsid w:val="00B325B0"/>
    <w:rsid w:val="00B328FC"/>
    <w:rsid w:val="00B3411C"/>
    <w:rsid w:val="00B4136C"/>
    <w:rsid w:val="00B4271C"/>
    <w:rsid w:val="00B42A04"/>
    <w:rsid w:val="00B43453"/>
    <w:rsid w:val="00B450F8"/>
    <w:rsid w:val="00B47A0F"/>
    <w:rsid w:val="00B47CFD"/>
    <w:rsid w:val="00B50649"/>
    <w:rsid w:val="00B51DCA"/>
    <w:rsid w:val="00B51EDA"/>
    <w:rsid w:val="00B5400D"/>
    <w:rsid w:val="00B549E8"/>
    <w:rsid w:val="00B557B6"/>
    <w:rsid w:val="00B55E3F"/>
    <w:rsid w:val="00B56CE2"/>
    <w:rsid w:val="00B5788A"/>
    <w:rsid w:val="00B60A1E"/>
    <w:rsid w:val="00B61595"/>
    <w:rsid w:val="00B62240"/>
    <w:rsid w:val="00B657A0"/>
    <w:rsid w:val="00B65FA8"/>
    <w:rsid w:val="00B66384"/>
    <w:rsid w:val="00B664D8"/>
    <w:rsid w:val="00B7014D"/>
    <w:rsid w:val="00B7017B"/>
    <w:rsid w:val="00B722B5"/>
    <w:rsid w:val="00B73F2E"/>
    <w:rsid w:val="00B74113"/>
    <w:rsid w:val="00B77755"/>
    <w:rsid w:val="00B816C7"/>
    <w:rsid w:val="00B827C5"/>
    <w:rsid w:val="00B83D1F"/>
    <w:rsid w:val="00B84190"/>
    <w:rsid w:val="00B86B5D"/>
    <w:rsid w:val="00B87951"/>
    <w:rsid w:val="00B9057D"/>
    <w:rsid w:val="00B91546"/>
    <w:rsid w:val="00B919DC"/>
    <w:rsid w:val="00B91D3B"/>
    <w:rsid w:val="00B93466"/>
    <w:rsid w:val="00B94293"/>
    <w:rsid w:val="00B94B1E"/>
    <w:rsid w:val="00B96C31"/>
    <w:rsid w:val="00B9718C"/>
    <w:rsid w:val="00B978BD"/>
    <w:rsid w:val="00BA1691"/>
    <w:rsid w:val="00BA326C"/>
    <w:rsid w:val="00BA697C"/>
    <w:rsid w:val="00BA6CA2"/>
    <w:rsid w:val="00BA7599"/>
    <w:rsid w:val="00BB0E54"/>
    <w:rsid w:val="00BB1709"/>
    <w:rsid w:val="00BB249D"/>
    <w:rsid w:val="00BB76DF"/>
    <w:rsid w:val="00BC0541"/>
    <w:rsid w:val="00BC17BE"/>
    <w:rsid w:val="00BC231C"/>
    <w:rsid w:val="00BC2FCC"/>
    <w:rsid w:val="00BC4067"/>
    <w:rsid w:val="00BC468A"/>
    <w:rsid w:val="00BC599C"/>
    <w:rsid w:val="00BC7D24"/>
    <w:rsid w:val="00BD0413"/>
    <w:rsid w:val="00BD0C96"/>
    <w:rsid w:val="00BD1587"/>
    <w:rsid w:val="00BD22AD"/>
    <w:rsid w:val="00BD25CD"/>
    <w:rsid w:val="00BD29DF"/>
    <w:rsid w:val="00BD2E17"/>
    <w:rsid w:val="00BD483E"/>
    <w:rsid w:val="00BD6E3E"/>
    <w:rsid w:val="00BD7B1A"/>
    <w:rsid w:val="00BE0BD9"/>
    <w:rsid w:val="00BE2ED0"/>
    <w:rsid w:val="00BE3370"/>
    <w:rsid w:val="00BE4286"/>
    <w:rsid w:val="00BE4622"/>
    <w:rsid w:val="00BE4815"/>
    <w:rsid w:val="00BE5FB9"/>
    <w:rsid w:val="00BE647C"/>
    <w:rsid w:val="00BE650A"/>
    <w:rsid w:val="00BE655B"/>
    <w:rsid w:val="00BE7CC4"/>
    <w:rsid w:val="00BF260C"/>
    <w:rsid w:val="00BF268F"/>
    <w:rsid w:val="00BF385C"/>
    <w:rsid w:val="00BF6B96"/>
    <w:rsid w:val="00BF773B"/>
    <w:rsid w:val="00C03042"/>
    <w:rsid w:val="00C0349A"/>
    <w:rsid w:val="00C04A7D"/>
    <w:rsid w:val="00C06039"/>
    <w:rsid w:val="00C0622F"/>
    <w:rsid w:val="00C06A01"/>
    <w:rsid w:val="00C078DB"/>
    <w:rsid w:val="00C079DC"/>
    <w:rsid w:val="00C10042"/>
    <w:rsid w:val="00C120C0"/>
    <w:rsid w:val="00C13270"/>
    <w:rsid w:val="00C13EF0"/>
    <w:rsid w:val="00C15256"/>
    <w:rsid w:val="00C15A21"/>
    <w:rsid w:val="00C17344"/>
    <w:rsid w:val="00C17AAA"/>
    <w:rsid w:val="00C202C8"/>
    <w:rsid w:val="00C20D5F"/>
    <w:rsid w:val="00C22EBB"/>
    <w:rsid w:val="00C235D2"/>
    <w:rsid w:val="00C2545A"/>
    <w:rsid w:val="00C26BA5"/>
    <w:rsid w:val="00C26E4A"/>
    <w:rsid w:val="00C30188"/>
    <w:rsid w:val="00C30451"/>
    <w:rsid w:val="00C30AB4"/>
    <w:rsid w:val="00C31CC0"/>
    <w:rsid w:val="00C3203A"/>
    <w:rsid w:val="00C33045"/>
    <w:rsid w:val="00C364F8"/>
    <w:rsid w:val="00C41A41"/>
    <w:rsid w:val="00C4306B"/>
    <w:rsid w:val="00C433F6"/>
    <w:rsid w:val="00C4353E"/>
    <w:rsid w:val="00C44428"/>
    <w:rsid w:val="00C45162"/>
    <w:rsid w:val="00C46EA7"/>
    <w:rsid w:val="00C509D3"/>
    <w:rsid w:val="00C522A9"/>
    <w:rsid w:val="00C55183"/>
    <w:rsid w:val="00C60191"/>
    <w:rsid w:val="00C60BBD"/>
    <w:rsid w:val="00C61C35"/>
    <w:rsid w:val="00C6231F"/>
    <w:rsid w:val="00C63CA5"/>
    <w:rsid w:val="00C67CDD"/>
    <w:rsid w:val="00C712D1"/>
    <w:rsid w:val="00C734E1"/>
    <w:rsid w:val="00C74661"/>
    <w:rsid w:val="00C751A5"/>
    <w:rsid w:val="00C75C12"/>
    <w:rsid w:val="00C82045"/>
    <w:rsid w:val="00C84152"/>
    <w:rsid w:val="00C84428"/>
    <w:rsid w:val="00C850F4"/>
    <w:rsid w:val="00C8797D"/>
    <w:rsid w:val="00C902D7"/>
    <w:rsid w:val="00C94463"/>
    <w:rsid w:val="00C94CD6"/>
    <w:rsid w:val="00C95799"/>
    <w:rsid w:val="00C96388"/>
    <w:rsid w:val="00C9661C"/>
    <w:rsid w:val="00C971CD"/>
    <w:rsid w:val="00C974CF"/>
    <w:rsid w:val="00CA10EB"/>
    <w:rsid w:val="00CA31D5"/>
    <w:rsid w:val="00CA5B78"/>
    <w:rsid w:val="00CA6695"/>
    <w:rsid w:val="00CA70B9"/>
    <w:rsid w:val="00CB208D"/>
    <w:rsid w:val="00CB511B"/>
    <w:rsid w:val="00CB7414"/>
    <w:rsid w:val="00CC3809"/>
    <w:rsid w:val="00CC4B2B"/>
    <w:rsid w:val="00CC7744"/>
    <w:rsid w:val="00CD058E"/>
    <w:rsid w:val="00CD2886"/>
    <w:rsid w:val="00CD2C94"/>
    <w:rsid w:val="00CD37D6"/>
    <w:rsid w:val="00CD3ACC"/>
    <w:rsid w:val="00CD3F58"/>
    <w:rsid w:val="00CD437D"/>
    <w:rsid w:val="00CD44C8"/>
    <w:rsid w:val="00CD7C25"/>
    <w:rsid w:val="00CE1B7F"/>
    <w:rsid w:val="00CE2873"/>
    <w:rsid w:val="00CE30A6"/>
    <w:rsid w:val="00CE42A1"/>
    <w:rsid w:val="00CE6738"/>
    <w:rsid w:val="00CE7C01"/>
    <w:rsid w:val="00CE7C37"/>
    <w:rsid w:val="00CF0B89"/>
    <w:rsid w:val="00CF2024"/>
    <w:rsid w:val="00CF3FBF"/>
    <w:rsid w:val="00CF4AD8"/>
    <w:rsid w:val="00CF61B6"/>
    <w:rsid w:val="00CF671F"/>
    <w:rsid w:val="00CF73B7"/>
    <w:rsid w:val="00D00503"/>
    <w:rsid w:val="00D00846"/>
    <w:rsid w:val="00D01950"/>
    <w:rsid w:val="00D04919"/>
    <w:rsid w:val="00D04CC4"/>
    <w:rsid w:val="00D052B4"/>
    <w:rsid w:val="00D05E1D"/>
    <w:rsid w:val="00D07E33"/>
    <w:rsid w:val="00D10076"/>
    <w:rsid w:val="00D1007B"/>
    <w:rsid w:val="00D117B7"/>
    <w:rsid w:val="00D11D27"/>
    <w:rsid w:val="00D12778"/>
    <w:rsid w:val="00D1351A"/>
    <w:rsid w:val="00D13B5A"/>
    <w:rsid w:val="00D1488F"/>
    <w:rsid w:val="00D16690"/>
    <w:rsid w:val="00D20645"/>
    <w:rsid w:val="00D20D4C"/>
    <w:rsid w:val="00D2286F"/>
    <w:rsid w:val="00D22AD5"/>
    <w:rsid w:val="00D23A87"/>
    <w:rsid w:val="00D2449C"/>
    <w:rsid w:val="00D24AAD"/>
    <w:rsid w:val="00D252D1"/>
    <w:rsid w:val="00D2758D"/>
    <w:rsid w:val="00D3177D"/>
    <w:rsid w:val="00D337D1"/>
    <w:rsid w:val="00D33EFF"/>
    <w:rsid w:val="00D357D2"/>
    <w:rsid w:val="00D35822"/>
    <w:rsid w:val="00D35D5B"/>
    <w:rsid w:val="00D35E5E"/>
    <w:rsid w:val="00D37FD6"/>
    <w:rsid w:val="00D406B9"/>
    <w:rsid w:val="00D40A3D"/>
    <w:rsid w:val="00D4105E"/>
    <w:rsid w:val="00D41FA2"/>
    <w:rsid w:val="00D420DA"/>
    <w:rsid w:val="00D43E31"/>
    <w:rsid w:val="00D45B85"/>
    <w:rsid w:val="00D478C9"/>
    <w:rsid w:val="00D50283"/>
    <w:rsid w:val="00D504F9"/>
    <w:rsid w:val="00D5127D"/>
    <w:rsid w:val="00D56093"/>
    <w:rsid w:val="00D61782"/>
    <w:rsid w:val="00D61DDF"/>
    <w:rsid w:val="00D64638"/>
    <w:rsid w:val="00D66BB5"/>
    <w:rsid w:val="00D675F9"/>
    <w:rsid w:val="00D6772B"/>
    <w:rsid w:val="00D71F7D"/>
    <w:rsid w:val="00D71F97"/>
    <w:rsid w:val="00D7239D"/>
    <w:rsid w:val="00D726AF"/>
    <w:rsid w:val="00D73421"/>
    <w:rsid w:val="00D7450E"/>
    <w:rsid w:val="00D74A41"/>
    <w:rsid w:val="00D753D1"/>
    <w:rsid w:val="00D763DE"/>
    <w:rsid w:val="00D76907"/>
    <w:rsid w:val="00D806AE"/>
    <w:rsid w:val="00D81644"/>
    <w:rsid w:val="00D8436A"/>
    <w:rsid w:val="00D85D6C"/>
    <w:rsid w:val="00D867CE"/>
    <w:rsid w:val="00D8799E"/>
    <w:rsid w:val="00D9441D"/>
    <w:rsid w:val="00D95AEB"/>
    <w:rsid w:val="00DA04ED"/>
    <w:rsid w:val="00DA166D"/>
    <w:rsid w:val="00DA35CD"/>
    <w:rsid w:val="00DA664C"/>
    <w:rsid w:val="00DA791C"/>
    <w:rsid w:val="00DA7BC5"/>
    <w:rsid w:val="00DB17A2"/>
    <w:rsid w:val="00DB1D74"/>
    <w:rsid w:val="00DB25E4"/>
    <w:rsid w:val="00DB36C2"/>
    <w:rsid w:val="00DB39EB"/>
    <w:rsid w:val="00DB45EC"/>
    <w:rsid w:val="00DB4917"/>
    <w:rsid w:val="00DB55AC"/>
    <w:rsid w:val="00DB5F07"/>
    <w:rsid w:val="00DB641A"/>
    <w:rsid w:val="00DB6524"/>
    <w:rsid w:val="00DB6D0F"/>
    <w:rsid w:val="00DC14F0"/>
    <w:rsid w:val="00DC1945"/>
    <w:rsid w:val="00DC6305"/>
    <w:rsid w:val="00DC68C9"/>
    <w:rsid w:val="00DD0C38"/>
    <w:rsid w:val="00DD1B1B"/>
    <w:rsid w:val="00DD32DC"/>
    <w:rsid w:val="00DD617D"/>
    <w:rsid w:val="00DD7003"/>
    <w:rsid w:val="00DE04E0"/>
    <w:rsid w:val="00DE06E0"/>
    <w:rsid w:val="00DE37C0"/>
    <w:rsid w:val="00DE55FF"/>
    <w:rsid w:val="00DE5F6F"/>
    <w:rsid w:val="00DE7F03"/>
    <w:rsid w:val="00DF1385"/>
    <w:rsid w:val="00DF2F4B"/>
    <w:rsid w:val="00DF3A49"/>
    <w:rsid w:val="00DF5806"/>
    <w:rsid w:val="00DF5A03"/>
    <w:rsid w:val="00DF5E1B"/>
    <w:rsid w:val="00DF71A3"/>
    <w:rsid w:val="00E00448"/>
    <w:rsid w:val="00E00B23"/>
    <w:rsid w:val="00E0117D"/>
    <w:rsid w:val="00E0251F"/>
    <w:rsid w:val="00E02860"/>
    <w:rsid w:val="00E0310F"/>
    <w:rsid w:val="00E03125"/>
    <w:rsid w:val="00E03A6F"/>
    <w:rsid w:val="00E04D95"/>
    <w:rsid w:val="00E0769B"/>
    <w:rsid w:val="00E10B5C"/>
    <w:rsid w:val="00E11760"/>
    <w:rsid w:val="00E119E8"/>
    <w:rsid w:val="00E11DF3"/>
    <w:rsid w:val="00E12973"/>
    <w:rsid w:val="00E13AA8"/>
    <w:rsid w:val="00E141EC"/>
    <w:rsid w:val="00E14792"/>
    <w:rsid w:val="00E14DAE"/>
    <w:rsid w:val="00E155FA"/>
    <w:rsid w:val="00E16600"/>
    <w:rsid w:val="00E169CD"/>
    <w:rsid w:val="00E203F9"/>
    <w:rsid w:val="00E205A2"/>
    <w:rsid w:val="00E217A2"/>
    <w:rsid w:val="00E228DE"/>
    <w:rsid w:val="00E23208"/>
    <w:rsid w:val="00E24758"/>
    <w:rsid w:val="00E2763D"/>
    <w:rsid w:val="00E31717"/>
    <w:rsid w:val="00E3374A"/>
    <w:rsid w:val="00E345DB"/>
    <w:rsid w:val="00E3545D"/>
    <w:rsid w:val="00E3574A"/>
    <w:rsid w:val="00E35A46"/>
    <w:rsid w:val="00E35CAA"/>
    <w:rsid w:val="00E36E3A"/>
    <w:rsid w:val="00E37081"/>
    <w:rsid w:val="00E37A68"/>
    <w:rsid w:val="00E40533"/>
    <w:rsid w:val="00E405B8"/>
    <w:rsid w:val="00E435D8"/>
    <w:rsid w:val="00E4448D"/>
    <w:rsid w:val="00E46F96"/>
    <w:rsid w:val="00E475AC"/>
    <w:rsid w:val="00E50D28"/>
    <w:rsid w:val="00E51807"/>
    <w:rsid w:val="00E53642"/>
    <w:rsid w:val="00E53896"/>
    <w:rsid w:val="00E54C87"/>
    <w:rsid w:val="00E5597A"/>
    <w:rsid w:val="00E55ABB"/>
    <w:rsid w:val="00E55E5F"/>
    <w:rsid w:val="00E5686D"/>
    <w:rsid w:val="00E6038C"/>
    <w:rsid w:val="00E60BCA"/>
    <w:rsid w:val="00E62C3D"/>
    <w:rsid w:val="00E62FEA"/>
    <w:rsid w:val="00E64602"/>
    <w:rsid w:val="00E659E5"/>
    <w:rsid w:val="00E66F35"/>
    <w:rsid w:val="00E67B60"/>
    <w:rsid w:val="00E67C06"/>
    <w:rsid w:val="00E67D90"/>
    <w:rsid w:val="00E726ED"/>
    <w:rsid w:val="00E72931"/>
    <w:rsid w:val="00E74072"/>
    <w:rsid w:val="00E74DC5"/>
    <w:rsid w:val="00E75380"/>
    <w:rsid w:val="00E7665D"/>
    <w:rsid w:val="00E766DF"/>
    <w:rsid w:val="00E8172C"/>
    <w:rsid w:val="00E81F35"/>
    <w:rsid w:val="00E82A56"/>
    <w:rsid w:val="00E82B1A"/>
    <w:rsid w:val="00E83D8A"/>
    <w:rsid w:val="00E90731"/>
    <w:rsid w:val="00E9164F"/>
    <w:rsid w:val="00E939C4"/>
    <w:rsid w:val="00E95A84"/>
    <w:rsid w:val="00E96CB5"/>
    <w:rsid w:val="00E9781A"/>
    <w:rsid w:val="00E9789E"/>
    <w:rsid w:val="00E97BF4"/>
    <w:rsid w:val="00EA0B74"/>
    <w:rsid w:val="00EA1BF6"/>
    <w:rsid w:val="00EA2A88"/>
    <w:rsid w:val="00EA7151"/>
    <w:rsid w:val="00EA78FF"/>
    <w:rsid w:val="00EA7B99"/>
    <w:rsid w:val="00EB002B"/>
    <w:rsid w:val="00EB094A"/>
    <w:rsid w:val="00EB1263"/>
    <w:rsid w:val="00EB1FEB"/>
    <w:rsid w:val="00EB279B"/>
    <w:rsid w:val="00EB2CA5"/>
    <w:rsid w:val="00EB43FD"/>
    <w:rsid w:val="00EB44BE"/>
    <w:rsid w:val="00EB4682"/>
    <w:rsid w:val="00EB477D"/>
    <w:rsid w:val="00EB7A0C"/>
    <w:rsid w:val="00EB7FCF"/>
    <w:rsid w:val="00EC129C"/>
    <w:rsid w:val="00EC28E5"/>
    <w:rsid w:val="00EC6350"/>
    <w:rsid w:val="00EC6B93"/>
    <w:rsid w:val="00EC741D"/>
    <w:rsid w:val="00ED0DCE"/>
    <w:rsid w:val="00ED12EC"/>
    <w:rsid w:val="00ED17AA"/>
    <w:rsid w:val="00EE0868"/>
    <w:rsid w:val="00EE0965"/>
    <w:rsid w:val="00EE0E76"/>
    <w:rsid w:val="00EE1372"/>
    <w:rsid w:val="00EE1BFF"/>
    <w:rsid w:val="00EE1F4E"/>
    <w:rsid w:val="00EE27AD"/>
    <w:rsid w:val="00EE3008"/>
    <w:rsid w:val="00EF0B62"/>
    <w:rsid w:val="00EF1989"/>
    <w:rsid w:val="00EF19BD"/>
    <w:rsid w:val="00EF3589"/>
    <w:rsid w:val="00EF3A40"/>
    <w:rsid w:val="00EF468B"/>
    <w:rsid w:val="00EF4FB7"/>
    <w:rsid w:val="00EF5429"/>
    <w:rsid w:val="00F02857"/>
    <w:rsid w:val="00F03424"/>
    <w:rsid w:val="00F04CDD"/>
    <w:rsid w:val="00F0606D"/>
    <w:rsid w:val="00F06858"/>
    <w:rsid w:val="00F071A7"/>
    <w:rsid w:val="00F0778D"/>
    <w:rsid w:val="00F077D3"/>
    <w:rsid w:val="00F07E0C"/>
    <w:rsid w:val="00F10D6A"/>
    <w:rsid w:val="00F1328C"/>
    <w:rsid w:val="00F13939"/>
    <w:rsid w:val="00F13B21"/>
    <w:rsid w:val="00F1426F"/>
    <w:rsid w:val="00F14463"/>
    <w:rsid w:val="00F1653E"/>
    <w:rsid w:val="00F17FE9"/>
    <w:rsid w:val="00F2128C"/>
    <w:rsid w:val="00F22AB2"/>
    <w:rsid w:val="00F23291"/>
    <w:rsid w:val="00F24853"/>
    <w:rsid w:val="00F25166"/>
    <w:rsid w:val="00F25284"/>
    <w:rsid w:val="00F26CA1"/>
    <w:rsid w:val="00F31416"/>
    <w:rsid w:val="00F33190"/>
    <w:rsid w:val="00F332A2"/>
    <w:rsid w:val="00F337B2"/>
    <w:rsid w:val="00F33D36"/>
    <w:rsid w:val="00F43E36"/>
    <w:rsid w:val="00F45799"/>
    <w:rsid w:val="00F45A6F"/>
    <w:rsid w:val="00F4755A"/>
    <w:rsid w:val="00F53C81"/>
    <w:rsid w:val="00F547A2"/>
    <w:rsid w:val="00F555C6"/>
    <w:rsid w:val="00F56B5F"/>
    <w:rsid w:val="00F57563"/>
    <w:rsid w:val="00F60CC6"/>
    <w:rsid w:val="00F60F47"/>
    <w:rsid w:val="00F622E8"/>
    <w:rsid w:val="00F624BA"/>
    <w:rsid w:val="00F637B3"/>
    <w:rsid w:val="00F63895"/>
    <w:rsid w:val="00F63F4E"/>
    <w:rsid w:val="00F64822"/>
    <w:rsid w:val="00F64B0A"/>
    <w:rsid w:val="00F65CB3"/>
    <w:rsid w:val="00F6654D"/>
    <w:rsid w:val="00F66B4C"/>
    <w:rsid w:val="00F6759D"/>
    <w:rsid w:val="00F707E3"/>
    <w:rsid w:val="00F70A77"/>
    <w:rsid w:val="00F71CD0"/>
    <w:rsid w:val="00F71FC5"/>
    <w:rsid w:val="00F73049"/>
    <w:rsid w:val="00F7378F"/>
    <w:rsid w:val="00F76924"/>
    <w:rsid w:val="00F77609"/>
    <w:rsid w:val="00F80A7F"/>
    <w:rsid w:val="00F80AE5"/>
    <w:rsid w:val="00F833D9"/>
    <w:rsid w:val="00F84E50"/>
    <w:rsid w:val="00F8705C"/>
    <w:rsid w:val="00F9065F"/>
    <w:rsid w:val="00F9142F"/>
    <w:rsid w:val="00F91F5A"/>
    <w:rsid w:val="00F92F01"/>
    <w:rsid w:val="00F93D0D"/>
    <w:rsid w:val="00F941C2"/>
    <w:rsid w:val="00F95B2C"/>
    <w:rsid w:val="00F95FC7"/>
    <w:rsid w:val="00F971E5"/>
    <w:rsid w:val="00FA0AA2"/>
    <w:rsid w:val="00FA509B"/>
    <w:rsid w:val="00FA5568"/>
    <w:rsid w:val="00FA5B08"/>
    <w:rsid w:val="00FB03EF"/>
    <w:rsid w:val="00FB0F81"/>
    <w:rsid w:val="00FB17F6"/>
    <w:rsid w:val="00FB1E18"/>
    <w:rsid w:val="00FB3263"/>
    <w:rsid w:val="00FB3819"/>
    <w:rsid w:val="00FB5CFE"/>
    <w:rsid w:val="00FB6ED3"/>
    <w:rsid w:val="00FB79D5"/>
    <w:rsid w:val="00FC03D5"/>
    <w:rsid w:val="00FC07D5"/>
    <w:rsid w:val="00FC0D50"/>
    <w:rsid w:val="00FC2AE5"/>
    <w:rsid w:val="00FC3832"/>
    <w:rsid w:val="00FC4754"/>
    <w:rsid w:val="00FC6BFA"/>
    <w:rsid w:val="00FD1F2A"/>
    <w:rsid w:val="00FD407D"/>
    <w:rsid w:val="00FD4195"/>
    <w:rsid w:val="00FD5FBF"/>
    <w:rsid w:val="00FD617C"/>
    <w:rsid w:val="00FE1E8D"/>
    <w:rsid w:val="00FE41CB"/>
    <w:rsid w:val="00FE574F"/>
    <w:rsid w:val="00FE610F"/>
    <w:rsid w:val="00FF029E"/>
    <w:rsid w:val="00FF0918"/>
    <w:rsid w:val="00FF0A78"/>
    <w:rsid w:val="00FF2332"/>
    <w:rsid w:val="00FF344A"/>
    <w:rsid w:val="00FF48F9"/>
    <w:rsid w:val="00FF6F4D"/>
    <w:rsid w:val="00FF7B29"/>
    <w:rsid w:val="00FF7C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4:docId w14:val="4177C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annotation text" w:uiPriority="99"/>
    <w:lsdException w:name="caption" w:semiHidden="1" w:unhideWhenUsed="1" w:qFormat="1"/>
    <w:lsdException w:name="footnote reference" w:uiPriority="99"/>
    <w:lsdException w:name="annotation reference" w:uiPriority="99"/>
    <w:lsdException w:name="Title" w:qFormat="1"/>
    <w:lsdException w:name="Subtitle" w:qFormat="1"/>
    <w:lsdException w:name="Strong" w:uiPriority="22" w:qFormat="1"/>
    <w:lsdException w:name="Emphasis" w:qFormat="1"/>
    <w:lsdException w:name="Normal (Web)" w:uiPriority="99"/>
    <w:lsdException w:name="HTML Cite"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208D9"/>
    <w:rPr>
      <w:rFonts w:ascii="Arial" w:hAnsi="Arial"/>
      <w:sz w:val="24"/>
      <w:szCs w:val="24"/>
      <w:lang w:eastAsia="en-US"/>
    </w:rPr>
  </w:style>
  <w:style w:type="paragraph" w:styleId="Heading1">
    <w:name w:val="heading 1"/>
    <w:basedOn w:val="Normal"/>
    <w:next w:val="Normal"/>
    <w:qFormat/>
    <w:rsid w:val="00E3545D"/>
    <w:pPr>
      <w:keepNext/>
      <w:tabs>
        <w:tab w:val="right" w:pos="10206"/>
      </w:tabs>
      <w:spacing w:before="240" w:after="60"/>
      <w:outlineLvl w:val="0"/>
    </w:pPr>
    <w:rPr>
      <w:rFonts w:ascii="Arial Bold" w:hAnsi="Arial Bold" w:cs="Arial"/>
      <w:b/>
      <w:bCs/>
      <w:spacing w:val="-4"/>
      <w:kern w:val="32"/>
      <w:sz w:val="32"/>
      <w:szCs w:val="32"/>
    </w:rPr>
  </w:style>
  <w:style w:type="paragraph" w:styleId="Heading2">
    <w:name w:val="heading 2"/>
    <w:aliases w:val="EBHeading1"/>
    <w:basedOn w:val="Normal"/>
    <w:next w:val="EBBodyPara"/>
    <w:qFormat/>
    <w:rsid w:val="002B7335"/>
    <w:pPr>
      <w:keepNext/>
      <w:keepLines/>
      <w:spacing w:before="480" w:after="240"/>
      <w:outlineLvl w:val="1"/>
    </w:pPr>
    <w:rPr>
      <w:rFonts w:cs="Arial"/>
      <w:bCs/>
      <w:color w:val="000000"/>
      <w:sz w:val="32"/>
      <w:szCs w:val="22"/>
      <w:lang w:eastAsia="en-GB"/>
    </w:rPr>
  </w:style>
  <w:style w:type="paragraph" w:styleId="Heading3">
    <w:name w:val="heading 3"/>
    <w:aliases w:val="EBHeading2"/>
    <w:basedOn w:val="Normal"/>
    <w:next w:val="EBBodyPara"/>
    <w:qFormat/>
    <w:rsid w:val="002B7335"/>
    <w:pPr>
      <w:keepNext/>
      <w:keepLines/>
      <w:spacing w:before="360" w:after="240"/>
      <w:outlineLvl w:val="2"/>
    </w:pPr>
    <w:rPr>
      <w:rFonts w:cs="Arial"/>
      <w:b/>
      <w:bCs/>
      <w:color w:val="000000"/>
      <w:szCs w:val="22"/>
      <w:lang w:eastAsia="en-GB"/>
    </w:rPr>
  </w:style>
  <w:style w:type="paragraph" w:styleId="Heading4">
    <w:name w:val="heading 4"/>
    <w:aliases w:val="EBHeading3"/>
    <w:basedOn w:val="EBBodyPara"/>
    <w:next w:val="Normal"/>
    <w:qFormat/>
    <w:rsid w:val="002B7335"/>
    <w:pPr>
      <w:spacing w:before="240"/>
      <w:outlineLvl w:val="3"/>
    </w:pPr>
    <w:rPr>
      <w:b/>
    </w:rPr>
  </w:style>
  <w:style w:type="paragraph" w:styleId="Heading5">
    <w:name w:val="heading 5"/>
    <w:aliases w:val="EBHeading4"/>
    <w:basedOn w:val="Normal"/>
    <w:next w:val="Normal"/>
    <w:qFormat/>
    <w:rsid w:val="002B7335"/>
    <w:pPr>
      <w:spacing w:before="240" w:after="120"/>
      <w:outlineLvl w:val="4"/>
    </w:pPr>
    <w:rPr>
      <w:bCs/>
      <w:i/>
      <w:iCs/>
      <w:sz w:val="2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ATableLabel">
    <w:name w:val="IATableLabel"/>
    <w:basedOn w:val="Normal"/>
    <w:link w:val="IATableLabelCharChar"/>
    <w:rsid w:val="00402E80"/>
    <w:pPr>
      <w:spacing w:before="50" w:after="50"/>
      <w:ind w:left="113" w:right="113"/>
    </w:pPr>
    <w:rPr>
      <w:rFonts w:eastAsia="SimSun"/>
      <w:b/>
      <w:color w:val="000000"/>
      <w:spacing w:val="-5"/>
      <w:sz w:val="20"/>
      <w:szCs w:val="20"/>
      <w:lang w:eastAsia="zh-CN"/>
    </w:rPr>
  </w:style>
  <w:style w:type="character" w:customStyle="1" w:styleId="IATableLabelCharChar">
    <w:name w:val="IATableLabel Char Char"/>
    <w:link w:val="IATableLabel"/>
    <w:rsid w:val="00402E80"/>
    <w:rPr>
      <w:rFonts w:ascii="Arial" w:eastAsia="SimSun" w:hAnsi="Arial"/>
      <w:b/>
      <w:color w:val="000000"/>
      <w:spacing w:val="-5"/>
      <w:lang w:val="en-GB" w:eastAsia="zh-CN" w:bidi="ar-SA"/>
    </w:rPr>
  </w:style>
  <w:style w:type="paragraph" w:customStyle="1" w:styleId="IASpacer">
    <w:name w:val="IASpacer"/>
    <w:basedOn w:val="Normal"/>
    <w:rsid w:val="007208D9"/>
    <w:pPr>
      <w:spacing w:line="80" w:lineRule="exact"/>
    </w:pPr>
    <w:rPr>
      <w:rFonts w:eastAsia="SimSun"/>
      <w:sz w:val="22"/>
      <w:lang w:eastAsia="zh-CN"/>
    </w:rPr>
  </w:style>
  <w:style w:type="paragraph" w:customStyle="1" w:styleId="IATableText">
    <w:name w:val="IATableText"/>
    <w:basedOn w:val="IATableLabel"/>
    <w:link w:val="IATableTextChar"/>
    <w:rsid w:val="00220F29"/>
    <w:rPr>
      <w:b w:val="0"/>
      <w:color w:val="auto"/>
      <w:sz w:val="22"/>
    </w:rPr>
  </w:style>
  <w:style w:type="character" w:customStyle="1" w:styleId="IATableTextChar">
    <w:name w:val="IATableText Char"/>
    <w:link w:val="IATableText"/>
    <w:rsid w:val="00220F29"/>
    <w:rPr>
      <w:rFonts w:ascii="Arial" w:eastAsia="SimSun" w:hAnsi="Arial"/>
      <w:b/>
      <w:color w:val="000000"/>
      <w:spacing w:val="-5"/>
      <w:sz w:val="22"/>
      <w:lang w:val="en-GB" w:eastAsia="zh-CN" w:bidi="ar-SA"/>
    </w:rPr>
  </w:style>
  <w:style w:type="paragraph" w:styleId="BodyText">
    <w:name w:val="Body Text"/>
    <w:basedOn w:val="Normal"/>
    <w:link w:val="BodyTextChar"/>
    <w:rsid w:val="003E54B6"/>
    <w:pPr>
      <w:spacing w:after="120"/>
    </w:pPr>
    <w:rPr>
      <w:rFonts w:cs="Arial"/>
      <w:bCs/>
      <w:color w:val="000000"/>
      <w:sz w:val="22"/>
      <w:szCs w:val="22"/>
      <w:lang w:eastAsia="en-GB"/>
    </w:rPr>
  </w:style>
  <w:style w:type="table" w:styleId="TableGrid">
    <w:name w:val="Table Grid"/>
    <w:basedOn w:val="TableNormal"/>
    <w:uiPriority w:val="59"/>
    <w:rsid w:val="000265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sid w:val="007F64C7"/>
    <w:pPr>
      <w:ind w:left="113"/>
      <w:outlineLvl w:val="0"/>
    </w:pPr>
    <w:rPr>
      <w:rFonts w:cs="Arial"/>
      <w:bCs/>
      <w:color w:val="FFFFFF"/>
      <w:kern w:val="28"/>
      <w:sz w:val="32"/>
      <w:szCs w:val="32"/>
    </w:rPr>
  </w:style>
  <w:style w:type="paragraph" w:customStyle="1" w:styleId="IAHeadDept">
    <w:name w:val="IAHeadDept"/>
    <w:basedOn w:val="IATableText"/>
    <w:link w:val="IAHeadDeptChar"/>
    <w:rsid w:val="00C120C0"/>
    <w:pPr>
      <w:spacing w:after="120"/>
      <w:ind w:left="0" w:right="57"/>
    </w:pPr>
    <w:rPr>
      <w:spacing w:val="-6"/>
      <w:szCs w:val="22"/>
    </w:rPr>
  </w:style>
  <w:style w:type="paragraph" w:customStyle="1" w:styleId="IAHeadLabel">
    <w:name w:val="IAHeadLabel"/>
    <w:basedOn w:val="IATableLabel"/>
    <w:link w:val="IAHeadLabelChar"/>
    <w:rsid w:val="00570F8E"/>
    <w:pPr>
      <w:spacing w:before="110"/>
      <w:ind w:left="0" w:right="0"/>
    </w:pPr>
  </w:style>
  <w:style w:type="character" w:customStyle="1" w:styleId="IAHeadLabelChar">
    <w:name w:val="IAHeadLabel Char"/>
    <w:basedOn w:val="IATableLabelCharChar"/>
    <w:link w:val="IAHeadLabel"/>
    <w:rsid w:val="00570F8E"/>
    <w:rPr>
      <w:rFonts w:ascii="Arial" w:eastAsia="SimSun" w:hAnsi="Arial"/>
      <w:b/>
      <w:color w:val="000000"/>
      <w:spacing w:val="-5"/>
      <w:lang w:val="en-GB" w:eastAsia="zh-CN" w:bidi="ar-SA"/>
    </w:rPr>
  </w:style>
  <w:style w:type="table" w:customStyle="1" w:styleId="TableIAHeading">
    <w:name w:val="Table_IAHeading"/>
    <w:basedOn w:val="TableNormal"/>
    <w:semiHidden/>
    <w:rsid w:val="006A5A2E"/>
    <w:rPr>
      <w:rFonts w:eastAsia="SimSun"/>
      <w:color w:val="FFFFFF"/>
    </w:rPr>
    <w:tblPr>
      <w:tblBorders>
        <w:top w:val="single" w:sz="12" w:space="0" w:color="008080"/>
        <w:left w:val="single" w:sz="12" w:space="0" w:color="008080"/>
        <w:bottom w:val="single" w:sz="12" w:space="0" w:color="008080"/>
        <w:right w:val="single" w:sz="12" w:space="0" w:color="008080"/>
        <w:insideH w:val="single" w:sz="12" w:space="0" w:color="008080"/>
      </w:tblBorders>
      <w:tblCellMar>
        <w:left w:w="0" w:type="dxa"/>
        <w:right w:w="0" w:type="dxa"/>
      </w:tblCellMar>
    </w:tblPr>
    <w:tcPr>
      <w:shd w:val="clear" w:color="auto" w:fill="008080"/>
      <w:vAlign w:val="center"/>
    </w:tcPr>
  </w:style>
  <w:style w:type="paragraph" w:customStyle="1" w:styleId="IATableNotes">
    <w:name w:val="IATableNotes"/>
    <w:basedOn w:val="Normal"/>
    <w:link w:val="IATableNotesChar"/>
    <w:rsid w:val="006A5A2E"/>
    <w:pPr>
      <w:spacing w:before="60" w:after="60"/>
      <w:ind w:left="113" w:right="113"/>
    </w:pPr>
    <w:rPr>
      <w:rFonts w:eastAsia="SimSun"/>
      <w:sz w:val="18"/>
      <w:szCs w:val="20"/>
      <w:lang w:eastAsia="zh-CN"/>
    </w:rPr>
  </w:style>
  <w:style w:type="character" w:customStyle="1" w:styleId="IATableNotesChar">
    <w:name w:val="IATableNotes Char"/>
    <w:link w:val="IATableNotes"/>
    <w:rsid w:val="006A5A2E"/>
    <w:rPr>
      <w:rFonts w:ascii="Arial" w:eastAsia="SimSun" w:hAnsi="Arial"/>
      <w:sz w:val="18"/>
      <w:lang w:val="en-GB" w:eastAsia="zh-CN" w:bidi="ar-SA"/>
    </w:rPr>
  </w:style>
  <w:style w:type="paragraph" w:customStyle="1" w:styleId="IASignOff">
    <w:name w:val="IASignOff"/>
    <w:basedOn w:val="IATableNotes"/>
    <w:next w:val="IATableNotes"/>
    <w:link w:val="IASignOffChar"/>
    <w:semiHidden/>
    <w:rsid w:val="006A5A2E"/>
    <w:pPr>
      <w:spacing w:before="120" w:after="120"/>
      <w:ind w:left="567" w:right="567"/>
    </w:pPr>
    <w:rPr>
      <w:b/>
      <w:bCs/>
      <w:i/>
      <w:iCs/>
    </w:rPr>
  </w:style>
  <w:style w:type="character" w:customStyle="1" w:styleId="IASignOffChar">
    <w:name w:val="IASignOff Char"/>
    <w:link w:val="IASignOff"/>
    <w:rsid w:val="006A5A2E"/>
    <w:rPr>
      <w:rFonts w:ascii="Arial" w:eastAsia="SimSun" w:hAnsi="Arial"/>
      <w:b/>
      <w:bCs/>
      <w:i/>
      <w:iCs/>
      <w:sz w:val="18"/>
      <w:lang w:val="en-GB" w:eastAsia="zh-CN" w:bidi="ar-SA"/>
    </w:rPr>
  </w:style>
  <w:style w:type="paragraph" w:customStyle="1" w:styleId="IAHeadTitle">
    <w:name w:val="IAHeadTitle"/>
    <w:basedOn w:val="IAHeadDept"/>
    <w:link w:val="IAHeadTitleChar"/>
    <w:rsid w:val="008228A5"/>
    <w:pPr>
      <w:spacing w:before="0" w:after="0"/>
    </w:pPr>
    <w:rPr>
      <w:b/>
      <w:sz w:val="28"/>
      <w:szCs w:val="28"/>
    </w:rPr>
  </w:style>
  <w:style w:type="paragraph" w:customStyle="1" w:styleId="IASignature">
    <w:name w:val="IA Signature"/>
    <w:basedOn w:val="IATableText"/>
    <w:rsid w:val="00C67CDD"/>
    <w:pPr>
      <w:tabs>
        <w:tab w:val="left" w:leader="dot" w:pos="6804"/>
        <w:tab w:val="right" w:leader="dot" w:pos="10206"/>
      </w:tabs>
      <w:spacing w:before="0" w:after="0"/>
      <w:ind w:left="0"/>
    </w:pPr>
  </w:style>
  <w:style w:type="paragraph" w:customStyle="1" w:styleId="IASign-offlabel">
    <w:name w:val="IA Sign-off label"/>
    <w:basedOn w:val="IAHeadLabel"/>
    <w:link w:val="IASign-offlabelChar"/>
    <w:rsid w:val="00FB5CFE"/>
    <w:pPr>
      <w:spacing w:after="120"/>
    </w:pPr>
    <w:rPr>
      <w:szCs w:val="22"/>
      <w:u w:val="single"/>
    </w:rPr>
  </w:style>
  <w:style w:type="character" w:customStyle="1" w:styleId="IASign-offlabelChar">
    <w:name w:val="IA Sign-off label Char"/>
    <w:link w:val="IASign-offlabel"/>
    <w:rsid w:val="009050B9"/>
    <w:rPr>
      <w:rFonts w:ascii="Arial" w:eastAsia="SimSun" w:hAnsi="Arial"/>
      <w:b/>
      <w:color w:val="000000"/>
      <w:spacing w:val="-5"/>
      <w:szCs w:val="22"/>
      <w:u w:val="single"/>
      <w:lang w:val="en-GB" w:eastAsia="zh-CN" w:bidi="ar-SA"/>
    </w:rPr>
  </w:style>
  <w:style w:type="paragraph" w:customStyle="1" w:styleId="IASign-off">
    <w:name w:val="IA Sign-off"/>
    <w:basedOn w:val="IATableText"/>
    <w:rsid w:val="00C67CDD"/>
    <w:pPr>
      <w:spacing w:before="0" w:after="0"/>
      <w:ind w:left="0" w:right="284"/>
    </w:pPr>
    <w:rPr>
      <w:b/>
      <w:i/>
    </w:rPr>
  </w:style>
  <w:style w:type="paragraph" w:customStyle="1" w:styleId="IAHeading2">
    <w:name w:val="IAHeading2"/>
    <w:basedOn w:val="Normal"/>
    <w:semiHidden/>
    <w:rsid w:val="000A79FC"/>
    <w:pPr>
      <w:keepNext/>
      <w:keepLines/>
      <w:spacing w:before="60" w:after="60"/>
      <w:ind w:left="113" w:right="113"/>
    </w:pPr>
    <w:rPr>
      <w:rFonts w:eastAsia="SimSun"/>
      <w:b/>
      <w:sz w:val="20"/>
      <w:lang w:eastAsia="zh-CN"/>
    </w:rPr>
  </w:style>
  <w:style w:type="table" w:customStyle="1" w:styleId="TableIABox">
    <w:name w:val="Table_IABox"/>
    <w:basedOn w:val="TableNormal"/>
    <w:rsid w:val="007777A1"/>
    <w:rPr>
      <w:rFonts w:eastAsia="SimSun"/>
    </w:rPr>
    <w:tblPr>
      <w:tblBorders>
        <w:top w:val="single" w:sz="4" w:space="0" w:color="auto"/>
        <w:left w:val="single" w:sz="4" w:space="0" w:color="auto"/>
        <w:bottom w:val="single" w:sz="4" w:space="0" w:color="auto"/>
        <w:right w:val="single" w:sz="4" w:space="0" w:color="auto"/>
      </w:tblBorders>
      <w:tblCellMar>
        <w:left w:w="0" w:type="dxa"/>
        <w:right w:w="0" w:type="dxa"/>
      </w:tblCellMar>
    </w:tblPr>
  </w:style>
  <w:style w:type="paragraph" w:styleId="Header">
    <w:name w:val="header"/>
    <w:basedOn w:val="Normal"/>
    <w:rsid w:val="00E96CB5"/>
    <w:pPr>
      <w:jc w:val="center"/>
    </w:pPr>
    <w:rPr>
      <w:caps/>
    </w:rPr>
  </w:style>
  <w:style w:type="paragraph" w:styleId="Footer">
    <w:name w:val="footer"/>
    <w:basedOn w:val="Normal"/>
    <w:rsid w:val="000407D8"/>
    <w:pPr>
      <w:tabs>
        <w:tab w:val="center" w:pos="5132"/>
        <w:tab w:val="right" w:pos="10260"/>
      </w:tabs>
      <w:jc w:val="center"/>
    </w:pPr>
    <w:rPr>
      <w:b/>
      <w:sz w:val="18"/>
    </w:rPr>
  </w:style>
  <w:style w:type="character" w:styleId="PageNumber">
    <w:name w:val="page number"/>
    <w:basedOn w:val="DefaultParagraphFont"/>
    <w:rsid w:val="00EB43FD"/>
  </w:style>
  <w:style w:type="character" w:customStyle="1" w:styleId="BodyTextChar">
    <w:name w:val="Body Text Char"/>
    <w:link w:val="BodyText"/>
    <w:rsid w:val="0049416F"/>
    <w:rPr>
      <w:rFonts w:ascii="Arial" w:hAnsi="Arial" w:cs="Arial"/>
      <w:bCs/>
      <w:color w:val="000000"/>
      <w:sz w:val="22"/>
      <w:szCs w:val="22"/>
      <w:lang w:val="en-GB" w:eastAsia="en-GB" w:bidi="ar-SA"/>
    </w:rPr>
  </w:style>
  <w:style w:type="paragraph" w:customStyle="1" w:styleId="IANotes">
    <w:name w:val="IANotes"/>
    <w:basedOn w:val="Normal"/>
    <w:semiHidden/>
    <w:rsid w:val="00650282"/>
    <w:rPr>
      <w:rFonts w:eastAsia="SimSun"/>
      <w:color w:val="008080"/>
      <w:sz w:val="22"/>
      <w:lang w:eastAsia="zh-CN"/>
    </w:rPr>
  </w:style>
  <w:style w:type="paragraph" w:customStyle="1" w:styleId="IATableHeading">
    <w:name w:val="IATableHeading"/>
    <w:basedOn w:val="IATableLabel"/>
    <w:rsid w:val="00716D5C"/>
    <w:rPr>
      <w:sz w:val="22"/>
      <w:szCs w:val="24"/>
    </w:rPr>
  </w:style>
  <w:style w:type="paragraph" w:styleId="FootnoteText">
    <w:name w:val="footnote text"/>
    <w:aliases w:val="fn,Footnote,Footnote Text Char Char,Footnote Text Char Char Char,Footnote Text Char Char Char Char,Footnote Text1 Char,Footnote Text1,Footnote Text1 Char Char Char,Footnote Text1 Char Char Char Char Char Char Char Char,FOOTNOTES"/>
    <w:basedOn w:val="Normal"/>
    <w:link w:val="FootnoteTextChar"/>
    <w:uiPriority w:val="99"/>
    <w:rsid w:val="00490FF7"/>
    <w:rPr>
      <w:rFonts w:eastAsia="SimSun"/>
      <w:sz w:val="16"/>
      <w:szCs w:val="20"/>
      <w:lang w:eastAsia="zh-CN"/>
    </w:rPr>
  </w:style>
  <w:style w:type="character" w:styleId="FootnoteReference">
    <w:name w:val="footnote reference"/>
    <w:uiPriority w:val="99"/>
    <w:rsid w:val="00B84190"/>
    <w:rPr>
      <w:sz w:val="22"/>
      <w:vertAlign w:val="superscript"/>
    </w:rPr>
  </w:style>
  <w:style w:type="paragraph" w:customStyle="1" w:styleId="EBBodyPara">
    <w:name w:val="EBBodyPara"/>
    <w:basedOn w:val="BodyText"/>
    <w:rsid w:val="005A2FC0"/>
  </w:style>
  <w:style w:type="paragraph" w:styleId="BalloonText">
    <w:name w:val="Balloon Text"/>
    <w:basedOn w:val="Normal"/>
    <w:semiHidden/>
    <w:rsid w:val="00300CED"/>
    <w:rPr>
      <w:rFonts w:ascii="Tahoma" w:hAnsi="Tahoma" w:cs="Tahoma"/>
      <w:sz w:val="16"/>
      <w:szCs w:val="16"/>
    </w:rPr>
  </w:style>
  <w:style w:type="paragraph" w:customStyle="1" w:styleId="EBNumber">
    <w:name w:val="EBNumber"/>
    <w:basedOn w:val="BodyText"/>
    <w:rsid w:val="002B7335"/>
    <w:pPr>
      <w:numPr>
        <w:ilvl w:val="1"/>
        <w:numId w:val="20"/>
      </w:numPr>
    </w:pPr>
  </w:style>
  <w:style w:type="paragraph" w:customStyle="1" w:styleId="EBNumberRestart">
    <w:name w:val="EBNumberRestart"/>
    <w:basedOn w:val="BodyText"/>
    <w:next w:val="EBNumber"/>
    <w:rsid w:val="002B7335"/>
    <w:pPr>
      <w:numPr>
        <w:numId w:val="20"/>
      </w:numPr>
    </w:pPr>
  </w:style>
  <w:style w:type="paragraph" w:customStyle="1" w:styleId="StyleIATableText10ptRight">
    <w:name w:val="Style IATableText + 10 pt Right"/>
    <w:basedOn w:val="IATableText"/>
    <w:rsid w:val="008D39AA"/>
    <w:pPr>
      <w:ind w:left="0" w:right="57"/>
      <w:jc w:val="right"/>
    </w:pPr>
    <w:rPr>
      <w:rFonts w:eastAsia="Times New Roman"/>
      <w:sz w:val="20"/>
    </w:rPr>
  </w:style>
  <w:style w:type="paragraph" w:customStyle="1" w:styleId="SecurityClass">
    <w:name w:val="SecurityClass"/>
    <w:basedOn w:val="Header"/>
    <w:rsid w:val="00AE46AA"/>
  </w:style>
  <w:style w:type="paragraph" w:customStyle="1" w:styleId="IARefNumber">
    <w:name w:val="IARefNumber"/>
    <w:basedOn w:val="IATableText"/>
    <w:rsid w:val="001E152A"/>
    <w:pPr>
      <w:numPr>
        <w:numId w:val="12"/>
      </w:numPr>
    </w:pPr>
  </w:style>
  <w:style w:type="character" w:styleId="Hyperlink">
    <w:name w:val="Hyperlink"/>
    <w:rsid w:val="00B4136C"/>
    <w:rPr>
      <w:color w:val="auto"/>
      <w:u w:val="single"/>
    </w:rPr>
  </w:style>
  <w:style w:type="paragraph" w:customStyle="1" w:styleId="POPBY">
    <w:name w:val="POPBY"/>
    <w:basedOn w:val="IATableLabel"/>
    <w:rsid w:val="00AB574B"/>
  </w:style>
  <w:style w:type="paragraph" w:customStyle="1" w:styleId="EBBullet">
    <w:name w:val="EBBullet"/>
    <w:basedOn w:val="BodyText"/>
    <w:rsid w:val="002B7335"/>
    <w:pPr>
      <w:numPr>
        <w:numId w:val="17"/>
      </w:numPr>
    </w:pPr>
  </w:style>
  <w:style w:type="paragraph" w:customStyle="1" w:styleId="IAHeadText">
    <w:name w:val="IAHeadText"/>
    <w:basedOn w:val="IATableText"/>
    <w:rsid w:val="00632CB9"/>
    <w:pPr>
      <w:spacing w:before="0" w:after="0"/>
      <w:ind w:left="0" w:right="57"/>
    </w:pPr>
    <w:rPr>
      <w:spacing w:val="-6"/>
    </w:rPr>
  </w:style>
  <w:style w:type="paragraph" w:customStyle="1" w:styleId="IAHeadLabel0">
    <w:name w:val="IAHeadLabel0"/>
    <w:basedOn w:val="IAHeadLabel"/>
    <w:next w:val="IAHeadTitle"/>
    <w:rsid w:val="00632CB9"/>
    <w:pPr>
      <w:spacing w:before="0"/>
    </w:pPr>
  </w:style>
  <w:style w:type="paragraph" w:customStyle="1" w:styleId="IATableLines">
    <w:name w:val="IATableLines"/>
    <w:basedOn w:val="IATableText"/>
    <w:link w:val="IATableLinesChar"/>
    <w:rsid w:val="00E82A56"/>
    <w:pPr>
      <w:spacing w:before="0" w:after="0"/>
    </w:pPr>
  </w:style>
  <w:style w:type="paragraph" w:customStyle="1" w:styleId="EvidenceHeadPIR">
    <w:name w:val="EvidenceHeadPIR"/>
    <w:rsid w:val="00BE650A"/>
    <w:pPr>
      <w:spacing w:after="120"/>
    </w:pPr>
    <w:rPr>
      <w:rFonts w:ascii="Arial" w:hAnsi="Arial" w:cs="Arial"/>
      <w:bCs/>
      <w:color w:val="000000"/>
      <w:sz w:val="22"/>
      <w:szCs w:val="22"/>
    </w:rPr>
  </w:style>
  <w:style w:type="character" w:styleId="FollowedHyperlink">
    <w:name w:val="FollowedHyperlink"/>
    <w:rsid w:val="006D37CF"/>
    <w:rPr>
      <w:color w:val="auto"/>
      <w:u w:val="single"/>
    </w:rPr>
  </w:style>
  <w:style w:type="paragraph" w:customStyle="1" w:styleId="IASpacer2">
    <w:name w:val="IASpacer2"/>
    <w:basedOn w:val="IASpacer"/>
    <w:rsid w:val="00311373"/>
    <w:pPr>
      <w:spacing w:line="40" w:lineRule="exact"/>
    </w:pPr>
  </w:style>
  <w:style w:type="paragraph" w:customStyle="1" w:styleId="POPVBY">
    <w:name w:val="POPVBY"/>
    <w:basedOn w:val="IATableLabel"/>
    <w:rsid w:val="00AB574B"/>
  </w:style>
  <w:style w:type="paragraph" w:customStyle="1" w:styleId="POTPY">
    <w:name w:val="POTPY"/>
    <w:basedOn w:val="IATableLabel"/>
    <w:rsid w:val="00F622E8"/>
  </w:style>
  <w:style w:type="paragraph" w:customStyle="1" w:styleId="PONBLow">
    <w:name w:val="PONBLow"/>
    <w:basedOn w:val="IATableLabel"/>
    <w:link w:val="PONBLowCharChar"/>
    <w:rsid w:val="00F622E8"/>
    <w:rPr>
      <w:b w:val="0"/>
      <w:szCs w:val="22"/>
    </w:rPr>
  </w:style>
  <w:style w:type="character" w:customStyle="1" w:styleId="PONBLowCharChar">
    <w:name w:val="PONBLow Char Char"/>
    <w:link w:val="PONBLow"/>
    <w:rsid w:val="00F622E8"/>
    <w:rPr>
      <w:rFonts w:ascii="Arial" w:eastAsia="SimSun" w:hAnsi="Arial"/>
      <w:b/>
      <w:color w:val="000000"/>
      <w:spacing w:val="-5"/>
      <w:szCs w:val="22"/>
      <w:lang w:val="en-GB" w:eastAsia="zh-CN" w:bidi="ar-SA"/>
    </w:rPr>
  </w:style>
  <w:style w:type="paragraph" w:customStyle="1" w:styleId="PONBHigh">
    <w:name w:val="PONBHigh"/>
    <w:basedOn w:val="IATableLabel"/>
    <w:link w:val="PONBHighChar"/>
    <w:rsid w:val="00F622E8"/>
    <w:rPr>
      <w:b w:val="0"/>
      <w:szCs w:val="22"/>
    </w:rPr>
  </w:style>
  <w:style w:type="character" w:customStyle="1" w:styleId="PONBHighChar">
    <w:name w:val="PONBHigh Char"/>
    <w:link w:val="PONBHigh"/>
    <w:rsid w:val="00F622E8"/>
    <w:rPr>
      <w:rFonts w:ascii="Arial" w:eastAsia="SimSun" w:hAnsi="Arial"/>
      <w:b/>
      <w:color w:val="000000"/>
      <w:spacing w:val="-5"/>
      <w:szCs w:val="22"/>
      <w:lang w:val="en-GB" w:eastAsia="zh-CN" w:bidi="ar-SA"/>
    </w:rPr>
  </w:style>
  <w:style w:type="paragraph" w:customStyle="1" w:styleId="PONBBestEst">
    <w:name w:val="PONBBestEst"/>
    <w:basedOn w:val="IATableLabel"/>
    <w:link w:val="PONBBestEstChar"/>
    <w:rsid w:val="00F622E8"/>
    <w:rPr>
      <w:b w:val="0"/>
      <w:szCs w:val="22"/>
    </w:rPr>
  </w:style>
  <w:style w:type="character" w:customStyle="1" w:styleId="PONBBestEstChar">
    <w:name w:val="PONBBestEst Char"/>
    <w:link w:val="PONBBestEst"/>
    <w:rsid w:val="00F622E8"/>
    <w:rPr>
      <w:rFonts w:ascii="Arial" w:eastAsia="SimSun" w:hAnsi="Arial"/>
      <w:b/>
      <w:color w:val="000000"/>
      <w:spacing w:val="-5"/>
      <w:szCs w:val="22"/>
      <w:lang w:val="en-GB" w:eastAsia="zh-CN" w:bidi="ar-SA"/>
    </w:rPr>
  </w:style>
  <w:style w:type="paragraph" w:customStyle="1" w:styleId="POTTCostsHigh">
    <w:name w:val="POTTCostsHigh"/>
    <w:basedOn w:val="IATableText"/>
    <w:rsid w:val="00B318B0"/>
    <w:pPr>
      <w:jc w:val="right"/>
    </w:pPr>
  </w:style>
  <w:style w:type="paragraph" w:customStyle="1" w:styleId="POTTCostsLow">
    <w:name w:val="POTTCostsLow"/>
    <w:basedOn w:val="POTTCostsHigh"/>
    <w:rsid w:val="00B318B0"/>
  </w:style>
  <w:style w:type="paragraph" w:customStyle="1" w:styleId="POTTCostsBest">
    <w:name w:val="POTTCostsBest"/>
    <w:basedOn w:val="IATableText"/>
    <w:rsid w:val="00B318B0"/>
    <w:pPr>
      <w:jc w:val="right"/>
    </w:pPr>
  </w:style>
  <w:style w:type="paragraph" w:customStyle="1" w:styleId="POTTCostsYear">
    <w:name w:val="POTTCostsYear"/>
    <w:basedOn w:val="IATableText"/>
    <w:rsid w:val="00B318B0"/>
    <w:pPr>
      <w:jc w:val="center"/>
    </w:pPr>
    <w:rPr>
      <w:szCs w:val="18"/>
    </w:rPr>
  </w:style>
  <w:style w:type="paragraph" w:customStyle="1" w:styleId="POAACostsLow">
    <w:name w:val="POAACostsLow"/>
    <w:basedOn w:val="IATableText"/>
    <w:rsid w:val="00B318B0"/>
    <w:pPr>
      <w:jc w:val="right"/>
    </w:pPr>
  </w:style>
  <w:style w:type="paragraph" w:customStyle="1" w:styleId="POAACostsHigh">
    <w:name w:val="POAACostsHigh"/>
    <w:basedOn w:val="POAACostsLow"/>
    <w:rsid w:val="00B318B0"/>
  </w:style>
  <w:style w:type="paragraph" w:customStyle="1" w:styleId="POAACostsBest">
    <w:name w:val="POAACostsBest"/>
    <w:basedOn w:val="IATableText"/>
    <w:rsid w:val="00B318B0"/>
    <w:pPr>
      <w:jc w:val="right"/>
    </w:pPr>
  </w:style>
  <w:style w:type="paragraph" w:customStyle="1" w:styleId="POTCCostsLow">
    <w:name w:val="POTCCostsLow"/>
    <w:basedOn w:val="IATableText"/>
    <w:rsid w:val="00B318B0"/>
    <w:pPr>
      <w:jc w:val="right"/>
    </w:pPr>
    <w:rPr>
      <w:b/>
    </w:rPr>
  </w:style>
  <w:style w:type="paragraph" w:customStyle="1" w:styleId="POTCCostsHigh">
    <w:name w:val="POTCCostsHigh"/>
    <w:basedOn w:val="IATableText"/>
    <w:rsid w:val="00B318B0"/>
    <w:pPr>
      <w:jc w:val="right"/>
    </w:pPr>
    <w:rPr>
      <w:b/>
    </w:rPr>
  </w:style>
  <w:style w:type="paragraph" w:customStyle="1" w:styleId="POTCCostsBest">
    <w:name w:val="POTCCostsBest"/>
    <w:basedOn w:val="IATableText"/>
    <w:rsid w:val="00B318B0"/>
    <w:pPr>
      <w:jc w:val="right"/>
    </w:pPr>
    <w:rPr>
      <w:b/>
    </w:rPr>
  </w:style>
  <w:style w:type="paragraph" w:customStyle="1" w:styleId="IAPOQ1">
    <w:name w:val="IAPOQ1"/>
    <w:basedOn w:val="IATableLabel"/>
    <w:rsid w:val="00B006A9"/>
  </w:style>
  <w:style w:type="paragraph" w:customStyle="1" w:styleId="IAPOA1">
    <w:name w:val="IAPOA1"/>
    <w:basedOn w:val="IATableLines"/>
    <w:rsid w:val="00B006A9"/>
  </w:style>
  <w:style w:type="paragraph" w:customStyle="1" w:styleId="IAPOQ2">
    <w:name w:val="IAPOQ2"/>
    <w:basedOn w:val="IATableLabel"/>
    <w:link w:val="IAPOQ2Char"/>
    <w:rsid w:val="00B006A9"/>
  </w:style>
  <w:style w:type="paragraph" w:customStyle="1" w:styleId="IAPOA2">
    <w:name w:val="IAPOA2"/>
    <w:basedOn w:val="IATableLines"/>
    <w:rsid w:val="00B006A9"/>
  </w:style>
  <w:style w:type="paragraph" w:customStyle="1" w:styleId="POTTBenLow">
    <w:name w:val="POTTBenLow"/>
    <w:basedOn w:val="POTTCostsLow"/>
    <w:rsid w:val="00B006A9"/>
  </w:style>
  <w:style w:type="paragraph" w:customStyle="1" w:styleId="POTTBenHigh">
    <w:name w:val="POTTBenHigh"/>
    <w:basedOn w:val="POTTCostsHigh"/>
    <w:rsid w:val="00B006A9"/>
  </w:style>
  <w:style w:type="paragraph" w:customStyle="1" w:styleId="POTTBenBest">
    <w:name w:val="POTTBenBest"/>
    <w:basedOn w:val="POTTCostsBest"/>
    <w:rsid w:val="00B006A9"/>
  </w:style>
  <w:style w:type="paragraph" w:customStyle="1" w:styleId="POAABenLow">
    <w:name w:val="POAABenLow"/>
    <w:basedOn w:val="POAACostsLow"/>
    <w:rsid w:val="00B006A9"/>
  </w:style>
  <w:style w:type="paragraph" w:customStyle="1" w:styleId="POAABenHigh">
    <w:name w:val="POAABenHigh"/>
    <w:basedOn w:val="POAABenLow"/>
    <w:rsid w:val="00B006A9"/>
  </w:style>
  <w:style w:type="paragraph" w:customStyle="1" w:styleId="POAABenBest">
    <w:name w:val="POAABenBest"/>
    <w:basedOn w:val="POAABenHigh"/>
    <w:rsid w:val="00B006A9"/>
  </w:style>
  <w:style w:type="paragraph" w:customStyle="1" w:styleId="POTBBenLow">
    <w:name w:val="POTBBenLow"/>
    <w:basedOn w:val="POTCCostsLow"/>
    <w:rsid w:val="00B006A9"/>
  </w:style>
  <w:style w:type="paragraph" w:customStyle="1" w:styleId="POTBBenHigh">
    <w:name w:val="POTBBenHigh"/>
    <w:basedOn w:val="POTBBenLow"/>
    <w:rsid w:val="00B006A9"/>
  </w:style>
  <w:style w:type="paragraph" w:customStyle="1" w:styleId="POTBBenBest">
    <w:name w:val="POTBBenBest"/>
    <w:basedOn w:val="POTBBenHigh"/>
    <w:rsid w:val="00B006A9"/>
  </w:style>
  <w:style w:type="paragraph" w:customStyle="1" w:styleId="IPPOQ3">
    <w:name w:val="IPPOQ3"/>
    <w:basedOn w:val="IAPOQ2"/>
    <w:link w:val="IPPOQ3Char"/>
    <w:rsid w:val="00F1653E"/>
  </w:style>
  <w:style w:type="paragraph" w:customStyle="1" w:styleId="IAPOQ4">
    <w:name w:val="IAPOQ4"/>
    <w:basedOn w:val="IPPOQ3"/>
    <w:link w:val="IAPOQ4Char"/>
    <w:rsid w:val="00F1653E"/>
  </w:style>
  <w:style w:type="paragraph" w:customStyle="1" w:styleId="IAPOA3">
    <w:name w:val="IAPOA3"/>
    <w:basedOn w:val="IAPOA2"/>
    <w:rsid w:val="00F1653E"/>
  </w:style>
  <w:style w:type="paragraph" w:customStyle="1" w:styleId="IAPOA4">
    <w:name w:val="IAPOA4"/>
    <w:basedOn w:val="IAPOA3"/>
    <w:rsid w:val="00F1653E"/>
  </w:style>
  <w:style w:type="paragraph" w:customStyle="1" w:styleId="IAPOA5">
    <w:name w:val="IAPOA5"/>
    <w:basedOn w:val="IAPOA4"/>
    <w:rsid w:val="00F1653E"/>
  </w:style>
  <w:style w:type="paragraph" w:customStyle="1" w:styleId="IAPOQ5">
    <w:name w:val="IAPOQ5"/>
    <w:basedOn w:val="IAPOQ4"/>
    <w:link w:val="IAPOQ5Char"/>
    <w:rsid w:val="00F1653E"/>
  </w:style>
  <w:style w:type="character" w:customStyle="1" w:styleId="IAPOQ2Char">
    <w:name w:val="IAPOQ2 Char"/>
    <w:basedOn w:val="IATableLabelCharChar"/>
    <w:link w:val="IAPOQ2"/>
    <w:rsid w:val="00F1653E"/>
    <w:rPr>
      <w:rFonts w:ascii="Arial" w:eastAsia="SimSun" w:hAnsi="Arial"/>
      <w:b/>
      <w:color w:val="000000"/>
      <w:spacing w:val="-5"/>
      <w:lang w:val="en-GB" w:eastAsia="zh-CN" w:bidi="ar-SA"/>
    </w:rPr>
  </w:style>
  <w:style w:type="character" w:customStyle="1" w:styleId="IPPOQ3Char">
    <w:name w:val="IPPOQ3 Char"/>
    <w:basedOn w:val="IAPOQ2Char"/>
    <w:link w:val="IPPOQ3"/>
    <w:rsid w:val="00F1653E"/>
    <w:rPr>
      <w:rFonts w:ascii="Arial" w:eastAsia="SimSun" w:hAnsi="Arial"/>
      <w:b/>
      <w:color w:val="000000"/>
      <w:spacing w:val="-5"/>
      <w:lang w:val="en-GB" w:eastAsia="zh-CN" w:bidi="ar-SA"/>
    </w:rPr>
  </w:style>
  <w:style w:type="character" w:customStyle="1" w:styleId="IAPOQ4Char">
    <w:name w:val="IAPOQ4 Char"/>
    <w:basedOn w:val="IPPOQ3Char"/>
    <w:link w:val="IAPOQ4"/>
    <w:rsid w:val="00F1653E"/>
    <w:rPr>
      <w:rFonts w:ascii="Arial" w:eastAsia="SimSun" w:hAnsi="Arial"/>
      <w:b/>
      <w:color w:val="000000"/>
      <w:spacing w:val="-5"/>
      <w:lang w:val="en-GB" w:eastAsia="zh-CN" w:bidi="ar-SA"/>
    </w:rPr>
  </w:style>
  <w:style w:type="character" w:customStyle="1" w:styleId="IAPOQ5Char">
    <w:name w:val="IAPOQ5 Char"/>
    <w:basedOn w:val="IAPOQ4Char"/>
    <w:link w:val="IAPOQ5"/>
    <w:rsid w:val="00F1653E"/>
    <w:rPr>
      <w:rFonts w:ascii="Arial" w:eastAsia="SimSun" w:hAnsi="Arial"/>
      <w:b/>
      <w:color w:val="000000"/>
      <w:spacing w:val="-5"/>
      <w:lang w:val="en-GB" w:eastAsia="zh-CN" w:bidi="ar-SA"/>
    </w:rPr>
  </w:style>
  <w:style w:type="paragraph" w:customStyle="1" w:styleId="IAPODisRate">
    <w:name w:val="IAPODisRate"/>
    <w:basedOn w:val="IATableLabel"/>
    <w:rsid w:val="00F1653E"/>
    <w:pPr>
      <w:ind w:left="0"/>
      <w:jc w:val="center"/>
    </w:pPr>
    <w:rPr>
      <w:b w:val="0"/>
    </w:rPr>
  </w:style>
  <w:style w:type="paragraph" w:customStyle="1" w:styleId="IAPODICost">
    <w:name w:val="IAPODICost"/>
    <w:basedOn w:val="IATableLabel"/>
    <w:link w:val="IAPODICostChar"/>
    <w:rsid w:val="000E3FD7"/>
    <w:rPr>
      <w:b w:val="0"/>
      <w:sz w:val="22"/>
      <w:szCs w:val="22"/>
    </w:rPr>
  </w:style>
  <w:style w:type="character" w:customStyle="1" w:styleId="IAPODICostChar">
    <w:name w:val="IAPODICost Char"/>
    <w:link w:val="IAPODICost"/>
    <w:rsid w:val="000E3FD7"/>
    <w:rPr>
      <w:rFonts w:ascii="Arial" w:eastAsia="SimSun" w:hAnsi="Arial"/>
      <w:b/>
      <w:color w:val="000000"/>
      <w:spacing w:val="-5"/>
      <w:sz w:val="22"/>
      <w:szCs w:val="22"/>
      <w:lang w:val="en-GB" w:eastAsia="zh-CN" w:bidi="ar-SA"/>
    </w:rPr>
  </w:style>
  <w:style w:type="paragraph" w:customStyle="1" w:styleId="IAPODIBen">
    <w:name w:val="IAPODIBen"/>
    <w:basedOn w:val="IATableLabel"/>
    <w:link w:val="IAPODIBenChar"/>
    <w:rsid w:val="000E3FD7"/>
    <w:rPr>
      <w:b w:val="0"/>
      <w:sz w:val="22"/>
      <w:szCs w:val="22"/>
    </w:rPr>
  </w:style>
  <w:style w:type="paragraph" w:customStyle="1" w:styleId="IAPODINet">
    <w:name w:val="IAPODINet"/>
    <w:basedOn w:val="IATableLabel"/>
    <w:link w:val="IAPODINetChar"/>
    <w:rsid w:val="000E3FD7"/>
    <w:rPr>
      <w:b w:val="0"/>
      <w:sz w:val="22"/>
      <w:szCs w:val="22"/>
    </w:rPr>
  </w:style>
  <w:style w:type="paragraph" w:customStyle="1" w:styleId="IAPODIOIOO">
    <w:name w:val="IAPODIOIOO"/>
    <w:basedOn w:val="IATableLabel"/>
    <w:rsid w:val="000E3FD7"/>
    <w:rPr>
      <w:b w:val="0"/>
      <w:sz w:val="22"/>
      <w:szCs w:val="22"/>
    </w:rPr>
  </w:style>
  <w:style w:type="character" w:customStyle="1" w:styleId="IAPODINetChar">
    <w:name w:val="IAPODINet Char"/>
    <w:link w:val="IAPODINet"/>
    <w:rsid w:val="000E3FD7"/>
    <w:rPr>
      <w:rFonts w:ascii="Arial" w:eastAsia="SimSun" w:hAnsi="Arial"/>
      <w:b/>
      <w:color w:val="000000"/>
      <w:spacing w:val="-5"/>
      <w:sz w:val="22"/>
      <w:szCs w:val="22"/>
      <w:lang w:val="en-GB" w:eastAsia="zh-CN" w:bidi="ar-SA"/>
    </w:rPr>
  </w:style>
  <w:style w:type="character" w:customStyle="1" w:styleId="IAPODIBenChar">
    <w:name w:val="IAPODIBen Char"/>
    <w:link w:val="IAPODIBen"/>
    <w:rsid w:val="000E3FD7"/>
    <w:rPr>
      <w:rFonts w:ascii="Arial" w:eastAsia="SimSun" w:hAnsi="Arial"/>
      <w:b/>
      <w:color w:val="000000"/>
      <w:spacing w:val="-5"/>
      <w:sz w:val="22"/>
      <w:szCs w:val="22"/>
      <w:lang w:val="en-GB" w:eastAsia="zh-CN" w:bidi="ar-SA"/>
    </w:rPr>
  </w:style>
  <w:style w:type="paragraph" w:customStyle="1" w:styleId="IAPODIMQ">
    <w:name w:val="IAPODIMQ"/>
    <w:basedOn w:val="IATableText"/>
    <w:rsid w:val="000E3FD7"/>
    <w:rPr>
      <w:color w:val="000000"/>
      <w:sz w:val="20"/>
    </w:rPr>
  </w:style>
  <w:style w:type="paragraph" w:customStyle="1" w:styleId="ebbullet0">
    <w:name w:val="ebbullet"/>
    <w:basedOn w:val="Normal"/>
    <w:rsid w:val="001F5423"/>
    <w:pPr>
      <w:spacing w:before="100" w:beforeAutospacing="1" w:after="100" w:afterAutospacing="1"/>
    </w:pPr>
    <w:rPr>
      <w:rFonts w:ascii="Times New Roman" w:eastAsia="Calibri" w:hAnsi="Times New Roman"/>
      <w:lang w:eastAsia="en-GB"/>
    </w:rPr>
  </w:style>
  <w:style w:type="paragraph" w:customStyle="1" w:styleId="IATitle">
    <w:name w:val="IATitle"/>
    <w:basedOn w:val="Normal"/>
    <w:rsid w:val="005F32E7"/>
    <w:pPr>
      <w:ind w:left="113"/>
    </w:pPr>
    <w:rPr>
      <w:rFonts w:eastAsia="SimSun" w:cs="Arial"/>
      <w:sz w:val="20"/>
    </w:rPr>
  </w:style>
  <w:style w:type="paragraph" w:customStyle="1" w:styleId="IANo">
    <w:name w:val="IANo"/>
    <w:basedOn w:val="Normal"/>
    <w:link w:val="IANoChar"/>
    <w:rsid w:val="005F32E7"/>
    <w:pPr>
      <w:ind w:left="113"/>
    </w:pPr>
    <w:rPr>
      <w:sz w:val="20"/>
      <w:szCs w:val="22"/>
    </w:rPr>
  </w:style>
  <w:style w:type="character" w:customStyle="1" w:styleId="IAHeadDeptChar">
    <w:name w:val="IAHeadDept Char"/>
    <w:link w:val="IAHeadDept"/>
    <w:rsid w:val="008031EC"/>
    <w:rPr>
      <w:rFonts w:ascii="Arial" w:eastAsia="SimSun" w:hAnsi="Arial"/>
      <w:b/>
      <w:color w:val="000000"/>
      <w:spacing w:val="-6"/>
      <w:sz w:val="22"/>
      <w:szCs w:val="22"/>
      <w:lang w:val="en-GB" w:eastAsia="zh-CN" w:bidi="ar-SA"/>
    </w:rPr>
  </w:style>
  <w:style w:type="character" w:customStyle="1" w:styleId="IAHeadTitleChar">
    <w:name w:val="IAHeadTitle Char"/>
    <w:link w:val="IAHeadTitle"/>
    <w:rsid w:val="008031EC"/>
    <w:rPr>
      <w:rFonts w:ascii="Arial" w:eastAsia="SimSun" w:hAnsi="Arial"/>
      <w:b/>
      <w:color w:val="000000"/>
      <w:spacing w:val="-6"/>
      <w:sz w:val="28"/>
      <w:szCs w:val="28"/>
      <w:lang w:val="en-GB" w:eastAsia="zh-CN" w:bidi="ar-SA"/>
    </w:rPr>
  </w:style>
  <w:style w:type="character" w:customStyle="1" w:styleId="IANoChar">
    <w:name w:val="IANo Char"/>
    <w:link w:val="IANo"/>
    <w:rsid w:val="005F32E7"/>
    <w:rPr>
      <w:rFonts w:ascii="Arial" w:eastAsia="SimSun" w:hAnsi="Arial"/>
      <w:b/>
      <w:color w:val="000000"/>
      <w:spacing w:val="-6"/>
      <w:sz w:val="28"/>
      <w:szCs w:val="22"/>
      <w:lang w:val="en-GB" w:eastAsia="en-US" w:bidi="ar-SA"/>
    </w:rPr>
  </w:style>
  <w:style w:type="paragraph" w:customStyle="1" w:styleId="IALeadDept">
    <w:name w:val="IALeadDept"/>
    <w:basedOn w:val="Normal"/>
    <w:rsid w:val="005F32E7"/>
    <w:pPr>
      <w:ind w:left="113"/>
    </w:pPr>
    <w:rPr>
      <w:rFonts w:eastAsia="Arial Unicode MS" w:cs="Arial"/>
      <w:noProof/>
      <w:sz w:val="20"/>
    </w:rPr>
  </w:style>
  <w:style w:type="paragraph" w:customStyle="1" w:styleId="IAOtherDepts">
    <w:name w:val="IAOtherDepts"/>
    <w:basedOn w:val="IATableLabel"/>
    <w:rsid w:val="008031EC"/>
    <w:pPr>
      <w:spacing w:after="0"/>
    </w:pPr>
    <w:rPr>
      <w:b w:val="0"/>
    </w:rPr>
  </w:style>
  <w:style w:type="paragraph" w:customStyle="1" w:styleId="IADate">
    <w:name w:val="IADate"/>
    <w:basedOn w:val="IATableLabel"/>
    <w:link w:val="IADateChar"/>
    <w:rsid w:val="008031EC"/>
    <w:rPr>
      <w:b w:val="0"/>
      <w:sz w:val="22"/>
      <w:szCs w:val="22"/>
    </w:rPr>
  </w:style>
  <w:style w:type="paragraph" w:customStyle="1" w:styleId="IAStage">
    <w:name w:val="IAStage"/>
    <w:basedOn w:val="IATableLabel"/>
    <w:link w:val="IAStageChar"/>
    <w:rsid w:val="008031EC"/>
    <w:rPr>
      <w:b w:val="0"/>
      <w:sz w:val="22"/>
    </w:rPr>
  </w:style>
  <w:style w:type="paragraph" w:customStyle="1" w:styleId="IASOI">
    <w:name w:val="IASOI"/>
    <w:basedOn w:val="IATableLabel"/>
    <w:link w:val="IASOIChar"/>
    <w:rsid w:val="008031EC"/>
    <w:rPr>
      <w:b w:val="0"/>
      <w:sz w:val="22"/>
    </w:rPr>
  </w:style>
  <w:style w:type="paragraph" w:customStyle="1" w:styleId="IATOM">
    <w:name w:val="IATOM"/>
    <w:basedOn w:val="IATableLabel"/>
    <w:link w:val="IATOMChar"/>
    <w:rsid w:val="008031EC"/>
    <w:rPr>
      <w:b w:val="0"/>
      <w:sz w:val="22"/>
    </w:rPr>
  </w:style>
  <w:style w:type="paragraph" w:customStyle="1" w:styleId="IACOE">
    <w:name w:val="IACOE"/>
    <w:basedOn w:val="Normal"/>
    <w:link w:val="IACOEChar"/>
    <w:autoRedefine/>
    <w:rsid w:val="00B225B0"/>
    <w:rPr>
      <w:rFonts w:eastAsia="SimSun"/>
      <w:spacing w:val="-5"/>
      <w:sz w:val="20"/>
      <w:lang w:eastAsia="zh-CN"/>
    </w:rPr>
  </w:style>
  <w:style w:type="paragraph" w:customStyle="1" w:styleId="IARPC">
    <w:name w:val="IARPC"/>
    <w:basedOn w:val="Title"/>
    <w:link w:val="IARPCChar"/>
    <w:rsid w:val="00174C10"/>
    <w:rPr>
      <w:rFonts w:eastAsia="SimSun"/>
      <w:color w:val="000000"/>
      <w:sz w:val="24"/>
      <w:szCs w:val="24"/>
    </w:rPr>
  </w:style>
  <w:style w:type="paragraph" w:customStyle="1" w:styleId="IAIIOTNPV">
    <w:name w:val="IAIIOTNPV"/>
    <w:basedOn w:val="IATableLabel"/>
    <w:rsid w:val="008031EC"/>
    <w:pPr>
      <w:spacing w:before="0" w:after="0"/>
      <w:jc w:val="both"/>
    </w:pPr>
    <w:rPr>
      <w:b w:val="0"/>
      <w:sz w:val="22"/>
      <w:szCs w:val="22"/>
    </w:rPr>
  </w:style>
  <w:style w:type="paragraph" w:customStyle="1" w:styleId="IAIOBNPV">
    <w:name w:val="IAIOBNPV"/>
    <w:basedOn w:val="IATableLabel"/>
    <w:rsid w:val="008031EC"/>
    <w:pPr>
      <w:spacing w:before="0" w:after="0"/>
    </w:pPr>
    <w:rPr>
      <w:b w:val="0"/>
      <w:sz w:val="22"/>
      <w:szCs w:val="22"/>
    </w:rPr>
  </w:style>
  <w:style w:type="paragraph" w:customStyle="1" w:styleId="IAIONCTBPY">
    <w:name w:val="IAIONCTBPY"/>
    <w:basedOn w:val="IATableLabel"/>
    <w:rsid w:val="008031EC"/>
    <w:pPr>
      <w:spacing w:before="0" w:after="0"/>
    </w:pPr>
    <w:rPr>
      <w:b w:val="0"/>
      <w:sz w:val="22"/>
      <w:szCs w:val="22"/>
    </w:rPr>
  </w:style>
  <w:style w:type="paragraph" w:customStyle="1" w:styleId="IAIOInScopeInOut">
    <w:name w:val="IAIOInScopeInOut"/>
    <w:basedOn w:val="IATableLabel"/>
    <w:rsid w:val="008369A3"/>
    <w:pPr>
      <w:spacing w:before="0" w:after="0"/>
    </w:pPr>
    <w:rPr>
      <w:b w:val="0"/>
      <w:sz w:val="22"/>
      <w:szCs w:val="22"/>
    </w:rPr>
  </w:style>
  <w:style w:type="paragraph" w:customStyle="1" w:styleId="IAIOPrefMQ">
    <w:name w:val="IAIOPrefMQ"/>
    <w:basedOn w:val="IATableText"/>
    <w:rsid w:val="008369A3"/>
    <w:pPr>
      <w:spacing w:before="0" w:after="0"/>
    </w:pPr>
    <w:rPr>
      <w:color w:val="000000"/>
      <w:szCs w:val="22"/>
    </w:rPr>
  </w:style>
  <w:style w:type="paragraph" w:customStyle="1" w:styleId="IAIOQ1">
    <w:name w:val="IAIOQ1"/>
    <w:basedOn w:val="IATableLabel"/>
    <w:rsid w:val="008369A3"/>
  </w:style>
  <w:style w:type="paragraph" w:customStyle="1" w:styleId="IAIOA1">
    <w:name w:val="IAIOA1"/>
    <w:basedOn w:val="IATableLines"/>
    <w:rsid w:val="008369A3"/>
  </w:style>
  <w:style w:type="paragraph" w:customStyle="1" w:styleId="IAIOQ2">
    <w:name w:val="IAIOQ2"/>
    <w:basedOn w:val="IATableLabel"/>
    <w:rsid w:val="008369A3"/>
  </w:style>
  <w:style w:type="paragraph" w:customStyle="1" w:styleId="IAIOA2">
    <w:name w:val="IAIOA2"/>
    <w:basedOn w:val="IATableLines"/>
    <w:rsid w:val="008369A3"/>
  </w:style>
  <w:style w:type="paragraph" w:customStyle="1" w:styleId="IAIOQ3">
    <w:name w:val="IAIOQ3"/>
    <w:basedOn w:val="IATableLabel"/>
    <w:rsid w:val="008369A3"/>
  </w:style>
  <w:style w:type="paragraph" w:customStyle="1" w:styleId="IAIOA3">
    <w:name w:val="IAIOA3"/>
    <w:basedOn w:val="IATableLines"/>
    <w:rsid w:val="008369A3"/>
  </w:style>
  <w:style w:type="paragraph" w:customStyle="1" w:styleId="IAIOPolicyReview">
    <w:name w:val="IAIOPolicyReview"/>
    <w:basedOn w:val="IATableLabel"/>
    <w:link w:val="IAIOPolicyReviewChar"/>
    <w:rsid w:val="00F91F5A"/>
    <w:rPr>
      <w:b w:val="0"/>
      <w:sz w:val="22"/>
      <w:szCs w:val="22"/>
    </w:rPr>
  </w:style>
  <w:style w:type="character" w:customStyle="1" w:styleId="IAIOPolicyReviewChar">
    <w:name w:val="IAIOPolicyReview Char"/>
    <w:link w:val="IAIOPolicyReview"/>
    <w:rsid w:val="00F91F5A"/>
    <w:rPr>
      <w:rFonts w:ascii="Arial" w:eastAsia="SimSun" w:hAnsi="Arial"/>
      <w:b/>
      <w:color w:val="000000"/>
      <w:spacing w:val="-5"/>
      <w:sz w:val="22"/>
      <w:szCs w:val="22"/>
      <w:lang w:val="en-GB" w:eastAsia="zh-CN" w:bidi="ar-SA"/>
    </w:rPr>
  </w:style>
  <w:style w:type="paragraph" w:customStyle="1" w:styleId="IAIOReviewMonth">
    <w:name w:val="IAIOReviewMonth"/>
    <w:basedOn w:val="IATableLabel"/>
    <w:link w:val="IAIOReviewMonthChar"/>
    <w:rsid w:val="00F91F5A"/>
    <w:rPr>
      <w:b w:val="0"/>
      <w:sz w:val="22"/>
      <w:szCs w:val="22"/>
    </w:rPr>
  </w:style>
  <w:style w:type="paragraph" w:customStyle="1" w:styleId="IAIOReviewYear">
    <w:name w:val="IAIOReviewYear"/>
    <w:basedOn w:val="IATableLabel"/>
    <w:link w:val="IAIOReviewYearChar"/>
    <w:rsid w:val="00F91F5A"/>
    <w:rPr>
      <w:b w:val="0"/>
      <w:sz w:val="22"/>
      <w:szCs w:val="22"/>
    </w:rPr>
  </w:style>
  <w:style w:type="paragraph" w:customStyle="1" w:styleId="IAIOCheckEU">
    <w:name w:val="IAIOCheckEU"/>
    <w:basedOn w:val="IATableText"/>
    <w:rsid w:val="00F91F5A"/>
    <w:pPr>
      <w:spacing w:before="0" w:after="0"/>
    </w:pPr>
    <w:rPr>
      <w:sz w:val="20"/>
    </w:rPr>
  </w:style>
  <w:style w:type="character" w:customStyle="1" w:styleId="IAIOReviewYearChar">
    <w:name w:val="IAIOReviewYear Char"/>
    <w:link w:val="IAIOReviewYear"/>
    <w:rsid w:val="00F91F5A"/>
    <w:rPr>
      <w:rFonts w:ascii="Arial" w:eastAsia="SimSun" w:hAnsi="Arial"/>
      <w:b/>
      <w:color w:val="000000"/>
      <w:spacing w:val="-5"/>
      <w:sz w:val="22"/>
      <w:szCs w:val="22"/>
      <w:lang w:val="en-GB" w:eastAsia="zh-CN" w:bidi="ar-SA"/>
    </w:rPr>
  </w:style>
  <w:style w:type="character" w:customStyle="1" w:styleId="IAIOReviewMonthChar">
    <w:name w:val="IAIOReviewMonth Char"/>
    <w:link w:val="IAIOReviewMonth"/>
    <w:rsid w:val="00F91F5A"/>
    <w:rPr>
      <w:rFonts w:ascii="Arial" w:eastAsia="SimSun" w:hAnsi="Arial"/>
      <w:b/>
      <w:color w:val="000000"/>
      <w:spacing w:val="-5"/>
      <w:sz w:val="22"/>
      <w:szCs w:val="22"/>
      <w:lang w:val="en-GB" w:eastAsia="zh-CN" w:bidi="ar-SA"/>
    </w:rPr>
  </w:style>
  <w:style w:type="paragraph" w:customStyle="1" w:styleId="IAIOCheckMicro">
    <w:name w:val="IAIOCheckMicro"/>
    <w:basedOn w:val="IATableLines"/>
    <w:link w:val="IAIOCheckMicroChar"/>
    <w:rsid w:val="00F91F5A"/>
    <w:rPr>
      <w:sz w:val="20"/>
    </w:rPr>
  </w:style>
  <w:style w:type="paragraph" w:customStyle="1" w:styleId="IAIOCheck20">
    <w:name w:val="IAIOCheck20"/>
    <w:basedOn w:val="IATableLines"/>
    <w:rsid w:val="00F91F5A"/>
    <w:rPr>
      <w:sz w:val="20"/>
    </w:rPr>
  </w:style>
  <w:style w:type="paragraph" w:customStyle="1" w:styleId="IAIOCheckSmall">
    <w:name w:val="IAIOCheckSmall"/>
    <w:basedOn w:val="IATableLines"/>
    <w:link w:val="IAIOCheckSmallChar"/>
    <w:rsid w:val="00F91F5A"/>
    <w:rPr>
      <w:sz w:val="20"/>
    </w:rPr>
  </w:style>
  <w:style w:type="paragraph" w:customStyle="1" w:styleId="IAIOCheckMedium">
    <w:name w:val="IAIOCheckMedium"/>
    <w:basedOn w:val="IATableLines"/>
    <w:link w:val="IAIOCheckMediumChar"/>
    <w:rsid w:val="00F91F5A"/>
    <w:rPr>
      <w:sz w:val="20"/>
    </w:rPr>
  </w:style>
  <w:style w:type="paragraph" w:customStyle="1" w:styleId="IAIOCheckLarge">
    <w:name w:val="IAIOCheckLarge"/>
    <w:basedOn w:val="IATableLines"/>
    <w:link w:val="IAIOCheckLargeChar"/>
    <w:rsid w:val="00F91F5A"/>
    <w:rPr>
      <w:sz w:val="20"/>
    </w:rPr>
  </w:style>
  <w:style w:type="paragraph" w:customStyle="1" w:styleId="IAIOCO2Traded">
    <w:name w:val="IAIOCO2Traded"/>
    <w:basedOn w:val="IATableLabel"/>
    <w:link w:val="IAIOCO2TradedChar"/>
    <w:rsid w:val="00F91F5A"/>
    <w:rPr>
      <w:b w:val="0"/>
      <w:sz w:val="22"/>
    </w:rPr>
  </w:style>
  <w:style w:type="paragraph" w:customStyle="1" w:styleId="IAIOCO2NonTraded">
    <w:name w:val="IAIOCO2NonTraded"/>
    <w:basedOn w:val="IAIOCO2Traded"/>
    <w:rsid w:val="008155E3"/>
    <w:rPr>
      <w:sz w:val="20"/>
    </w:rPr>
  </w:style>
  <w:style w:type="paragraph" w:customStyle="1" w:styleId="IAIOtextSign">
    <w:name w:val="IAIOtextSign"/>
    <w:basedOn w:val="Normal"/>
    <w:rsid w:val="00F91F5A"/>
    <w:pPr>
      <w:jc w:val="center"/>
    </w:pPr>
  </w:style>
  <w:style w:type="paragraph" w:customStyle="1" w:styleId="IAIOSigDate">
    <w:name w:val="IAIOSigDate"/>
    <w:basedOn w:val="Normal"/>
    <w:rsid w:val="00F91F5A"/>
    <w:pPr>
      <w:jc w:val="center"/>
    </w:pPr>
    <w:rPr>
      <w:sz w:val="22"/>
      <w:szCs w:val="22"/>
    </w:rPr>
  </w:style>
  <w:style w:type="paragraph" w:customStyle="1" w:styleId="IAPODescription">
    <w:name w:val="IAPODescription"/>
    <w:basedOn w:val="IAHeadLabel"/>
    <w:link w:val="IAPODescriptionCharChar"/>
    <w:rsid w:val="00D00846"/>
    <w:pPr>
      <w:spacing w:before="50"/>
    </w:pPr>
    <w:rPr>
      <w:b w:val="0"/>
    </w:rPr>
  </w:style>
  <w:style w:type="character" w:customStyle="1" w:styleId="IAPODescriptionCharChar">
    <w:name w:val="IAPODescription Char Char"/>
    <w:basedOn w:val="IAHeadLabelChar"/>
    <w:link w:val="IAPODescription"/>
    <w:rsid w:val="00D00846"/>
    <w:rPr>
      <w:rFonts w:ascii="Arial" w:eastAsia="SimSun" w:hAnsi="Arial"/>
      <w:b/>
      <w:color w:val="000000"/>
      <w:spacing w:val="-5"/>
      <w:lang w:val="en-GB" w:eastAsia="zh-CN" w:bidi="ar-SA"/>
    </w:rPr>
  </w:style>
  <w:style w:type="character" w:customStyle="1" w:styleId="IADateChar">
    <w:name w:val="IADate Char"/>
    <w:link w:val="IADate"/>
    <w:rsid w:val="00174C10"/>
    <w:rPr>
      <w:rFonts w:ascii="Arial" w:eastAsia="SimSun" w:hAnsi="Arial"/>
      <w:b/>
      <w:color w:val="000000"/>
      <w:spacing w:val="-5"/>
      <w:sz w:val="22"/>
      <w:szCs w:val="22"/>
      <w:lang w:val="en-GB" w:eastAsia="zh-CN" w:bidi="ar-SA"/>
    </w:rPr>
  </w:style>
  <w:style w:type="character" w:customStyle="1" w:styleId="IATableLinesChar">
    <w:name w:val="IATableLines Char"/>
    <w:basedOn w:val="IATableTextChar"/>
    <w:link w:val="IATableLines"/>
    <w:rsid w:val="00174C10"/>
    <w:rPr>
      <w:rFonts w:ascii="Arial" w:eastAsia="SimSun" w:hAnsi="Arial"/>
      <w:b/>
      <w:color w:val="000000"/>
      <w:spacing w:val="-5"/>
      <w:sz w:val="22"/>
      <w:lang w:val="en-GB" w:eastAsia="zh-CN" w:bidi="ar-SA"/>
    </w:rPr>
  </w:style>
  <w:style w:type="character" w:customStyle="1" w:styleId="IACOEChar">
    <w:name w:val="IACOE Char"/>
    <w:link w:val="IACOE"/>
    <w:rsid w:val="00B225B0"/>
    <w:rPr>
      <w:rFonts w:ascii="Arial" w:eastAsia="SimSun" w:hAnsi="Arial"/>
      <w:b/>
      <w:color w:val="000000"/>
      <w:spacing w:val="-5"/>
      <w:sz w:val="22"/>
      <w:szCs w:val="24"/>
      <w:lang w:val="en-GB" w:eastAsia="zh-CN" w:bidi="ar-SA"/>
    </w:rPr>
  </w:style>
  <w:style w:type="character" w:customStyle="1" w:styleId="IAStageChar">
    <w:name w:val="IAStage Char"/>
    <w:link w:val="IAStage"/>
    <w:rsid w:val="00174C10"/>
    <w:rPr>
      <w:rFonts w:ascii="Arial" w:eastAsia="SimSun" w:hAnsi="Arial"/>
      <w:b/>
      <w:color w:val="000000"/>
      <w:spacing w:val="-5"/>
      <w:sz w:val="22"/>
      <w:lang w:val="en-GB" w:eastAsia="zh-CN" w:bidi="ar-SA"/>
    </w:rPr>
  </w:style>
  <w:style w:type="character" w:customStyle="1" w:styleId="IASOIChar">
    <w:name w:val="IASOI Char"/>
    <w:link w:val="IASOI"/>
    <w:rsid w:val="00174C10"/>
    <w:rPr>
      <w:rFonts w:ascii="Arial" w:eastAsia="SimSun" w:hAnsi="Arial"/>
      <w:b/>
      <w:color w:val="000000"/>
      <w:spacing w:val="-5"/>
      <w:sz w:val="22"/>
      <w:lang w:val="en-GB" w:eastAsia="zh-CN" w:bidi="ar-SA"/>
    </w:rPr>
  </w:style>
  <w:style w:type="character" w:customStyle="1" w:styleId="IATOMChar">
    <w:name w:val="IATOM Char"/>
    <w:link w:val="IATOM"/>
    <w:rsid w:val="00174C10"/>
    <w:rPr>
      <w:rFonts w:ascii="Arial" w:eastAsia="SimSun" w:hAnsi="Arial"/>
      <w:b/>
      <w:color w:val="000000"/>
      <w:spacing w:val="-5"/>
      <w:sz w:val="22"/>
      <w:lang w:val="en-GB" w:eastAsia="zh-CN" w:bidi="ar-SA"/>
    </w:rPr>
  </w:style>
  <w:style w:type="character" w:customStyle="1" w:styleId="TitleChar">
    <w:name w:val="Title Char"/>
    <w:link w:val="Title"/>
    <w:rsid w:val="00174C10"/>
    <w:rPr>
      <w:rFonts w:ascii="Arial" w:hAnsi="Arial" w:cs="Arial"/>
      <w:bCs/>
      <w:color w:val="FFFFFF"/>
      <w:kern w:val="28"/>
      <w:sz w:val="32"/>
      <w:szCs w:val="32"/>
      <w:lang w:val="en-GB" w:eastAsia="en-US" w:bidi="ar-SA"/>
    </w:rPr>
  </w:style>
  <w:style w:type="character" w:customStyle="1" w:styleId="IARPCChar">
    <w:name w:val="IARPC Char"/>
    <w:link w:val="IARPC"/>
    <w:rsid w:val="00174C10"/>
    <w:rPr>
      <w:rFonts w:ascii="Arial" w:eastAsia="SimSun" w:hAnsi="Arial" w:cs="Arial"/>
      <w:bCs/>
      <w:color w:val="000000"/>
      <w:kern w:val="28"/>
      <w:sz w:val="24"/>
      <w:szCs w:val="24"/>
      <w:lang w:val="en-GB" w:eastAsia="en-US" w:bidi="ar-SA"/>
    </w:rPr>
  </w:style>
  <w:style w:type="character" w:customStyle="1" w:styleId="IAIOCheckMicroChar">
    <w:name w:val="IAIOCheckMicro Char"/>
    <w:basedOn w:val="IATableLinesChar"/>
    <w:link w:val="IAIOCheckMicro"/>
    <w:rsid w:val="00D478C9"/>
    <w:rPr>
      <w:rFonts w:ascii="Arial" w:eastAsia="SimSun" w:hAnsi="Arial"/>
      <w:b/>
      <w:color w:val="000000"/>
      <w:spacing w:val="-5"/>
      <w:sz w:val="22"/>
      <w:lang w:val="en-GB" w:eastAsia="zh-CN" w:bidi="ar-SA"/>
    </w:rPr>
  </w:style>
  <w:style w:type="character" w:customStyle="1" w:styleId="IAIOCheckSmallChar">
    <w:name w:val="IAIOCheckSmall Char"/>
    <w:basedOn w:val="IATableLinesChar"/>
    <w:link w:val="IAIOCheckSmall"/>
    <w:rsid w:val="00D478C9"/>
    <w:rPr>
      <w:rFonts w:ascii="Arial" w:eastAsia="SimSun" w:hAnsi="Arial"/>
      <w:b/>
      <w:color w:val="000000"/>
      <w:spacing w:val="-5"/>
      <w:sz w:val="22"/>
      <w:lang w:val="en-GB" w:eastAsia="zh-CN" w:bidi="ar-SA"/>
    </w:rPr>
  </w:style>
  <w:style w:type="character" w:customStyle="1" w:styleId="IAIOCheckMediumChar">
    <w:name w:val="IAIOCheckMedium Char"/>
    <w:basedOn w:val="IATableLinesChar"/>
    <w:link w:val="IAIOCheckMedium"/>
    <w:rsid w:val="00D478C9"/>
    <w:rPr>
      <w:rFonts w:ascii="Arial" w:eastAsia="SimSun" w:hAnsi="Arial"/>
      <w:b/>
      <w:color w:val="000000"/>
      <w:spacing w:val="-5"/>
      <w:sz w:val="22"/>
      <w:lang w:val="en-GB" w:eastAsia="zh-CN" w:bidi="ar-SA"/>
    </w:rPr>
  </w:style>
  <w:style w:type="character" w:customStyle="1" w:styleId="IAIOCheckLargeChar">
    <w:name w:val="IAIOCheckLarge Char"/>
    <w:basedOn w:val="IATableLinesChar"/>
    <w:link w:val="IAIOCheckLarge"/>
    <w:rsid w:val="00D478C9"/>
    <w:rPr>
      <w:rFonts w:ascii="Arial" w:eastAsia="SimSun" w:hAnsi="Arial"/>
      <w:b/>
      <w:color w:val="000000"/>
      <w:spacing w:val="-5"/>
      <w:sz w:val="22"/>
      <w:lang w:val="en-GB" w:eastAsia="zh-CN" w:bidi="ar-SA"/>
    </w:rPr>
  </w:style>
  <w:style w:type="character" w:customStyle="1" w:styleId="IAIOCO2TradedChar">
    <w:name w:val="IAIOCO2Traded Char"/>
    <w:link w:val="IAIOCO2Traded"/>
    <w:rsid w:val="00D478C9"/>
    <w:rPr>
      <w:rFonts w:ascii="Arial" w:eastAsia="SimSun" w:hAnsi="Arial"/>
      <w:b/>
      <w:color w:val="000000"/>
      <w:spacing w:val="-5"/>
      <w:sz w:val="22"/>
      <w:lang w:val="en-GB" w:eastAsia="zh-CN" w:bidi="ar-SA"/>
    </w:rPr>
  </w:style>
  <w:style w:type="character" w:customStyle="1" w:styleId="IALabel">
    <w:name w:val="IALabel"/>
    <w:rsid w:val="009F6692"/>
    <w:rPr>
      <w:color w:val="000000"/>
      <w:sz w:val="20"/>
    </w:rPr>
  </w:style>
  <w:style w:type="paragraph" w:styleId="ListParagraph">
    <w:name w:val="List Paragraph"/>
    <w:basedOn w:val="Normal"/>
    <w:uiPriority w:val="34"/>
    <w:qFormat/>
    <w:rsid w:val="007827EB"/>
    <w:pPr>
      <w:ind w:left="720"/>
      <w:contextualSpacing/>
    </w:pPr>
  </w:style>
  <w:style w:type="character" w:customStyle="1" w:styleId="FootnoteTextChar">
    <w:name w:val="Footnote Text Char"/>
    <w:aliases w:val="fn Char,Footnote Char,Footnote Text Char Char Char1,Footnote Text Char Char Char Char1,Footnote Text Char Char Char Char Char,Footnote Text1 Char Char,Footnote Text1 Char1,Footnote Text1 Char Char Char Char,FOOTNOTES Char"/>
    <w:basedOn w:val="DefaultParagraphFont"/>
    <w:link w:val="FootnoteText"/>
    <w:uiPriority w:val="99"/>
    <w:locked/>
    <w:rsid w:val="007827EB"/>
    <w:rPr>
      <w:rFonts w:ascii="Arial" w:eastAsia="SimSun" w:hAnsi="Arial"/>
      <w:sz w:val="16"/>
      <w:lang w:eastAsia="zh-CN"/>
    </w:rPr>
  </w:style>
  <w:style w:type="character" w:styleId="CommentReference">
    <w:name w:val="annotation reference"/>
    <w:basedOn w:val="DefaultParagraphFont"/>
    <w:uiPriority w:val="99"/>
    <w:rsid w:val="007827EB"/>
    <w:rPr>
      <w:rFonts w:cs="Times New Roman"/>
      <w:sz w:val="16"/>
      <w:szCs w:val="16"/>
    </w:rPr>
  </w:style>
  <w:style w:type="paragraph" w:styleId="CommentText">
    <w:name w:val="annotation text"/>
    <w:basedOn w:val="Normal"/>
    <w:link w:val="CommentTextChar"/>
    <w:uiPriority w:val="99"/>
    <w:rsid w:val="007827EB"/>
    <w:pPr>
      <w:spacing w:after="200"/>
    </w:pPr>
    <w:rPr>
      <w:rFonts w:ascii="Calibri" w:hAnsi="Calibri"/>
      <w:sz w:val="20"/>
      <w:szCs w:val="20"/>
    </w:rPr>
  </w:style>
  <w:style w:type="character" w:customStyle="1" w:styleId="CommentTextChar">
    <w:name w:val="Comment Text Char"/>
    <w:basedOn w:val="DefaultParagraphFont"/>
    <w:link w:val="CommentText"/>
    <w:uiPriority w:val="99"/>
    <w:rsid w:val="007827EB"/>
    <w:rPr>
      <w:rFonts w:ascii="Calibri" w:hAnsi="Calibri"/>
      <w:lang w:eastAsia="en-US"/>
    </w:rPr>
  </w:style>
  <w:style w:type="paragraph" w:styleId="Revision">
    <w:name w:val="Revision"/>
    <w:hidden/>
    <w:uiPriority w:val="99"/>
    <w:semiHidden/>
    <w:rsid w:val="00261673"/>
    <w:rPr>
      <w:rFonts w:ascii="Arial" w:hAnsi="Arial"/>
      <w:sz w:val="24"/>
      <w:szCs w:val="24"/>
      <w:lang w:eastAsia="en-US"/>
    </w:rPr>
  </w:style>
  <w:style w:type="paragraph" w:customStyle="1" w:styleId="CM1">
    <w:name w:val="CM1"/>
    <w:basedOn w:val="Normal"/>
    <w:next w:val="Normal"/>
    <w:uiPriority w:val="99"/>
    <w:rsid w:val="00312B3E"/>
    <w:pPr>
      <w:autoSpaceDE w:val="0"/>
      <w:autoSpaceDN w:val="0"/>
      <w:adjustRightInd w:val="0"/>
    </w:pPr>
    <w:rPr>
      <w:rFonts w:ascii="EUAlbertina" w:eastAsiaTheme="minorHAnsi" w:hAnsi="EUAlbertina" w:cstheme="minorBidi"/>
    </w:rPr>
  </w:style>
  <w:style w:type="paragraph" w:styleId="NormalWeb">
    <w:name w:val="Normal (Web)"/>
    <w:basedOn w:val="Normal"/>
    <w:uiPriority w:val="99"/>
    <w:unhideWhenUsed/>
    <w:rsid w:val="00743475"/>
    <w:pPr>
      <w:spacing w:before="100" w:beforeAutospacing="1" w:after="100" w:afterAutospacing="1"/>
    </w:pPr>
    <w:rPr>
      <w:rFonts w:ascii="Times New Roman" w:hAnsi="Times New Roman"/>
      <w:lang w:eastAsia="en-GB"/>
    </w:rPr>
  </w:style>
  <w:style w:type="paragraph" w:customStyle="1" w:styleId="Default">
    <w:name w:val="Default"/>
    <w:uiPriority w:val="99"/>
    <w:rsid w:val="00BD1587"/>
    <w:pPr>
      <w:autoSpaceDE w:val="0"/>
      <w:autoSpaceDN w:val="0"/>
      <w:adjustRightInd w:val="0"/>
    </w:pPr>
    <w:rPr>
      <w:color w:val="000000"/>
      <w:sz w:val="24"/>
      <w:szCs w:val="24"/>
      <w:lang w:eastAsia="en-US"/>
    </w:rPr>
  </w:style>
  <w:style w:type="paragraph" w:styleId="CommentSubject">
    <w:name w:val="annotation subject"/>
    <w:basedOn w:val="CommentText"/>
    <w:next w:val="CommentText"/>
    <w:link w:val="CommentSubjectChar"/>
    <w:rsid w:val="00EE0E76"/>
    <w:pPr>
      <w:spacing w:after="0"/>
    </w:pPr>
    <w:rPr>
      <w:rFonts w:ascii="Arial" w:hAnsi="Arial"/>
      <w:b/>
      <w:bCs/>
    </w:rPr>
  </w:style>
  <w:style w:type="character" w:customStyle="1" w:styleId="CommentSubjectChar">
    <w:name w:val="Comment Subject Char"/>
    <w:basedOn w:val="CommentTextChar"/>
    <w:link w:val="CommentSubject"/>
    <w:rsid w:val="00EE0E76"/>
    <w:rPr>
      <w:rFonts w:ascii="Arial" w:hAnsi="Arial"/>
      <w:b/>
      <w:bCs/>
      <w:lang w:eastAsia="en-US"/>
    </w:rPr>
  </w:style>
  <w:style w:type="paragraph" w:styleId="NoSpacing">
    <w:name w:val="No Spacing"/>
    <w:uiPriority w:val="1"/>
    <w:qFormat/>
    <w:rsid w:val="00201573"/>
    <w:rPr>
      <w:rFonts w:ascii="Arial" w:hAnsi="Arial"/>
      <w:sz w:val="24"/>
      <w:szCs w:val="24"/>
      <w:lang w:eastAsia="en-US"/>
    </w:rPr>
  </w:style>
  <w:style w:type="character" w:styleId="HTMLCite">
    <w:name w:val="HTML Cite"/>
    <w:basedOn w:val="DefaultParagraphFont"/>
    <w:uiPriority w:val="99"/>
    <w:unhideWhenUsed/>
    <w:rsid w:val="00027216"/>
    <w:rPr>
      <w:i w:val="0"/>
      <w:iCs w:val="0"/>
      <w:color w:val="006D21"/>
    </w:rPr>
  </w:style>
  <w:style w:type="character" w:styleId="Strong">
    <w:name w:val="Strong"/>
    <w:basedOn w:val="DefaultParagraphFont"/>
    <w:uiPriority w:val="22"/>
    <w:qFormat/>
    <w:rsid w:val="00027216"/>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annotation text" w:uiPriority="99"/>
    <w:lsdException w:name="caption" w:semiHidden="1" w:unhideWhenUsed="1" w:qFormat="1"/>
    <w:lsdException w:name="footnote reference" w:uiPriority="99"/>
    <w:lsdException w:name="annotation reference" w:uiPriority="99"/>
    <w:lsdException w:name="Title" w:qFormat="1"/>
    <w:lsdException w:name="Subtitle" w:qFormat="1"/>
    <w:lsdException w:name="Strong" w:uiPriority="22" w:qFormat="1"/>
    <w:lsdException w:name="Emphasis" w:qFormat="1"/>
    <w:lsdException w:name="Normal (Web)" w:uiPriority="99"/>
    <w:lsdException w:name="HTML Cite"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208D9"/>
    <w:rPr>
      <w:rFonts w:ascii="Arial" w:hAnsi="Arial"/>
      <w:sz w:val="24"/>
      <w:szCs w:val="24"/>
      <w:lang w:eastAsia="en-US"/>
    </w:rPr>
  </w:style>
  <w:style w:type="paragraph" w:styleId="Heading1">
    <w:name w:val="heading 1"/>
    <w:basedOn w:val="Normal"/>
    <w:next w:val="Normal"/>
    <w:qFormat/>
    <w:rsid w:val="00E3545D"/>
    <w:pPr>
      <w:keepNext/>
      <w:tabs>
        <w:tab w:val="right" w:pos="10206"/>
      </w:tabs>
      <w:spacing w:before="240" w:after="60"/>
      <w:outlineLvl w:val="0"/>
    </w:pPr>
    <w:rPr>
      <w:rFonts w:ascii="Arial Bold" w:hAnsi="Arial Bold" w:cs="Arial"/>
      <w:b/>
      <w:bCs/>
      <w:spacing w:val="-4"/>
      <w:kern w:val="32"/>
      <w:sz w:val="32"/>
      <w:szCs w:val="32"/>
    </w:rPr>
  </w:style>
  <w:style w:type="paragraph" w:styleId="Heading2">
    <w:name w:val="heading 2"/>
    <w:aliases w:val="EBHeading1"/>
    <w:basedOn w:val="Normal"/>
    <w:next w:val="EBBodyPara"/>
    <w:qFormat/>
    <w:rsid w:val="002B7335"/>
    <w:pPr>
      <w:keepNext/>
      <w:keepLines/>
      <w:spacing w:before="480" w:after="240"/>
      <w:outlineLvl w:val="1"/>
    </w:pPr>
    <w:rPr>
      <w:rFonts w:cs="Arial"/>
      <w:bCs/>
      <w:color w:val="000000"/>
      <w:sz w:val="32"/>
      <w:szCs w:val="22"/>
      <w:lang w:eastAsia="en-GB"/>
    </w:rPr>
  </w:style>
  <w:style w:type="paragraph" w:styleId="Heading3">
    <w:name w:val="heading 3"/>
    <w:aliases w:val="EBHeading2"/>
    <w:basedOn w:val="Normal"/>
    <w:next w:val="EBBodyPara"/>
    <w:qFormat/>
    <w:rsid w:val="002B7335"/>
    <w:pPr>
      <w:keepNext/>
      <w:keepLines/>
      <w:spacing w:before="360" w:after="240"/>
      <w:outlineLvl w:val="2"/>
    </w:pPr>
    <w:rPr>
      <w:rFonts w:cs="Arial"/>
      <w:b/>
      <w:bCs/>
      <w:color w:val="000000"/>
      <w:szCs w:val="22"/>
      <w:lang w:eastAsia="en-GB"/>
    </w:rPr>
  </w:style>
  <w:style w:type="paragraph" w:styleId="Heading4">
    <w:name w:val="heading 4"/>
    <w:aliases w:val="EBHeading3"/>
    <w:basedOn w:val="EBBodyPara"/>
    <w:next w:val="Normal"/>
    <w:qFormat/>
    <w:rsid w:val="002B7335"/>
    <w:pPr>
      <w:spacing w:before="240"/>
      <w:outlineLvl w:val="3"/>
    </w:pPr>
    <w:rPr>
      <w:b/>
    </w:rPr>
  </w:style>
  <w:style w:type="paragraph" w:styleId="Heading5">
    <w:name w:val="heading 5"/>
    <w:aliases w:val="EBHeading4"/>
    <w:basedOn w:val="Normal"/>
    <w:next w:val="Normal"/>
    <w:qFormat/>
    <w:rsid w:val="002B7335"/>
    <w:pPr>
      <w:spacing w:before="240" w:after="120"/>
      <w:outlineLvl w:val="4"/>
    </w:pPr>
    <w:rPr>
      <w:bCs/>
      <w:i/>
      <w:iCs/>
      <w:sz w:val="2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ATableLabel">
    <w:name w:val="IATableLabel"/>
    <w:basedOn w:val="Normal"/>
    <w:link w:val="IATableLabelCharChar"/>
    <w:rsid w:val="00402E80"/>
    <w:pPr>
      <w:spacing w:before="50" w:after="50"/>
      <w:ind w:left="113" w:right="113"/>
    </w:pPr>
    <w:rPr>
      <w:rFonts w:eastAsia="SimSun"/>
      <w:b/>
      <w:color w:val="000000"/>
      <w:spacing w:val="-5"/>
      <w:sz w:val="20"/>
      <w:szCs w:val="20"/>
      <w:lang w:eastAsia="zh-CN"/>
    </w:rPr>
  </w:style>
  <w:style w:type="character" w:customStyle="1" w:styleId="IATableLabelCharChar">
    <w:name w:val="IATableLabel Char Char"/>
    <w:link w:val="IATableLabel"/>
    <w:rsid w:val="00402E80"/>
    <w:rPr>
      <w:rFonts w:ascii="Arial" w:eastAsia="SimSun" w:hAnsi="Arial"/>
      <w:b/>
      <w:color w:val="000000"/>
      <w:spacing w:val="-5"/>
      <w:lang w:val="en-GB" w:eastAsia="zh-CN" w:bidi="ar-SA"/>
    </w:rPr>
  </w:style>
  <w:style w:type="paragraph" w:customStyle="1" w:styleId="IASpacer">
    <w:name w:val="IASpacer"/>
    <w:basedOn w:val="Normal"/>
    <w:rsid w:val="007208D9"/>
    <w:pPr>
      <w:spacing w:line="80" w:lineRule="exact"/>
    </w:pPr>
    <w:rPr>
      <w:rFonts w:eastAsia="SimSun"/>
      <w:sz w:val="22"/>
      <w:lang w:eastAsia="zh-CN"/>
    </w:rPr>
  </w:style>
  <w:style w:type="paragraph" w:customStyle="1" w:styleId="IATableText">
    <w:name w:val="IATableText"/>
    <w:basedOn w:val="IATableLabel"/>
    <w:link w:val="IATableTextChar"/>
    <w:rsid w:val="00220F29"/>
    <w:rPr>
      <w:b w:val="0"/>
      <w:color w:val="auto"/>
      <w:sz w:val="22"/>
    </w:rPr>
  </w:style>
  <w:style w:type="character" w:customStyle="1" w:styleId="IATableTextChar">
    <w:name w:val="IATableText Char"/>
    <w:link w:val="IATableText"/>
    <w:rsid w:val="00220F29"/>
    <w:rPr>
      <w:rFonts w:ascii="Arial" w:eastAsia="SimSun" w:hAnsi="Arial"/>
      <w:b/>
      <w:color w:val="000000"/>
      <w:spacing w:val="-5"/>
      <w:sz w:val="22"/>
      <w:lang w:val="en-GB" w:eastAsia="zh-CN" w:bidi="ar-SA"/>
    </w:rPr>
  </w:style>
  <w:style w:type="paragraph" w:styleId="BodyText">
    <w:name w:val="Body Text"/>
    <w:basedOn w:val="Normal"/>
    <w:link w:val="BodyTextChar"/>
    <w:rsid w:val="003E54B6"/>
    <w:pPr>
      <w:spacing w:after="120"/>
    </w:pPr>
    <w:rPr>
      <w:rFonts w:cs="Arial"/>
      <w:bCs/>
      <w:color w:val="000000"/>
      <w:sz w:val="22"/>
      <w:szCs w:val="22"/>
      <w:lang w:eastAsia="en-GB"/>
    </w:rPr>
  </w:style>
  <w:style w:type="table" w:styleId="TableGrid">
    <w:name w:val="Table Grid"/>
    <w:basedOn w:val="TableNormal"/>
    <w:uiPriority w:val="59"/>
    <w:rsid w:val="000265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sid w:val="007F64C7"/>
    <w:pPr>
      <w:ind w:left="113"/>
      <w:outlineLvl w:val="0"/>
    </w:pPr>
    <w:rPr>
      <w:rFonts w:cs="Arial"/>
      <w:bCs/>
      <w:color w:val="FFFFFF"/>
      <w:kern w:val="28"/>
      <w:sz w:val="32"/>
      <w:szCs w:val="32"/>
    </w:rPr>
  </w:style>
  <w:style w:type="paragraph" w:customStyle="1" w:styleId="IAHeadDept">
    <w:name w:val="IAHeadDept"/>
    <w:basedOn w:val="IATableText"/>
    <w:link w:val="IAHeadDeptChar"/>
    <w:rsid w:val="00C120C0"/>
    <w:pPr>
      <w:spacing w:after="120"/>
      <w:ind w:left="0" w:right="57"/>
    </w:pPr>
    <w:rPr>
      <w:spacing w:val="-6"/>
      <w:szCs w:val="22"/>
    </w:rPr>
  </w:style>
  <w:style w:type="paragraph" w:customStyle="1" w:styleId="IAHeadLabel">
    <w:name w:val="IAHeadLabel"/>
    <w:basedOn w:val="IATableLabel"/>
    <w:link w:val="IAHeadLabelChar"/>
    <w:rsid w:val="00570F8E"/>
    <w:pPr>
      <w:spacing w:before="110"/>
      <w:ind w:left="0" w:right="0"/>
    </w:pPr>
  </w:style>
  <w:style w:type="character" w:customStyle="1" w:styleId="IAHeadLabelChar">
    <w:name w:val="IAHeadLabel Char"/>
    <w:basedOn w:val="IATableLabelCharChar"/>
    <w:link w:val="IAHeadLabel"/>
    <w:rsid w:val="00570F8E"/>
    <w:rPr>
      <w:rFonts w:ascii="Arial" w:eastAsia="SimSun" w:hAnsi="Arial"/>
      <w:b/>
      <w:color w:val="000000"/>
      <w:spacing w:val="-5"/>
      <w:lang w:val="en-GB" w:eastAsia="zh-CN" w:bidi="ar-SA"/>
    </w:rPr>
  </w:style>
  <w:style w:type="table" w:customStyle="1" w:styleId="TableIAHeading">
    <w:name w:val="Table_IAHeading"/>
    <w:basedOn w:val="TableNormal"/>
    <w:semiHidden/>
    <w:rsid w:val="006A5A2E"/>
    <w:rPr>
      <w:rFonts w:eastAsia="SimSun"/>
      <w:color w:val="FFFFFF"/>
    </w:rPr>
    <w:tblPr>
      <w:tblBorders>
        <w:top w:val="single" w:sz="12" w:space="0" w:color="008080"/>
        <w:left w:val="single" w:sz="12" w:space="0" w:color="008080"/>
        <w:bottom w:val="single" w:sz="12" w:space="0" w:color="008080"/>
        <w:right w:val="single" w:sz="12" w:space="0" w:color="008080"/>
        <w:insideH w:val="single" w:sz="12" w:space="0" w:color="008080"/>
      </w:tblBorders>
      <w:tblCellMar>
        <w:left w:w="0" w:type="dxa"/>
        <w:right w:w="0" w:type="dxa"/>
      </w:tblCellMar>
    </w:tblPr>
    <w:tcPr>
      <w:shd w:val="clear" w:color="auto" w:fill="008080"/>
      <w:vAlign w:val="center"/>
    </w:tcPr>
  </w:style>
  <w:style w:type="paragraph" w:customStyle="1" w:styleId="IATableNotes">
    <w:name w:val="IATableNotes"/>
    <w:basedOn w:val="Normal"/>
    <w:link w:val="IATableNotesChar"/>
    <w:rsid w:val="006A5A2E"/>
    <w:pPr>
      <w:spacing w:before="60" w:after="60"/>
      <w:ind w:left="113" w:right="113"/>
    </w:pPr>
    <w:rPr>
      <w:rFonts w:eastAsia="SimSun"/>
      <w:sz w:val="18"/>
      <w:szCs w:val="20"/>
      <w:lang w:eastAsia="zh-CN"/>
    </w:rPr>
  </w:style>
  <w:style w:type="character" w:customStyle="1" w:styleId="IATableNotesChar">
    <w:name w:val="IATableNotes Char"/>
    <w:link w:val="IATableNotes"/>
    <w:rsid w:val="006A5A2E"/>
    <w:rPr>
      <w:rFonts w:ascii="Arial" w:eastAsia="SimSun" w:hAnsi="Arial"/>
      <w:sz w:val="18"/>
      <w:lang w:val="en-GB" w:eastAsia="zh-CN" w:bidi="ar-SA"/>
    </w:rPr>
  </w:style>
  <w:style w:type="paragraph" w:customStyle="1" w:styleId="IASignOff">
    <w:name w:val="IASignOff"/>
    <w:basedOn w:val="IATableNotes"/>
    <w:next w:val="IATableNotes"/>
    <w:link w:val="IASignOffChar"/>
    <w:semiHidden/>
    <w:rsid w:val="006A5A2E"/>
    <w:pPr>
      <w:spacing w:before="120" w:after="120"/>
      <w:ind w:left="567" w:right="567"/>
    </w:pPr>
    <w:rPr>
      <w:b/>
      <w:bCs/>
      <w:i/>
      <w:iCs/>
    </w:rPr>
  </w:style>
  <w:style w:type="character" w:customStyle="1" w:styleId="IASignOffChar">
    <w:name w:val="IASignOff Char"/>
    <w:link w:val="IASignOff"/>
    <w:rsid w:val="006A5A2E"/>
    <w:rPr>
      <w:rFonts w:ascii="Arial" w:eastAsia="SimSun" w:hAnsi="Arial"/>
      <w:b/>
      <w:bCs/>
      <w:i/>
      <w:iCs/>
      <w:sz w:val="18"/>
      <w:lang w:val="en-GB" w:eastAsia="zh-CN" w:bidi="ar-SA"/>
    </w:rPr>
  </w:style>
  <w:style w:type="paragraph" w:customStyle="1" w:styleId="IAHeadTitle">
    <w:name w:val="IAHeadTitle"/>
    <w:basedOn w:val="IAHeadDept"/>
    <w:link w:val="IAHeadTitleChar"/>
    <w:rsid w:val="008228A5"/>
    <w:pPr>
      <w:spacing w:before="0" w:after="0"/>
    </w:pPr>
    <w:rPr>
      <w:b/>
      <w:sz w:val="28"/>
      <w:szCs w:val="28"/>
    </w:rPr>
  </w:style>
  <w:style w:type="paragraph" w:customStyle="1" w:styleId="IASignature">
    <w:name w:val="IA Signature"/>
    <w:basedOn w:val="IATableText"/>
    <w:rsid w:val="00C67CDD"/>
    <w:pPr>
      <w:tabs>
        <w:tab w:val="left" w:leader="dot" w:pos="6804"/>
        <w:tab w:val="right" w:leader="dot" w:pos="10206"/>
      </w:tabs>
      <w:spacing w:before="0" w:after="0"/>
      <w:ind w:left="0"/>
    </w:pPr>
  </w:style>
  <w:style w:type="paragraph" w:customStyle="1" w:styleId="IASign-offlabel">
    <w:name w:val="IA Sign-off label"/>
    <w:basedOn w:val="IAHeadLabel"/>
    <w:link w:val="IASign-offlabelChar"/>
    <w:rsid w:val="00FB5CFE"/>
    <w:pPr>
      <w:spacing w:after="120"/>
    </w:pPr>
    <w:rPr>
      <w:szCs w:val="22"/>
      <w:u w:val="single"/>
    </w:rPr>
  </w:style>
  <w:style w:type="character" w:customStyle="1" w:styleId="IASign-offlabelChar">
    <w:name w:val="IA Sign-off label Char"/>
    <w:link w:val="IASign-offlabel"/>
    <w:rsid w:val="009050B9"/>
    <w:rPr>
      <w:rFonts w:ascii="Arial" w:eastAsia="SimSun" w:hAnsi="Arial"/>
      <w:b/>
      <w:color w:val="000000"/>
      <w:spacing w:val="-5"/>
      <w:szCs w:val="22"/>
      <w:u w:val="single"/>
      <w:lang w:val="en-GB" w:eastAsia="zh-CN" w:bidi="ar-SA"/>
    </w:rPr>
  </w:style>
  <w:style w:type="paragraph" w:customStyle="1" w:styleId="IASign-off">
    <w:name w:val="IA Sign-off"/>
    <w:basedOn w:val="IATableText"/>
    <w:rsid w:val="00C67CDD"/>
    <w:pPr>
      <w:spacing w:before="0" w:after="0"/>
      <w:ind w:left="0" w:right="284"/>
    </w:pPr>
    <w:rPr>
      <w:b/>
      <w:i/>
    </w:rPr>
  </w:style>
  <w:style w:type="paragraph" w:customStyle="1" w:styleId="IAHeading2">
    <w:name w:val="IAHeading2"/>
    <w:basedOn w:val="Normal"/>
    <w:semiHidden/>
    <w:rsid w:val="000A79FC"/>
    <w:pPr>
      <w:keepNext/>
      <w:keepLines/>
      <w:spacing w:before="60" w:after="60"/>
      <w:ind w:left="113" w:right="113"/>
    </w:pPr>
    <w:rPr>
      <w:rFonts w:eastAsia="SimSun"/>
      <w:b/>
      <w:sz w:val="20"/>
      <w:lang w:eastAsia="zh-CN"/>
    </w:rPr>
  </w:style>
  <w:style w:type="table" w:customStyle="1" w:styleId="TableIABox">
    <w:name w:val="Table_IABox"/>
    <w:basedOn w:val="TableNormal"/>
    <w:rsid w:val="007777A1"/>
    <w:rPr>
      <w:rFonts w:eastAsia="SimSun"/>
    </w:rPr>
    <w:tblPr>
      <w:tblBorders>
        <w:top w:val="single" w:sz="4" w:space="0" w:color="auto"/>
        <w:left w:val="single" w:sz="4" w:space="0" w:color="auto"/>
        <w:bottom w:val="single" w:sz="4" w:space="0" w:color="auto"/>
        <w:right w:val="single" w:sz="4" w:space="0" w:color="auto"/>
      </w:tblBorders>
      <w:tblCellMar>
        <w:left w:w="0" w:type="dxa"/>
        <w:right w:w="0" w:type="dxa"/>
      </w:tblCellMar>
    </w:tblPr>
  </w:style>
  <w:style w:type="paragraph" w:styleId="Header">
    <w:name w:val="header"/>
    <w:basedOn w:val="Normal"/>
    <w:rsid w:val="00E96CB5"/>
    <w:pPr>
      <w:jc w:val="center"/>
    </w:pPr>
    <w:rPr>
      <w:caps/>
    </w:rPr>
  </w:style>
  <w:style w:type="paragraph" w:styleId="Footer">
    <w:name w:val="footer"/>
    <w:basedOn w:val="Normal"/>
    <w:rsid w:val="000407D8"/>
    <w:pPr>
      <w:tabs>
        <w:tab w:val="center" w:pos="5132"/>
        <w:tab w:val="right" w:pos="10260"/>
      </w:tabs>
      <w:jc w:val="center"/>
    </w:pPr>
    <w:rPr>
      <w:b/>
      <w:sz w:val="18"/>
    </w:rPr>
  </w:style>
  <w:style w:type="character" w:styleId="PageNumber">
    <w:name w:val="page number"/>
    <w:basedOn w:val="DefaultParagraphFont"/>
    <w:rsid w:val="00EB43FD"/>
  </w:style>
  <w:style w:type="character" w:customStyle="1" w:styleId="BodyTextChar">
    <w:name w:val="Body Text Char"/>
    <w:link w:val="BodyText"/>
    <w:rsid w:val="0049416F"/>
    <w:rPr>
      <w:rFonts w:ascii="Arial" w:hAnsi="Arial" w:cs="Arial"/>
      <w:bCs/>
      <w:color w:val="000000"/>
      <w:sz w:val="22"/>
      <w:szCs w:val="22"/>
      <w:lang w:val="en-GB" w:eastAsia="en-GB" w:bidi="ar-SA"/>
    </w:rPr>
  </w:style>
  <w:style w:type="paragraph" w:customStyle="1" w:styleId="IANotes">
    <w:name w:val="IANotes"/>
    <w:basedOn w:val="Normal"/>
    <w:semiHidden/>
    <w:rsid w:val="00650282"/>
    <w:rPr>
      <w:rFonts w:eastAsia="SimSun"/>
      <w:color w:val="008080"/>
      <w:sz w:val="22"/>
      <w:lang w:eastAsia="zh-CN"/>
    </w:rPr>
  </w:style>
  <w:style w:type="paragraph" w:customStyle="1" w:styleId="IATableHeading">
    <w:name w:val="IATableHeading"/>
    <w:basedOn w:val="IATableLabel"/>
    <w:rsid w:val="00716D5C"/>
    <w:rPr>
      <w:sz w:val="22"/>
      <w:szCs w:val="24"/>
    </w:rPr>
  </w:style>
  <w:style w:type="paragraph" w:styleId="FootnoteText">
    <w:name w:val="footnote text"/>
    <w:aliases w:val="fn,Footnote,Footnote Text Char Char,Footnote Text Char Char Char,Footnote Text Char Char Char Char,Footnote Text1 Char,Footnote Text1,Footnote Text1 Char Char Char,Footnote Text1 Char Char Char Char Char Char Char Char,FOOTNOTES"/>
    <w:basedOn w:val="Normal"/>
    <w:link w:val="FootnoteTextChar"/>
    <w:uiPriority w:val="99"/>
    <w:rsid w:val="00490FF7"/>
    <w:rPr>
      <w:rFonts w:eastAsia="SimSun"/>
      <w:sz w:val="16"/>
      <w:szCs w:val="20"/>
      <w:lang w:eastAsia="zh-CN"/>
    </w:rPr>
  </w:style>
  <w:style w:type="character" w:styleId="FootnoteReference">
    <w:name w:val="footnote reference"/>
    <w:uiPriority w:val="99"/>
    <w:rsid w:val="00B84190"/>
    <w:rPr>
      <w:sz w:val="22"/>
      <w:vertAlign w:val="superscript"/>
    </w:rPr>
  </w:style>
  <w:style w:type="paragraph" w:customStyle="1" w:styleId="EBBodyPara">
    <w:name w:val="EBBodyPara"/>
    <w:basedOn w:val="BodyText"/>
    <w:rsid w:val="005A2FC0"/>
  </w:style>
  <w:style w:type="paragraph" w:styleId="BalloonText">
    <w:name w:val="Balloon Text"/>
    <w:basedOn w:val="Normal"/>
    <w:semiHidden/>
    <w:rsid w:val="00300CED"/>
    <w:rPr>
      <w:rFonts w:ascii="Tahoma" w:hAnsi="Tahoma" w:cs="Tahoma"/>
      <w:sz w:val="16"/>
      <w:szCs w:val="16"/>
    </w:rPr>
  </w:style>
  <w:style w:type="paragraph" w:customStyle="1" w:styleId="EBNumber">
    <w:name w:val="EBNumber"/>
    <w:basedOn w:val="BodyText"/>
    <w:rsid w:val="002B7335"/>
    <w:pPr>
      <w:numPr>
        <w:ilvl w:val="1"/>
        <w:numId w:val="20"/>
      </w:numPr>
    </w:pPr>
  </w:style>
  <w:style w:type="paragraph" w:customStyle="1" w:styleId="EBNumberRestart">
    <w:name w:val="EBNumberRestart"/>
    <w:basedOn w:val="BodyText"/>
    <w:next w:val="EBNumber"/>
    <w:rsid w:val="002B7335"/>
    <w:pPr>
      <w:numPr>
        <w:numId w:val="20"/>
      </w:numPr>
    </w:pPr>
  </w:style>
  <w:style w:type="paragraph" w:customStyle="1" w:styleId="StyleIATableText10ptRight">
    <w:name w:val="Style IATableText + 10 pt Right"/>
    <w:basedOn w:val="IATableText"/>
    <w:rsid w:val="008D39AA"/>
    <w:pPr>
      <w:ind w:left="0" w:right="57"/>
      <w:jc w:val="right"/>
    </w:pPr>
    <w:rPr>
      <w:rFonts w:eastAsia="Times New Roman"/>
      <w:sz w:val="20"/>
    </w:rPr>
  </w:style>
  <w:style w:type="paragraph" w:customStyle="1" w:styleId="SecurityClass">
    <w:name w:val="SecurityClass"/>
    <w:basedOn w:val="Header"/>
    <w:rsid w:val="00AE46AA"/>
  </w:style>
  <w:style w:type="paragraph" w:customStyle="1" w:styleId="IARefNumber">
    <w:name w:val="IARefNumber"/>
    <w:basedOn w:val="IATableText"/>
    <w:rsid w:val="001E152A"/>
    <w:pPr>
      <w:numPr>
        <w:numId w:val="12"/>
      </w:numPr>
    </w:pPr>
  </w:style>
  <w:style w:type="character" w:styleId="Hyperlink">
    <w:name w:val="Hyperlink"/>
    <w:rsid w:val="00B4136C"/>
    <w:rPr>
      <w:color w:val="auto"/>
      <w:u w:val="single"/>
    </w:rPr>
  </w:style>
  <w:style w:type="paragraph" w:customStyle="1" w:styleId="POPBY">
    <w:name w:val="POPBY"/>
    <w:basedOn w:val="IATableLabel"/>
    <w:rsid w:val="00AB574B"/>
  </w:style>
  <w:style w:type="paragraph" w:customStyle="1" w:styleId="EBBullet">
    <w:name w:val="EBBullet"/>
    <w:basedOn w:val="BodyText"/>
    <w:rsid w:val="002B7335"/>
    <w:pPr>
      <w:numPr>
        <w:numId w:val="17"/>
      </w:numPr>
    </w:pPr>
  </w:style>
  <w:style w:type="paragraph" w:customStyle="1" w:styleId="IAHeadText">
    <w:name w:val="IAHeadText"/>
    <w:basedOn w:val="IATableText"/>
    <w:rsid w:val="00632CB9"/>
    <w:pPr>
      <w:spacing w:before="0" w:after="0"/>
      <w:ind w:left="0" w:right="57"/>
    </w:pPr>
    <w:rPr>
      <w:spacing w:val="-6"/>
    </w:rPr>
  </w:style>
  <w:style w:type="paragraph" w:customStyle="1" w:styleId="IAHeadLabel0">
    <w:name w:val="IAHeadLabel0"/>
    <w:basedOn w:val="IAHeadLabel"/>
    <w:next w:val="IAHeadTitle"/>
    <w:rsid w:val="00632CB9"/>
    <w:pPr>
      <w:spacing w:before="0"/>
    </w:pPr>
  </w:style>
  <w:style w:type="paragraph" w:customStyle="1" w:styleId="IATableLines">
    <w:name w:val="IATableLines"/>
    <w:basedOn w:val="IATableText"/>
    <w:link w:val="IATableLinesChar"/>
    <w:rsid w:val="00E82A56"/>
    <w:pPr>
      <w:spacing w:before="0" w:after="0"/>
    </w:pPr>
  </w:style>
  <w:style w:type="paragraph" w:customStyle="1" w:styleId="EvidenceHeadPIR">
    <w:name w:val="EvidenceHeadPIR"/>
    <w:rsid w:val="00BE650A"/>
    <w:pPr>
      <w:spacing w:after="120"/>
    </w:pPr>
    <w:rPr>
      <w:rFonts w:ascii="Arial" w:hAnsi="Arial" w:cs="Arial"/>
      <w:bCs/>
      <w:color w:val="000000"/>
      <w:sz w:val="22"/>
      <w:szCs w:val="22"/>
    </w:rPr>
  </w:style>
  <w:style w:type="character" w:styleId="FollowedHyperlink">
    <w:name w:val="FollowedHyperlink"/>
    <w:rsid w:val="006D37CF"/>
    <w:rPr>
      <w:color w:val="auto"/>
      <w:u w:val="single"/>
    </w:rPr>
  </w:style>
  <w:style w:type="paragraph" w:customStyle="1" w:styleId="IASpacer2">
    <w:name w:val="IASpacer2"/>
    <w:basedOn w:val="IASpacer"/>
    <w:rsid w:val="00311373"/>
    <w:pPr>
      <w:spacing w:line="40" w:lineRule="exact"/>
    </w:pPr>
  </w:style>
  <w:style w:type="paragraph" w:customStyle="1" w:styleId="POPVBY">
    <w:name w:val="POPVBY"/>
    <w:basedOn w:val="IATableLabel"/>
    <w:rsid w:val="00AB574B"/>
  </w:style>
  <w:style w:type="paragraph" w:customStyle="1" w:styleId="POTPY">
    <w:name w:val="POTPY"/>
    <w:basedOn w:val="IATableLabel"/>
    <w:rsid w:val="00F622E8"/>
  </w:style>
  <w:style w:type="paragraph" w:customStyle="1" w:styleId="PONBLow">
    <w:name w:val="PONBLow"/>
    <w:basedOn w:val="IATableLabel"/>
    <w:link w:val="PONBLowCharChar"/>
    <w:rsid w:val="00F622E8"/>
    <w:rPr>
      <w:b w:val="0"/>
      <w:szCs w:val="22"/>
    </w:rPr>
  </w:style>
  <w:style w:type="character" w:customStyle="1" w:styleId="PONBLowCharChar">
    <w:name w:val="PONBLow Char Char"/>
    <w:link w:val="PONBLow"/>
    <w:rsid w:val="00F622E8"/>
    <w:rPr>
      <w:rFonts w:ascii="Arial" w:eastAsia="SimSun" w:hAnsi="Arial"/>
      <w:b/>
      <w:color w:val="000000"/>
      <w:spacing w:val="-5"/>
      <w:szCs w:val="22"/>
      <w:lang w:val="en-GB" w:eastAsia="zh-CN" w:bidi="ar-SA"/>
    </w:rPr>
  </w:style>
  <w:style w:type="paragraph" w:customStyle="1" w:styleId="PONBHigh">
    <w:name w:val="PONBHigh"/>
    <w:basedOn w:val="IATableLabel"/>
    <w:link w:val="PONBHighChar"/>
    <w:rsid w:val="00F622E8"/>
    <w:rPr>
      <w:b w:val="0"/>
      <w:szCs w:val="22"/>
    </w:rPr>
  </w:style>
  <w:style w:type="character" w:customStyle="1" w:styleId="PONBHighChar">
    <w:name w:val="PONBHigh Char"/>
    <w:link w:val="PONBHigh"/>
    <w:rsid w:val="00F622E8"/>
    <w:rPr>
      <w:rFonts w:ascii="Arial" w:eastAsia="SimSun" w:hAnsi="Arial"/>
      <w:b/>
      <w:color w:val="000000"/>
      <w:spacing w:val="-5"/>
      <w:szCs w:val="22"/>
      <w:lang w:val="en-GB" w:eastAsia="zh-CN" w:bidi="ar-SA"/>
    </w:rPr>
  </w:style>
  <w:style w:type="paragraph" w:customStyle="1" w:styleId="PONBBestEst">
    <w:name w:val="PONBBestEst"/>
    <w:basedOn w:val="IATableLabel"/>
    <w:link w:val="PONBBestEstChar"/>
    <w:rsid w:val="00F622E8"/>
    <w:rPr>
      <w:b w:val="0"/>
      <w:szCs w:val="22"/>
    </w:rPr>
  </w:style>
  <w:style w:type="character" w:customStyle="1" w:styleId="PONBBestEstChar">
    <w:name w:val="PONBBestEst Char"/>
    <w:link w:val="PONBBestEst"/>
    <w:rsid w:val="00F622E8"/>
    <w:rPr>
      <w:rFonts w:ascii="Arial" w:eastAsia="SimSun" w:hAnsi="Arial"/>
      <w:b/>
      <w:color w:val="000000"/>
      <w:spacing w:val="-5"/>
      <w:szCs w:val="22"/>
      <w:lang w:val="en-GB" w:eastAsia="zh-CN" w:bidi="ar-SA"/>
    </w:rPr>
  </w:style>
  <w:style w:type="paragraph" w:customStyle="1" w:styleId="POTTCostsHigh">
    <w:name w:val="POTTCostsHigh"/>
    <w:basedOn w:val="IATableText"/>
    <w:rsid w:val="00B318B0"/>
    <w:pPr>
      <w:jc w:val="right"/>
    </w:pPr>
  </w:style>
  <w:style w:type="paragraph" w:customStyle="1" w:styleId="POTTCostsLow">
    <w:name w:val="POTTCostsLow"/>
    <w:basedOn w:val="POTTCostsHigh"/>
    <w:rsid w:val="00B318B0"/>
  </w:style>
  <w:style w:type="paragraph" w:customStyle="1" w:styleId="POTTCostsBest">
    <w:name w:val="POTTCostsBest"/>
    <w:basedOn w:val="IATableText"/>
    <w:rsid w:val="00B318B0"/>
    <w:pPr>
      <w:jc w:val="right"/>
    </w:pPr>
  </w:style>
  <w:style w:type="paragraph" w:customStyle="1" w:styleId="POTTCostsYear">
    <w:name w:val="POTTCostsYear"/>
    <w:basedOn w:val="IATableText"/>
    <w:rsid w:val="00B318B0"/>
    <w:pPr>
      <w:jc w:val="center"/>
    </w:pPr>
    <w:rPr>
      <w:szCs w:val="18"/>
    </w:rPr>
  </w:style>
  <w:style w:type="paragraph" w:customStyle="1" w:styleId="POAACostsLow">
    <w:name w:val="POAACostsLow"/>
    <w:basedOn w:val="IATableText"/>
    <w:rsid w:val="00B318B0"/>
    <w:pPr>
      <w:jc w:val="right"/>
    </w:pPr>
  </w:style>
  <w:style w:type="paragraph" w:customStyle="1" w:styleId="POAACostsHigh">
    <w:name w:val="POAACostsHigh"/>
    <w:basedOn w:val="POAACostsLow"/>
    <w:rsid w:val="00B318B0"/>
  </w:style>
  <w:style w:type="paragraph" w:customStyle="1" w:styleId="POAACostsBest">
    <w:name w:val="POAACostsBest"/>
    <w:basedOn w:val="IATableText"/>
    <w:rsid w:val="00B318B0"/>
    <w:pPr>
      <w:jc w:val="right"/>
    </w:pPr>
  </w:style>
  <w:style w:type="paragraph" w:customStyle="1" w:styleId="POTCCostsLow">
    <w:name w:val="POTCCostsLow"/>
    <w:basedOn w:val="IATableText"/>
    <w:rsid w:val="00B318B0"/>
    <w:pPr>
      <w:jc w:val="right"/>
    </w:pPr>
    <w:rPr>
      <w:b/>
    </w:rPr>
  </w:style>
  <w:style w:type="paragraph" w:customStyle="1" w:styleId="POTCCostsHigh">
    <w:name w:val="POTCCostsHigh"/>
    <w:basedOn w:val="IATableText"/>
    <w:rsid w:val="00B318B0"/>
    <w:pPr>
      <w:jc w:val="right"/>
    </w:pPr>
    <w:rPr>
      <w:b/>
    </w:rPr>
  </w:style>
  <w:style w:type="paragraph" w:customStyle="1" w:styleId="POTCCostsBest">
    <w:name w:val="POTCCostsBest"/>
    <w:basedOn w:val="IATableText"/>
    <w:rsid w:val="00B318B0"/>
    <w:pPr>
      <w:jc w:val="right"/>
    </w:pPr>
    <w:rPr>
      <w:b/>
    </w:rPr>
  </w:style>
  <w:style w:type="paragraph" w:customStyle="1" w:styleId="IAPOQ1">
    <w:name w:val="IAPOQ1"/>
    <w:basedOn w:val="IATableLabel"/>
    <w:rsid w:val="00B006A9"/>
  </w:style>
  <w:style w:type="paragraph" w:customStyle="1" w:styleId="IAPOA1">
    <w:name w:val="IAPOA1"/>
    <w:basedOn w:val="IATableLines"/>
    <w:rsid w:val="00B006A9"/>
  </w:style>
  <w:style w:type="paragraph" w:customStyle="1" w:styleId="IAPOQ2">
    <w:name w:val="IAPOQ2"/>
    <w:basedOn w:val="IATableLabel"/>
    <w:link w:val="IAPOQ2Char"/>
    <w:rsid w:val="00B006A9"/>
  </w:style>
  <w:style w:type="paragraph" w:customStyle="1" w:styleId="IAPOA2">
    <w:name w:val="IAPOA2"/>
    <w:basedOn w:val="IATableLines"/>
    <w:rsid w:val="00B006A9"/>
  </w:style>
  <w:style w:type="paragraph" w:customStyle="1" w:styleId="POTTBenLow">
    <w:name w:val="POTTBenLow"/>
    <w:basedOn w:val="POTTCostsLow"/>
    <w:rsid w:val="00B006A9"/>
  </w:style>
  <w:style w:type="paragraph" w:customStyle="1" w:styleId="POTTBenHigh">
    <w:name w:val="POTTBenHigh"/>
    <w:basedOn w:val="POTTCostsHigh"/>
    <w:rsid w:val="00B006A9"/>
  </w:style>
  <w:style w:type="paragraph" w:customStyle="1" w:styleId="POTTBenBest">
    <w:name w:val="POTTBenBest"/>
    <w:basedOn w:val="POTTCostsBest"/>
    <w:rsid w:val="00B006A9"/>
  </w:style>
  <w:style w:type="paragraph" w:customStyle="1" w:styleId="POAABenLow">
    <w:name w:val="POAABenLow"/>
    <w:basedOn w:val="POAACostsLow"/>
    <w:rsid w:val="00B006A9"/>
  </w:style>
  <w:style w:type="paragraph" w:customStyle="1" w:styleId="POAABenHigh">
    <w:name w:val="POAABenHigh"/>
    <w:basedOn w:val="POAABenLow"/>
    <w:rsid w:val="00B006A9"/>
  </w:style>
  <w:style w:type="paragraph" w:customStyle="1" w:styleId="POAABenBest">
    <w:name w:val="POAABenBest"/>
    <w:basedOn w:val="POAABenHigh"/>
    <w:rsid w:val="00B006A9"/>
  </w:style>
  <w:style w:type="paragraph" w:customStyle="1" w:styleId="POTBBenLow">
    <w:name w:val="POTBBenLow"/>
    <w:basedOn w:val="POTCCostsLow"/>
    <w:rsid w:val="00B006A9"/>
  </w:style>
  <w:style w:type="paragraph" w:customStyle="1" w:styleId="POTBBenHigh">
    <w:name w:val="POTBBenHigh"/>
    <w:basedOn w:val="POTBBenLow"/>
    <w:rsid w:val="00B006A9"/>
  </w:style>
  <w:style w:type="paragraph" w:customStyle="1" w:styleId="POTBBenBest">
    <w:name w:val="POTBBenBest"/>
    <w:basedOn w:val="POTBBenHigh"/>
    <w:rsid w:val="00B006A9"/>
  </w:style>
  <w:style w:type="paragraph" w:customStyle="1" w:styleId="IPPOQ3">
    <w:name w:val="IPPOQ3"/>
    <w:basedOn w:val="IAPOQ2"/>
    <w:link w:val="IPPOQ3Char"/>
    <w:rsid w:val="00F1653E"/>
  </w:style>
  <w:style w:type="paragraph" w:customStyle="1" w:styleId="IAPOQ4">
    <w:name w:val="IAPOQ4"/>
    <w:basedOn w:val="IPPOQ3"/>
    <w:link w:val="IAPOQ4Char"/>
    <w:rsid w:val="00F1653E"/>
  </w:style>
  <w:style w:type="paragraph" w:customStyle="1" w:styleId="IAPOA3">
    <w:name w:val="IAPOA3"/>
    <w:basedOn w:val="IAPOA2"/>
    <w:rsid w:val="00F1653E"/>
  </w:style>
  <w:style w:type="paragraph" w:customStyle="1" w:styleId="IAPOA4">
    <w:name w:val="IAPOA4"/>
    <w:basedOn w:val="IAPOA3"/>
    <w:rsid w:val="00F1653E"/>
  </w:style>
  <w:style w:type="paragraph" w:customStyle="1" w:styleId="IAPOA5">
    <w:name w:val="IAPOA5"/>
    <w:basedOn w:val="IAPOA4"/>
    <w:rsid w:val="00F1653E"/>
  </w:style>
  <w:style w:type="paragraph" w:customStyle="1" w:styleId="IAPOQ5">
    <w:name w:val="IAPOQ5"/>
    <w:basedOn w:val="IAPOQ4"/>
    <w:link w:val="IAPOQ5Char"/>
    <w:rsid w:val="00F1653E"/>
  </w:style>
  <w:style w:type="character" w:customStyle="1" w:styleId="IAPOQ2Char">
    <w:name w:val="IAPOQ2 Char"/>
    <w:basedOn w:val="IATableLabelCharChar"/>
    <w:link w:val="IAPOQ2"/>
    <w:rsid w:val="00F1653E"/>
    <w:rPr>
      <w:rFonts w:ascii="Arial" w:eastAsia="SimSun" w:hAnsi="Arial"/>
      <w:b/>
      <w:color w:val="000000"/>
      <w:spacing w:val="-5"/>
      <w:lang w:val="en-GB" w:eastAsia="zh-CN" w:bidi="ar-SA"/>
    </w:rPr>
  </w:style>
  <w:style w:type="character" w:customStyle="1" w:styleId="IPPOQ3Char">
    <w:name w:val="IPPOQ3 Char"/>
    <w:basedOn w:val="IAPOQ2Char"/>
    <w:link w:val="IPPOQ3"/>
    <w:rsid w:val="00F1653E"/>
    <w:rPr>
      <w:rFonts w:ascii="Arial" w:eastAsia="SimSun" w:hAnsi="Arial"/>
      <w:b/>
      <w:color w:val="000000"/>
      <w:spacing w:val="-5"/>
      <w:lang w:val="en-GB" w:eastAsia="zh-CN" w:bidi="ar-SA"/>
    </w:rPr>
  </w:style>
  <w:style w:type="character" w:customStyle="1" w:styleId="IAPOQ4Char">
    <w:name w:val="IAPOQ4 Char"/>
    <w:basedOn w:val="IPPOQ3Char"/>
    <w:link w:val="IAPOQ4"/>
    <w:rsid w:val="00F1653E"/>
    <w:rPr>
      <w:rFonts w:ascii="Arial" w:eastAsia="SimSun" w:hAnsi="Arial"/>
      <w:b/>
      <w:color w:val="000000"/>
      <w:spacing w:val="-5"/>
      <w:lang w:val="en-GB" w:eastAsia="zh-CN" w:bidi="ar-SA"/>
    </w:rPr>
  </w:style>
  <w:style w:type="character" w:customStyle="1" w:styleId="IAPOQ5Char">
    <w:name w:val="IAPOQ5 Char"/>
    <w:basedOn w:val="IAPOQ4Char"/>
    <w:link w:val="IAPOQ5"/>
    <w:rsid w:val="00F1653E"/>
    <w:rPr>
      <w:rFonts w:ascii="Arial" w:eastAsia="SimSun" w:hAnsi="Arial"/>
      <w:b/>
      <w:color w:val="000000"/>
      <w:spacing w:val="-5"/>
      <w:lang w:val="en-GB" w:eastAsia="zh-CN" w:bidi="ar-SA"/>
    </w:rPr>
  </w:style>
  <w:style w:type="paragraph" w:customStyle="1" w:styleId="IAPODisRate">
    <w:name w:val="IAPODisRate"/>
    <w:basedOn w:val="IATableLabel"/>
    <w:rsid w:val="00F1653E"/>
    <w:pPr>
      <w:ind w:left="0"/>
      <w:jc w:val="center"/>
    </w:pPr>
    <w:rPr>
      <w:b w:val="0"/>
    </w:rPr>
  </w:style>
  <w:style w:type="paragraph" w:customStyle="1" w:styleId="IAPODICost">
    <w:name w:val="IAPODICost"/>
    <w:basedOn w:val="IATableLabel"/>
    <w:link w:val="IAPODICostChar"/>
    <w:rsid w:val="000E3FD7"/>
    <w:rPr>
      <w:b w:val="0"/>
      <w:sz w:val="22"/>
      <w:szCs w:val="22"/>
    </w:rPr>
  </w:style>
  <w:style w:type="character" w:customStyle="1" w:styleId="IAPODICostChar">
    <w:name w:val="IAPODICost Char"/>
    <w:link w:val="IAPODICost"/>
    <w:rsid w:val="000E3FD7"/>
    <w:rPr>
      <w:rFonts w:ascii="Arial" w:eastAsia="SimSun" w:hAnsi="Arial"/>
      <w:b/>
      <w:color w:val="000000"/>
      <w:spacing w:val="-5"/>
      <w:sz w:val="22"/>
      <w:szCs w:val="22"/>
      <w:lang w:val="en-GB" w:eastAsia="zh-CN" w:bidi="ar-SA"/>
    </w:rPr>
  </w:style>
  <w:style w:type="paragraph" w:customStyle="1" w:styleId="IAPODIBen">
    <w:name w:val="IAPODIBen"/>
    <w:basedOn w:val="IATableLabel"/>
    <w:link w:val="IAPODIBenChar"/>
    <w:rsid w:val="000E3FD7"/>
    <w:rPr>
      <w:b w:val="0"/>
      <w:sz w:val="22"/>
      <w:szCs w:val="22"/>
    </w:rPr>
  </w:style>
  <w:style w:type="paragraph" w:customStyle="1" w:styleId="IAPODINet">
    <w:name w:val="IAPODINet"/>
    <w:basedOn w:val="IATableLabel"/>
    <w:link w:val="IAPODINetChar"/>
    <w:rsid w:val="000E3FD7"/>
    <w:rPr>
      <w:b w:val="0"/>
      <w:sz w:val="22"/>
      <w:szCs w:val="22"/>
    </w:rPr>
  </w:style>
  <w:style w:type="paragraph" w:customStyle="1" w:styleId="IAPODIOIOO">
    <w:name w:val="IAPODIOIOO"/>
    <w:basedOn w:val="IATableLabel"/>
    <w:rsid w:val="000E3FD7"/>
    <w:rPr>
      <w:b w:val="0"/>
      <w:sz w:val="22"/>
      <w:szCs w:val="22"/>
    </w:rPr>
  </w:style>
  <w:style w:type="character" w:customStyle="1" w:styleId="IAPODINetChar">
    <w:name w:val="IAPODINet Char"/>
    <w:link w:val="IAPODINet"/>
    <w:rsid w:val="000E3FD7"/>
    <w:rPr>
      <w:rFonts w:ascii="Arial" w:eastAsia="SimSun" w:hAnsi="Arial"/>
      <w:b/>
      <w:color w:val="000000"/>
      <w:spacing w:val="-5"/>
      <w:sz w:val="22"/>
      <w:szCs w:val="22"/>
      <w:lang w:val="en-GB" w:eastAsia="zh-CN" w:bidi="ar-SA"/>
    </w:rPr>
  </w:style>
  <w:style w:type="character" w:customStyle="1" w:styleId="IAPODIBenChar">
    <w:name w:val="IAPODIBen Char"/>
    <w:link w:val="IAPODIBen"/>
    <w:rsid w:val="000E3FD7"/>
    <w:rPr>
      <w:rFonts w:ascii="Arial" w:eastAsia="SimSun" w:hAnsi="Arial"/>
      <w:b/>
      <w:color w:val="000000"/>
      <w:spacing w:val="-5"/>
      <w:sz w:val="22"/>
      <w:szCs w:val="22"/>
      <w:lang w:val="en-GB" w:eastAsia="zh-CN" w:bidi="ar-SA"/>
    </w:rPr>
  </w:style>
  <w:style w:type="paragraph" w:customStyle="1" w:styleId="IAPODIMQ">
    <w:name w:val="IAPODIMQ"/>
    <w:basedOn w:val="IATableText"/>
    <w:rsid w:val="000E3FD7"/>
    <w:rPr>
      <w:color w:val="000000"/>
      <w:sz w:val="20"/>
    </w:rPr>
  </w:style>
  <w:style w:type="paragraph" w:customStyle="1" w:styleId="ebbullet0">
    <w:name w:val="ebbullet"/>
    <w:basedOn w:val="Normal"/>
    <w:rsid w:val="001F5423"/>
    <w:pPr>
      <w:spacing w:before="100" w:beforeAutospacing="1" w:after="100" w:afterAutospacing="1"/>
    </w:pPr>
    <w:rPr>
      <w:rFonts w:ascii="Times New Roman" w:eastAsia="Calibri" w:hAnsi="Times New Roman"/>
      <w:lang w:eastAsia="en-GB"/>
    </w:rPr>
  </w:style>
  <w:style w:type="paragraph" w:customStyle="1" w:styleId="IATitle">
    <w:name w:val="IATitle"/>
    <w:basedOn w:val="Normal"/>
    <w:rsid w:val="005F32E7"/>
    <w:pPr>
      <w:ind w:left="113"/>
    </w:pPr>
    <w:rPr>
      <w:rFonts w:eastAsia="SimSun" w:cs="Arial"/>
      <w:sz w:val="20"/>
    </w:rPr>
  </w:style>
  <w:style w:type="paragraph" w:customStyle="1" w:styleId="IANo">
    <w:name w:val="IANo"/>
    <w:basedOn w:val="Normal"/>
    <w:link w:val="IANoChar"/>
    <w:rsid w:val="005F32E7"/>
    <w:pPr>
      <w:ind w:left="113"/>
    </w:pPr>
    <w:rPr>
      <w:sz w:val="20"/>
      <w:szCs w:val="22"/>
    </w:rPr>
  </w:style>
  <w:style w:type="character" w:customStyle="1" w:styleId="IAHeadDeptChar">
    <w:name w:val="IAHeadDept Char"/>
    <w:link w:val="IAHeadDept"/>
    <w:rsid w:val="008031EC"/>
    <w:rPr>
      <w:rFonts w:ascii="Arial" w:eastAsia="SimSun" w:hAnsi="Arial"/>
      <w:b/>
      <w:color w:val="000000"/>
      <w:spacing w:val="-6"/>
      <w:sz w:val="22"/>
      <w:szCs w:val="22"/>
      <w:lang w:val="en-GB" w:eastAsia="zh-CN" w:bidi="ar-SA"/>
    </w:rPr>
  </w:style>
  <w:style w:type="character" w:customStyle="1" w:styleId="IAHeadTitleChar">
    <w:name w:val="IAHeadTitle Char"/>
    <w:link w:val="IAHeadTitle"/>
    <w:rsid w:val="008031EC"/>
    <w:rPr>
      <w:rFonts w:ascii="Arial" w:eastAsia="SimSun" w:hAnsi="Arial"/>
      <w:b/>
      <w:color w:val="000000"/>
      <w:spacing w:val="-6"/>
      <w:sz w:val="28"/>
      <w:szCs w:val="28"/>
      <w:lang w:val="en-GB" w:eastAsia="zh-CN" w:bidi="ar-SA"/>
    </w:rPr>
  </w:style>
  <w:style w:type="character" w:customStyle="1" w:styleId="IANoChar">
    <w:name w:val="IANo Char"/>
    <w:link w:val="IANo"/>
    <w:rsid w:val="005F32E7"/>
    <w:rPr>
      <w:rFonts w:ascii="Arial" w:eastAsia="SimSun" w:hAnsi="Arial"/>
      <w:b/>
      <w:color w:val="000000"/>
      <w:spacing w:val="-6"/>
      <w:sz w:val="28"/>
      <w:szCs w:val="22"/>
      <w:lang w:val="en-GB" w:eastAsia="en-US" w:bidi="ar-SA"/>
    </w:rPr>
  </w:style>
  <w:style w:type="paragraph" w:customStyle="1" w:styleId="IALeadDept">
    <w:name w:val="IALeadDept"/>
    <w:basedOn w:val="Normal"/>
    <w:rsid w:val="005F32E7"/>
    <w:pPr>
      <w:ind w:left="113"/>
    </w:pPr>
    <w:rPr>
      <w:rFonts w:eastAsia="Arial Unicode MS" w:cs="Arial"/>
      <w:noProof/>
      <w:sz w:val="20"/>
    </w:rPr>
  </w:style>
  <w:style w:type="paragraph" w:customStyle="1" w:styleId="IAOtherDepts">
    <w:name w:val="IAOtherDepts"/>
    <w:basedOn w:val="IATableLabel"/>
    <w:rsid w:val="008031EC"/>
    <w:pPr>
      <w:spacing w:after="0"/>
    </w:pPr>
    <w:rPr>
      <w:b w:val="0"/>
    </w:rPr>
  </w:style>
  <w:style w:type="paragraph" w:customStyle="1" w:styleId="IADate">
    <w:name w:val="IADate"/>
    <w:basedOn w:val="IATableLabel"/>
    <w:link w:val="IADateChar"/>
    <w:rsid w:val="008031EC"/>
    <w:rPr>
      <w:b w:val="0"/>
      <w:sz w:val="22"/>
      <w:szCs w:val="22"/>
    </w:rPr>
  </w:style>
  <w:style w:type="paragraph" w:customStyle="1" w:styleId="IAStage">
    <w:name w:val="IAStage"/>
    <w:basedOn w:val="IATableLabel"/>
    <w:link w:val="IAStageChar"/>
    <w:rsid w:val="008031EC"/>
    <w:rPr>
      <w:b w:val="0"/>
      <w:sz w:val="22"/>
    </w:rPr>
  </w:style>
  <w:style w:type="paragraph" w:customStyle="1" w:styleId="IASOI">
    <w:name w:val="IASOI"/>
    <w:basedOn w:val="IATableLabel"/>
    <w:link w:val="IASOIChar"/>
    <w:rsid w:val="008031EC"/>
    <w:rPr>
      <w:b w:val="0"/>
      <w:sz w:val="22"/>
    </w:rPr>
  </w:style>
  <w:style w:type="paragraph" w:customStyle="1" w:styleId="IATOM">
    <w:name w:val="IATOM"/>
    <w:basedOn w:val="IATableLabel"/>
    <w:link w:val="IATOMChar"/>
    <w:rsid w:val="008031EC"/>
    <w:rPr>
      <w:b w:val="0"/>
      <w:sz w:val="22"/>
    </w:rPr>
  </w:style>
  <w:style w:type="paragraph" w:customStyle="1" w:styleId="IACOE">
    <w:name w:val="IACOE"/>
    <w:basedOn w:val="Normal"/>
    <w:link w:val="IACOEChar"/>
    <w:autoRedefine/>
    <w:rsid w:val="00B225B0"/>
    <w:rPr>
      <w:rFonts w:eastAsia="SimSun"/>
      <w:spacing w:val="-5"/>
      <w:sz w:val="20"/>
      <w:lang w:eastAsia="zh-CN"/>
    </w:rPr>
  </w:style>
  <w:style w:type="paragraph" w:customStyle="1" w:styleId="IARPC">
    <w:name w:val="IARPC"/>
    <w:basedOn w:val="Title"/>
    <w:link w:val="IARPCChar"/>
    <w:rsid w:val="00174C10"/>
    <w:rPr>
      <w:rFonts w:eastAsia="SimSun"/>
      <w:color w:val="000000"/>
      <w:sz w:val="24"/>
      <w:szCs w:val="24"/>
    </w:rPr>
  </w:style>
  <w:style w:type="paragraph" w:customStyle="1" w:styleId="IAIIOTNPV">
    <w:name w:val="IAIIOTNPV"/>
    <w:basedOn w:val="IATableLabel"/>
    <w:rsid w:val="008031EC"/>
    <w:pPr>
      <w:spacing w:before="0" w:after="0"/>
      <w:jc w:val="both"/>
    </w:pPr>
    <w:rPr>
      <w:b w:val="0"/>
      <w:sz w:val="22"/>
      <w:szCs w:val="22"/>
    </w:rPr>
  </w:style>
  <w:style w:type="paragraph" w:customStyle="1" w:styleId="IAIOBNPV">
    <w:name w:val="IAIOBNPV"/>
    <w:basedOn w:val="IATableLabel"/>
    <w:rsid w:val="008031EC"/>
    <w:pPr>
      <w:spacing w:before="0" w:after="0"/>
    </w:pPr>
    <w:rPr>
      <w:b w:val="0"/>
      <w:sz w:val="22"/>
      <w:szCs w:val="22"/>
    </w:rPr>
  </w:style>
  <w:style w:type="paragraph" w:customStyle="1" w:styleId="IAIONCTBPY">
    <w:name w:val="IAIONCTBPY"/>
    <w:basedOn w:val="IATableLabel"/>
    <w:rsid w:val="008031EC"/>
    <w:pPr>
      <w:spacing w:before="0" w:after="0"/>
    </w:pPr>
    <w:rPr>
      <w:b w:val="0"/>
      <w:sz w:val="22"/>
      <w:szCs w:val="22"/>
    </w:rPr>
  </w:style>
  <w:style w:type="paragraph" w:customStyle="1" w:styleId="IAIOInScopeInOut">
    <w:name w:val="IAIOInScopeInOut"/>
    <w:basedOn w:val="IATableLabel"/>
    <w:rsid w:val="008369A3"/>
    <w:pPr>
      <w:spacing w:before="0" w:after="0"/>
    </w:pPr>
    <w:rPr>
      <w:b w:val="0"/>
      <w:sz w:val="22"/>
      <w:szCs w:val="22"/>
    </w:rPr>
  </w:style>
  <w:style w:type="paragraph" w:customStyle="1" w:styleId="IAIOPrefMQ">
    <w:name w:val="IAIOPrefMQ"/>
    <w:basedOn w:val="IATableText"/>
    <w:rsid w:val="008369A3"/>
    <w:pPr>
      <w:spacing w:before="0" w:after="0"/>
    </w:pPr>
    <w:rPr>
      <w:color w:val="000000"/>
      <w:szCs w:val="22"/>
    </w:rPr>
  </w:style>
  <w:style w:type="paragraph" w:customStyle="1" w:styleId="IAIOQ1">
    <w:name w:val="IAIOQ1"/>
    <w:basedOn w:val="IATableLabel"/>
    <w:rsid w:val="008369A3"/>
  </w:style>
  <w:style w:type="paragraph" w:customStyle="1" w:styleId="IAIOA1">
    <w:name w:val="IAIOA1"/>
    <w:basedOn w:val="IATableLines"/>
    <w:rsid w:val="008369A3"/>
  </w:style>
  <w:style w:type="paragraph" w:customStyle="1" w:styleId="IAIOQ2">
    <w:name w:val="IAIOQ2"/>
    <w:basedOn w:val="IATableLabel"/>
    <w:rsid w:val="008369A3"/>
  </w:style>
  <w:style w:type="paragraph" w:customStyle="1" w:styleId="IAIOA2">
    <w:name w:val="IAIOA2"/>
    <w:basedOn w:val="IATableLines"/>
    <w:rsid w:val="008369A3"/>
  </w:style>
  <w:style w:type="paragraph" w:customStyle="1" w:styleId="IAIOQ3">
    <w:name w:val="IAIOQ3"/>
    <w:basedOn w:val="IATableLabel"/>
    <w:rsid w:val="008369A3"/>
  </w:style>
  <w:style w:type="paragraph" w:customStyle="1" w:styleId="IAIOA3">
    <w:name w:val="IAIOA3"/>
    <w:basedOn w:val="IATableLines"/>
    <w:rsid w:val="008369A3"/>
  </w:style>
  <w:style w:type="paragraph" w:customStyle="1" w:styleId="IAIOPolicyReview">
    <w:name w:val="IAIOPolicyReview"/>
    <w:basedOn w:val="IATableLabel"/>
    <w:link w:val="IAIOPolicyReviewChar"/>
    <w:rsid w:val="00F91F5A"/>
    <w:rPr>
      <w:b w:val="0"/>
      <w:sz w:val="22"/>
      <w:szCs w:val="22"/>
    </w:rPr>
  </w:style>
  <w:style w:type="character" w:customStyle="1" w:styleId="IAIOPolicyReviewChar">
    <w:name w:val="IAIOPolicyReview Char"/>
    <w:link w:val="IAIOPolicyReview"/>
    <w:rsid w:val="00F91F5A"/>
    <w:rPr>
      <w:rFonts w:ascii="Arial" w:eastAsia="SimSun" w:hAnsi="Arial"/>
      <w:b/>
      <w:color w:val="000000"/>
      <w:spacing w:val="-5"/>
      <w:sz w:val="22"/>
      <w:szCs w:val="22"/>
      <w:lang w:val="en-GB" w:eastAsia="zh-CN" w:bidi="ar-SA"/>
    </w:rPr>
  </w:style>
  <w:style w:type="paragraph" w:customStyle="1" w:styleId="IAIOReviewMonth">
    <w:name w:val="IAIOReviewMonth"/>
    <w:basedOn w:val="IATableLabel"/>
    <w:link w:val="IAIOReviewMonthChar"/>
    <w:rsid w:val="00F91F5A"/>
    <w:rPr>
      <w:b w:val="0"/>
      <w:sz w:val="22"/>
      <w:szCs w:val="22"/>
    </w:rPr>
  </w:style>
  <w:style w:type="paragraph" w:customStyle="1" w:styleId="IAIOReviewYear">
    <w:name w:val="IAIOReviewYear"/>
    <w:basedOn w:val="IATableLabel"/>
    <w:link w:val="IAIOReviewYearChar"/>
    <w:rsid w:val="00F91F5A"/>
    <w:rPr>
      <w:b w:val="0"/>
      <w:sz w:val="22"/>
      <w:szCs w:val="22"/>
    </w:rPr>
  </w:style>
  <w:style w:type="paragraph" w:customStyle="1" w:styleId="IAIOCheckEU">
    <w:name w:val="IAIOCheckEU"/>
    <w:basedOn w:val="IATableText"/>
    <w:rsid w:val="00F91F5A"/>
    <w:pPr>
      <w:spacing w:before="0" w:after="0"/>
    </w:pPr>
    <w:rPr>
      <w:sz w:val="20"/>
    </w:rPr>
  </w:style>
  <w:style w:type="character" w:customStyle="1" w:styleId="IAIOReviewYearChar">
    <w:name w:val="IAIOReviewYear Char"/>
    <w:link w:val="IAIOReviewYear"/>
    <w:rsid w:val="00F91F5A"/>
    <w:rPr>
      <w:rFonts w:ascii="Arial" w:eastAsia="SimSun" w:hAnsi="Arial"/>
      <w:b/>
      <w:color w:val="000000"/>
      <w:spacing w:val="-5"/>
      <w:sz w:val="22"/>
      <w:szCs w:val="22"/>
      <w:lang w:val="en-GB" w:eastAsia="zh-CN" w:bidi="ar-SA"/>
    </w:rPr>
  </w:style>
  <w:style w:type="character" w:customStyle="1" w:styleId="IAIOReviewMonthChar">
    <w:name w:val="IAIOReviewMonth Char"/>
    <w:link w:val="IAIOReviewMonth"/>
    <w:rsid w:val="00F91F5A"/>
    <w:rPr>
      <w:rFonts w:ascii="Arial" w:eastAsia="SimSun" w:hAnsi="Arial"/>
      <w:b/>
      <w:color w:val="000000"/>
      <w:spacing w:val="-5"/>
      <w:sz w:val="22"/>
      <w:szCs w:val="22"/>
      <w:lang w:val="en-GB" w:eastAsia="zh-CN" w:bidi="ar-SA"/>
    </w:rPr>
  </w:style>
  <w:style w:type="paragraph" w:customStyle="1" w:styleId="IAIOCheckMicro">
    <w:name w:val="IAIOCheckMicro"/>
    <w:basedOn w:val="IATableLines"/>
    <w:link w:val="IAIOCheckMicroChar"/>
    <w:rsid w:val="00F91F5A"/>
    <w:rPr>
      <w:sz w:val="20"/>
    </w:rPr>
  </w:style>
  <w:style w:type="paragraph" w:customStyle="1" w:styleId="IAIOCheck20">
    <w:name w:val="IAIOCheck20"/>
    <w:basedOn w:val="IATableLines"/>
    <w:rsid w:val="00F91F5A"/>
    <w:rPr>
      <w:sz w:val="20"/>
    </w:rPr>
  </w:style>
  <w:style w:type="paragraph" w:customStyle="1" w:styleId="IAIOCheckSmall">
    <w:name w:val="IAIOCheckSmall"/>
    <w:basedOn w:val="IATableLines"/>
    <w:link w:val="IAIOCheckSmallChar"/>
    <w:rsid w:val="00F91F5A"/>
    <w:rPr>
      <w:sz w:val="20"/>
    </w:rPr>
  </w:style>
  <w:style w:type="paragraph" w:customStyle="1" w:styleId="IAIOCheckMedium">
    <w:name w:val="IAIOCheckMedium"/>
    <w:basedOn w:val="IATableLines"/>
    <w:link w:val="IAIOCheckMediumChar"/>
    <w:rsid w:val="00F91F5A"/>
    <w:rPr>
      <w:sz w:val="20"/>
    </w:rPr>
  </w:style>
  <w:style w:type="paragraph" w:customStyle="1" w:styleId="IAIOCheckLarge">
    <w:name w:val="IAIOCheckLarge"/>
    <w:basedOn w:val="IATableLines"/>
    <w:link w:val="IAIOCheckLargeChar"/>
    <w:rsid w:val="00F91F5A"/>
    <w:rPr>
      <w:sz w:val="20"/>
    </w:rPr>
  </w:style>
  <w:style w:type="paragraph" w:customStyle="1" w:styleId="IAIOCO2Traded">
    <w:name w:val="IAIOCO2Traded"/>
    <w:basedOn w:val="IATableLabel"/>
    <w:link w:val="IAIOCO2TradedChar"/>
    <w:rsid w:val="00F91F5A"/>
    <w:rPr>
      <w:b w:val="0"/>
      <w:sz w:val="22"/>
    </w:rPr>
  </w:style>
  <w:style w:type="paragraph" w:customStyle="1" w:styleId="IAIOCO2NonTraded">
    <w:name w:val="IAIOCO2NonTraded"/>
    <w:basedOn w:val="IAIOCO2Traded"/>
    <w:rsid w:val="008155E3"/>
    <w:rPr>
      <w:sz w:val="20"/>
    </w:rPr>
  </w:style>
  <w:style w:type="paragraph" w:customStyle="1" w:styleId="IAIOtextSign">
    <w:name w:val="IAIOtextSign"/>
    <w:basedOn w:val="Normal"/>
    <w:rsid w:val="00F91F5A"/>
    <w:pPr>
      <w:jc w:val="center"/>
    </w:pPr>
  </w:style>
  <w:style w:type="paragraph" w:customStyle="1" w:styleId="IAIOSigDate">
    <w:name w:val="IAIOSigDate"/>
    <w:basedOn w:val="Normal"/>
    <w:rsid w:val="00F91F5A"/>
    <w:pPr>
      <w:jc w:val="center"/>
    </w:pPr>
    <w:rPr>
      <w:sz w:val="22"/>
      <w:szCs w:val="22"/>
    </w:rPr>
  </w:style>
  <w:style w:type="paragraph" w:customStyle="1" w:styleId="IAPODescription">
    <w:name w:val="IAPODescription"/>
    <w:basedOn w:val="IAHeadLabel"/>
    <w:link w:val="IAPODescriptionCharChar"/>
    <w:rsid w:val="00D00846"/>
    <w:pPr>
      <w:spacing w:before="50"/>
    </w:pPr>
    <w:rPr>
      <w:b w:val="0"/>
    </w:rPr>
  </w:style>
  <w:style w:type="character" w:customStyle="1" w:styleId="IAPODescriptionCharChar">
    <w:name w:val="IAPODescription Char Char"/>
    <w:basedOn w:val="IAHeadLabelChar"/>
    <w:link w:val="IAPODescription"/>
    <w:rsid w:val="00D00846"/>
    <w:rPr>
      <w:rFonts w:ascii="Arial" w:eastAsia="SimSun" w:hAnsi="Arial"/>
      <w:b/>
      <w:color w:val="000000"/>
      <w:spacing w:val="-5"/>
      <w:lang w:val="en-GB" w:eastAsia="zh-CN" w:bidi="ar-SA"/>
    </w:rPr>
  </w:style>
  <w:style w:type="character" w:customStyle="1" w:styleId="IADateChar">
    <w:name w:val="IADate Char"/>
    <w:link w:val="IADate"/>
    <w:rsid w:val="00174C10"/>
    <w:rPr>
      <w:rFonts w:ascii="Arial" w:eastAsia="SimSun" w:hAnsi="Arial"/>
      <w:b/>
      <w:color w:val="000000"/>
      <w:spacing w:val="-5"/>
      <w:sz w:val="22"/>
      <w:szCs w:val="22"/>
      <w:lang w:val="en-GB" w:eastAsia="zh-CN" w:bidi="ar-SA"/>
    </w:rPr>
  </w:style>
  <w:style w:type="character" w:customStyle="1" w:styleId="IATableLinesChar">
    <w:name w:val="IATableLines Char"/>
    <w:basedOn w:val="IATableTextChar"/>
    <w:link w:val="IATableLines"/>
    <w:rsid w:val="00174C10"/>
    <w:rPr>
      <w:rFonts w:ascii="Arial" w:eastAsia="SimSun" w:hAnsi="Arial"/>
      <w:b/>
      <w:color w:val="000000"/>
      <w:spacing w:val="-5"/>
      <w:sz w:val="22"/>
      <w:lang w:val="en-GB" w:eastAsia="zh-CN" w:bidi="ar-SA"/>
    </w:rPr>
  </w:style>
  <w:style w:type="character" w:customStyle="1" w:styleId="IACOEChar">
    <w:name w:val="IACOE Char"/>
    <w:link w:val="IACOE"/>
    <w:rsid w:val="00B225B0"/>
    <w:rPr>
      <w:rFonts w:ascii="Arial" w:eastAsia="SimSun" w:hAnsi="Arial"/>
      <w:b/>
      <w:color w:val="000000"/>
      <w:spacing w:val="-5"/>
      <w:sz w:val="22"/>
      <w:szCs w:val="24"/>
      <w:lang w:val="en-GB" w:eastAsia="zh-CN" w:bidi="ar-SA"/>
    </w:rPr>
  </w:style>
  <w:style w:type="character" w:customStyle="1" w:styleId="IAStageChar">
    <w:name w:val="IAStage Char"/>
    <w:link w:val="IAStage"/>
    <w:rsid w:val="00174C10"/>
    <w:rPr>
      <w:rFonts w:ascii="Arial" w:eastAsia="SimSun" w:hAnsi="Arial"/>
      <w:b/>
      <w:color w:val="000000"/>
      <w:spacing w:val="-5"/>
      <w:sz w:val="22"/>
      <w:lang w:val="en-GB" w:eastAsia="zh-CN" w:bidi="ar-SA"/>
    </w:rPr>
  </w:style>
  <w:style w:type="character" w:customStyle="1" w:styleId="IASOIChar">
    <w:name w:val="IASOI Char"/>
    <w:link w:val="IASOI"/>
    <w:rsid w:val="00174C10"/>
    <w:rPr>
      <w:rFonts w:ascii="Arial" w:eastAsia="SimSun" w:hAnsi="Arial"/>
      <w:b/>
      <w:color w:val="000000"/>
      <w:spacing w:val="-5"/>
      <w:sz w:val="22"/>
      <w:lang w:val="en-GB" w:eastAsia="zh-CN" w:bidi="ar-SA"/>
    </w:rPr>
  </w:style>
  <w:style w:type="character" w:customStyle="1" w:styleId="IATOMChar">
    <w:name w:val="IATOM Char"/>
    <w:link w:val="IATOM"/>
    <w:rsid w:val="00174C10"/>
    <w:rPr>
      <w:rFonts w:ascii="Arial" w:eastAsia="SimSun" w:hAnsi="Arial"/>
      <w:b/>
      <w:color w:val="000000"/>
      <w:spacing w:val="-5"/>
      <w:sz w:val="22"/>
      <w:lang w:val="en-GB" w:eastAsia="zh-CN" w:bidi="ar-SA"/>
    </w:rPr>
  </w:style>
  <w:style w:type="character" w:customStyle="1" w:styleId="TitleChar">
    <w:name w:val="Title Char"/>
    <w:link w:val="Title"/>
    <w:rsid w:val="00174C10"/>
    <w:rPr>
      <w:rFonts w:ascii="Arial" w:hAnsi="Arial" w:cs="Arial"/>
      <w:bCs/>
      <w:color w:val="FFFFFF"/>
      <w:kern w:val="28"/>
      <w:sz w:val="32"/>
      <w:szCs w:val="32"/>
      <w:lang w:val="en-GB" w:eastAsia="en-US" w:bidi="ar-SA"/>
    </w:rPr>
  </w:style>
  <w:style w:type="character" w:customStyle="1" w:styleId="IARPCChar">
    <w:name w:val="IARPC Char"/>
    <w:link w:val="IARPC"/>
    <w:rsid w:val="00174C10"/>
    <w:rPr>
      <w:rFonts w:ascii="Arial" w:eastAsia="SimSun" w:hAnsi="Arial" w:cs="Arial"/>
      <w:bCs/>
      <w:color w:val="000000"/>
      <w:kern w:val="28"/>
      <w:sz w:val="24"/>
      <w:szCs w:val="24"/>
      <w:lang w:val="en-GB" w:eastAsia="en-US" w:bidi="ar-SA"/>
    </w:rPr>
  </w:style>
  <w:style w:type="character" w:customStyle="1" w:styleId="IAIOCheckMicroChar">
    <w:name w:val="IAIOCheckMicro Char"/>
    <w:basedOn w:val="IATableLinesChar"/>
    <w:link w:val="IAIOCheckMicro"/>
    <w:rsid w:val="00D478C9"/>
    <w:rPr>
      <w:rFonts w:ascii="Arial" w:eastAsia="SimSun" w:hAnsi="Arial"/>
      <w:b/>
      <w:color w:val="000000"/>
      <w:spacing w:val="-5"/>
      <w:sz w:val="22"/>
      <w:lang w:val="en-GB" w:eastAsia="zh-CN" w:bidi="ar-SA"/>
    </w:rPr>
  </w:style>
  <w:style w:type="character" w:customStyle="1" w:styleId="IAIOCheckSmallChar">
    <w:name w:val="IAIOCheckSmall Char"/>
    <w:basedOn w:val="IATableLinesChar"/>
    <w:link w:val="IAIOCheckSmall"/>
    <w:rsid w:val="00D478C9"/>
    <w:rPr>
      <w:rFonts w:ascii="Arial" w:eastAsia="SimSun" w:hAnsi="Arial"/>
      <w:b/>
      <w:color w:val="000000"/>
      <w:spacing w:val="-5"/>
      <w:sz w:val="22"/>
      <w:lang w:val="en-GB" w:eastAsia="zh-CN" w:bidi="ar-SA"/>
    </w:rPr>
  </w:style>
  <w:style w:type="character" w:customStyle="1" w:styleId="IAIOCheckMediumChar">
    <w:name w:val="IAIOCheckMedium Char"/>
    <w:basedOn w:val="IATableLinesChar"/>
    <w:link w:val="IAIOCheckMedium"/>
    <w:rsid w:val="00D478C9"/>
    <w:rPr>
      <w:rFonts w:ascii="Arial" w:eastAsia="SimSun" w:hAnsi="Arial"/>
      <w:b/>
      <w:color w:val="000000"/>
      <w:spacing w:val="-5"/>
      <w:sz w:val="22"/>
      <w:lang w:val="en-GB" w:eastAsia="zh-CN" w:bidi="ar-SA"/>
    </w:rPr>
  </w:style>
  <w:style w:type="character" w:customStyle="1" w:styleId="IAIOCheckLargeChar">
    <w:name w:val="IAIOCheckLarge Char"/>
    <w:basedOn w:val="IATableLinesChar"/>
    <w:link w:val="IAIOCheckLarge"/>
    <w:rsid w:val="00D478C9"/>
    <w:rPr>
      <w:rFonts w:ascii="Arial" w:eastAsia="SimSun" w:hAnsi="Arial"/>
      <w:b/>
      <w:color w:val="000000"/>
      <w:spacing w:val="-5"/>
      <w:sz w:val="22"/>
      <w:lang w:val="en-GB" w:eastAsia="zh-CN" w:bidi="ar-SA"/>
    </w:rPr>
  </w:style>
  <w:style w:type="character" w:customStyle="1" w:styleId="IAIOCO2TradedChar">
    <w:name w:val="IAIOCO2Traded Char"/>
    <w:link w:val="IAIOCO2Traded"/>
    <w:rsid w:val="00D478C9"/>
    <w:rPr>
      <w:rFonts w:ascii="Arial" w:eastAsia="SimSun" w:hAnsi="Arial"/>
      <w:b/>
      <w:color w:val="000000"/>
      <w:spacing w:val="-5"/>
      <w:sz w:val="22"/>
      <w:lang w:val="en-GB" w:eastAsia="zh-CN" w:bidi="ar-SA"/>
    </w:rPr>
  </w:style>
  <w:style w:type="character" w:customStyle="1" w:styleId="IALabel">
    <w:name w:val="IALabel"/>
    <w:rsid w:val="009F6692"/>
    <w:rPr>
      <w:color w:val="000000"/>
      <w:sz w:val="20"/>
    </w:rPr>
  </w:style>
  <w:style w:type="paragraph" w:styleId="ListParagraph">
    <w:name w:val="List Paragraph"/>
    <w:basedOn w:val="Normal"/>
    <w:uiPriority w:val="34"/>
    <w:qFormat/>
    <w:rsid w:val="007827EB"/>
    <w:pPr>
      <w:ind w:left="720"/>
      <w:contextualSpacing/>
    </w:pPr>
  </w:style>
  <w:style w:type="character" w:customStyle="1" w:styleId="FootnoteTextChar">
    <w:name w:val="Footnote Text Char"/>
    <w:aliases w:val="fn Char,Footnote Char,Footnote Text Char Char Char1,Footnote Text Char Char Char Char1,Footnote Text Char Char Char Char Char,Footnote Text1 Char Char,Footnote Text1 Char1,Footnote Text1 Char Char Char Char,FOOTNOTES Char"/>
    <w:basedOn w:val="DefaultParagraphFont"/>
    <w:link w:val="FootnoteText"/>
    <w:uiPriority w:val="99"/>
    <w:locked/>
    <w:rsid w:val="007827EB"/>
    <w:rPr>
      <w:rFonts w:ascii="Arial" w:eastAsia="SimSun" w:hAnsi="Arial"/>
      <w:sz w:val="16"/>
      <w:lang w:eastAsia="zh-CN"/>
    </w:rPr>
  </w:style>
  <w:style w:type="character" w:styleId="CommentReference">
    <w:name w:val="annotation reference"/>
    <w:basedOn w:val="DefaultParagraphFont"/>
    <w:uiPriority w:val="99"/>
    <w:rsid w:val="007827EB"/>
    <w:rPr>
      <w:rFonts w:cs="Times New Roman"/>
      <w:sz w:val="16"/>
      <w:szCs w:val="16"/>
    </w:rPr>
  </w:style>
  <w:style w:type="paragraph" w:styleId="CommentText">
    <w:name w:val="annotation text"/>
    <w:basedOn w:val="Normal"/>
    <w:link w:val="CommentTextChar"/>
    <w:uiPriority w:val="99"/>
    <w:rsid w:val="007827EB"/>
    <w:pPr>
      <w:spacing w:after="200"/>
    </w:pPr>
    <w:rPr>
      <w:rFonts w:ascii="Calibri" w:hAnsi="Calibri"/>
      <w:sz w:val="20"/>
      <w:szCs w:val="20"/>
    </w:rPr>
  </w:style>
  <w:style w:type="character" w:customStyle="1" w:styleId="CommentTextChar">
    <w:name w:val="Comment Text Char"/>
    <w:basedOn w:val="DefaultParagraphFont"/>
    <w:link w:val="CommentText"/>
    <w:uiPriority w:val="99"/>
    <w:rsid w:val="007827EB"/>
    <w:rPr>
      <w:rFonts w:ascii="Calibri" w:hAnsi="Calibri"/>
      <w:lang w:eastAsia="en-US"/>
    </w:rPr>
  </w:style>
  <w:style w:type="paragraph" w:styleId="Revision">
    <w:name w:val="Revision"/>
    <w:hidden/>
    <w:uiPriority w:val="99"/>
    <w:semiHidden/>
    <w:rsid w:val="00261673"/>
    <w:rPr>
      <w:rFonts w:ascii="Arial" w:hAnsi="Arial"/>
      <w:sz w:val="24"/>
      <w:szCs w:val="24"/>
      <w:lang w:eastAsia="en-US"/>
    </w:rPr>
  </w:style>
  <w:style w:type="paragraph" w:customStyle="1" w:styleId="CM1">
    <w:name w:val="CM1"/>
    <w:basedOn w:val="Normal"/>
    <w:next w:val="Normal"/>
    <w:uiPriority w:val="99"/>
    <w:rsid w:val="00312B3E"/>
    <w:pPr>
      <w:autoSpaceDE w:val="0"/>
      <w:autoSpaceDN w:val="0"/>
      <w:adjustRightInd w:val="0"/>
    </w:pPr>
    <w:rPr>
      <w:rFonts w:ascii="EUAlbertina" w:eastAsiaTheme="minorHAnsi" w:hAnsi="EUAlbertina" w:cstheme="minorBidi"/>
    </w:rPr>
  </w:style>
  <w:style w:type="paragraph" w:styleId="NormalWeb">
    <w:name w:val="Normal (Web)"/>
    <w:basedOn w:val="Normal"/>
    <w:uiPriority w:val="99"/>
    <w:unhideWhenUsed/>
    <w:rsid w:val="00743475"/>
    <w:pPr>
      <w:spacing w:before="100" w:beforeAutospacing="1" w:after="100" w:afterAutospacing="1"/>
    </w:pPr>
    <w:rPr>
      <w:rFonts w:ascii="Times New Roman" w:hAnsi="Times New Roman"/>
      <w:lang w:eastAsia="en-GB"/>
    </w:rPr>
  </w:style>
  <w:style w:type="paragraph" w:customStyle="1" w:styleId="Default">
    <w:name w:val="Default"/>
    <w:uiPriority w:val="99"/>
    <w:rsid w:val="00BD1587"/>
    <w:pPr>
      <w:autoSpaceDE w:val="0"/>
      <w:autoSpaceDN w:val="0"/>
      <w:adjustRightInd w:val="0"/>
    </w:pPr>
    <w:rPr>
      <w:color w:val="000000"/>
      <w:sz w:val="24"/>
      <w:szCs w:val="24"/>
      <w:lang w:eastAsia="en-US"/>
    </w:rPr>
  </w:style>
  <w:style w:type="paragraph" w:styleId="CommentSubject">
    <w:name w:val="annotation subject"/>
    <w:basedOn w:val="CommentText"/>
    <w:next w:val="CommentText"/>
    <w:link w:val="CommentSubjectChar"/>
    <w:rsid w:val="00EE0E76"/>
    <w:pPr>
      <w:spacing w:after="0"/>
    </w:pPr>
    <w:rPr>
      <w:rFonts w:ascii="Arial" w:hAnsi="Arial"/>
      <w:b/>
      <w:bCs/>
    </w:rPr>
  </w:style>
  <w:style w:type="character" w:customStyle="1" w:styleId="CommentSubjectChar">
    <w:name w:val="Comment Subject Char"/>
    <w:basedOn w:val="CommentTextChar"/>
    <w:link w:val="CommentSubject"/>
    <w:rsid w:val="00EE0E76"/>
    <w:rPr>
      <w:rFonts w:ascii="Arial" w:hAnsi="Arial"/>
      <w:b/>
      <w:bCs/>
      <w:lang w:eastAsia="en-US"/>
    </w:rPr>
  </w:style>
  <w:style w:type="paragraph" w:styleId="NoSpacing">
    <w:name w:val="No Spacing"/>
    <w:uiPriority w:val="1"/>
    <w:qFormat/>
    <w:rsid w:val="00201573"/>
    <w:rPr>
      <w:rFonts w:ascii="Arial" w:hAnsi="Arial"/>
      <w:sz w:val="24"/>
      <w:szCs w:val="24"/>
      <w:lang w:eastAsia="en-US"/>
    </w:rPr>
  </w:style>
  <w:style w:type="character" w:styleId="HTMLCite">
    <w:name w:val="HTML Cite"/>
    <w:basedOn w:val="DefaultParagraphFont"/>
    <w:uiPriority w:val="99"/>
    <w:unhideWhenUsed/>
    <w:rsid w:val="00027216"/>
    <w:rPr>
      <w:i w:val="0"/>
      <w:iCs w:val="0"/>
      <w:color w:val="006D21"/>
    </w:rPr>
  </w:style>
  <w:style w:type="character" w:styleId="Strong">
    <w:name w:val="Strong"/>
    <w:basedOn w:val="DefaultParagraphFont"/>
    <w:uiPriority w:val="22"/>
    <w:qFormat/>
    <w:rsid w:val="0002721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1317272">
      <w:bodyDiv w:val="1"/>
      <w:marLeft w:val="0"/>
      <w:marRight w:val="0"/>
      <w:marTop w:val="0"/>
      <w:marBottom w:val="0"/>
      <w:divBdr>
        <w:top w:val="none" w:sz="0" w:space="0" w:color="auto"/>
        <w:left w:val="none" w:sz="0" w:space="0" w:color="auto"/>
        <w:bottom w:val="none" w:sz="0" w:space="0" w:color="auto"/>
        <w:right w:val="none" w:sz="0" w:space="0" w:color="auto"/>
      </w:divBdr>
    </w:div>
    <w:div w:id="918173502">
      <w:bodyDiv w:val="1"/>
      <w:marLeft w:val="0"/>
      <w:marRight w:val="0"/>
      <w:marTop w:val="0"/>
      <w:marBottom w:val="0"/>
      <w:divBdr>
        <w:top w:val="none" w:sz="0" w:space="0" w:color="auto"/>
        <w:left w:val="none" w:sz="0" w:space="0" w:color="auto"/>
        <w:bottom w:val="none" w:sz="0" w:space="0" w:color="auto"/>
        <w:right w:val="none" w:sz="0" w:space="0" w:color="auto"/>
      </w:divBdr>
    </w:div>
    <w:div w:id="948972132">
      <w:bodyDiv w:val="1"/>
      <w:marLeft w:val="0"/>
      <w:marRight w:val="0"/>
      <w:marTop w:val="0"/>
      <w:marBottom w:val="0"/>
      <w:divBdr>
        <w:top w:val="none" w:sz="0" w:space="0" w:color="auto"/>
        <w:left w:val="none" w:sz="0" w:space="0" w:color="auto"/>
        <w:bottom w:val="none" w:sz="0" w:space="0" w:color="auto"/>
        <w:right w:val="none" w:sz="0" w:space="0" w:color="auto"/>
      </w:divBdr>
    </w:div>
    <w:div w:id="1229413225">
      <w:bodyDiv w:val="1"/>
      <w:marLeft w:val="0"/>
      <w:marRight w:val="0"/>
      <w:marTop w:val="0"/>
      <w:marBottom w:val="0"/>
      <w:divBdr>
        <w:top w:val="none" w:sz="0" w:space="0" w:color="auto"/>
        <w:left w:val="none" w:sz="0" w:space="0" w:color="auto"/>
        <w:bottom w:val="none" w:sz="0" w:space="0" w:color="auto"/>
        <w:right w:val="none" w:sz="0" w:space="0" w:color="auto"/>
      </w:divBdr>
    </w:div>
    <w:div w:id="1261641921">
      <w:bodyDiv w:val="1"/>
      <w:marLeft w:val="0"/>
      <w:marRight w:val="0"/>
      <w:marTop w:val="0"/>
      <w:marBottom w:val="0"/>
      <w:divBdr>
        <w:top w:val="none" w:sz="0" w:space="0" w:color="auto"/>
        <w:left w:val="none" w:sz="0" w:space="0" w:color="auto"/>
        <w:bottom w:val="none" w:sz="0" w:space="0" w:color="auto"/>
        <w:right w:val="none" w:sz="0" w:space="0" w:color="auto"/>
      </w:divBdr>
    </w:div>
    <w:div w:id="1314946185">
      <w:bodyDiv w:val="1"/>
      <w:marLeft w:val="0"/>
      <w:marRight w:val="0"/>
      <w:marTop w:val="0"/>
      <w:marBottom w:val="0"/>
      <w:divBdr>
        <w:top w:val="none" w:sz="0" w:space="0" w:color="auto"/>
        <w:left w:val="none" w:sz="0" w:space="0" w:color="auto"/>
        <w:bottom w:val="none" w:sz="0" w:space="0" w:color="auto"/>
        <w:right w:val="none" w:sz="0" w:space="0" w:color="auto"/>
      </w:divBdr>
    </w:div>
    <w:div w:id="1432967598">
      <w:bodyDiv w:val="1"/>
      <w:marLeft w:val="0"/>
      <w:marRight w:val="0"/>
      <w:marTop w:val="0"/>
      <w:marBottom w:val="0"/>
      <w:divBdr>
        <w:top w:val="none" w:sz="0" w:space="0" w:color="auto"/>
        <w:left w:val="none" w:sz="0" w:space="0" w:color="auto"/>
        <w:bottom w:val="none" w:sz="0" w:space="0" w:color="auto"/>
        <w:right w:val="none" w:sz="0" w:space="0" w:color="auto"/>
      </w:divBdr>
    </w:div>
    <w:div w:id="1589651738">
      <w:bodyDiv w:val="1"/>
      <w:marLeft w:val="0"/>
      <w:marRight w:val="0"/>
      <w:marTop w:val="0"/>
      <w:marBottom w:val="0"/>
      <w:divBdr>
        <w:top w:val="none" w:sz="0" w:space="0" w:color="auto"/>
        <w:left w:val="none" w:sz="0" w:space="0" w:color="auto"/>
        <w:bottom w:val="none" w:sz="0" w:space="0" w:color="auto"/>
        <w:right w:val="none" w:sz="0" w:space="0" w:color="auto"/>
      </w:divBdr>
    </w:div>
    <w:div w:id="1923559770">
      <w:bodyDiv w:val="1"/>
      <w:marLeft w:val="0"/>
      <w:marRight w:val="0"/>
      <w:marTop w:val="0"/>
      <w:marBottom w:val="0"/>
      <w:divBdr>
        <w:top w:val="none" w:sz="0" w:space="0" w:color="auto"/>
        <w:left w:val="none" w:sz="0" w:space="0" w:color="auto"/>
        <w:bottom w:val="none" w:sz="0" w:space="0" w:color="auto"/>
        <w:right w:val="none" w:sz="0" w:space="0" w:color="auto"/>
      </w:divBdr>
    </w:div>
    <w:div w:id="2124497206">
      <w:bodyDiv w:val="1"/>
      <w:marLeft w:val="0"/>
      <w:marRight w:val="0"/>
      <w:marTop w:val="0"/>
      <w:marBottom w:val="0"/>
      <w:divBdr>
        <w:top w:val="none" w:sz="0" w:space="0" w:color="auto"/>
        <w:left w:val="none" w:sz="0" w:space="0" w:color="auto"/>
        <w:bottom w:val="none" w:sz="0" w:space="0" w:color="auto"/>
        <w:right w:val="none" w:sz="0" w:space="0" w:color="auto"/>
      </w:divBdr>
    </w:div>
    <w:div w:id="2129353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image" Target="media/image6.emf"/><Relationship Id="rId26" Type="http://schemas.openxmlformats.org/officeDocument/2006/relationships/image" Target="media/image14.emf"/><Relationship Id="rId3" Type="http://schemas.openxmlformats.org/officeDocument/2006/relationships/styles" Target="styles.xml"/><Relationship Id="rId21" Type="http://schemas.openxmlformats.org/officeDocument/2006/relationships/image" Target="media/image9.emf"/><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image" Target="media/image5.emf"/><Relationship Id="rId25" Type="http://schemas.openxmlformats.org/officeDocument/2006/relationships/image" Target="media/image13.emf"/><Relationship Id="rId33" Type="http://schemas.openxmlformats.org/officeDocument/2006/relationships/image" Target="media/image21.emf"/><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image" Target="media/image8.emf"/><Relationship Id="rId29" Type="http://schemas.openxmlformats.org/officeDocument/2006/relationships/image" Target="media/image17.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24" Type="http://schemas.openxmlformats.org/officeDocument/2006/relationships/image" Target="media/image12.emf"/><Relationship Id="rId32" Type="http://schemas.openxmlformats.org/officeDocument/2006/relationships/image" Target="media/image20.emf"/><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image" Target="media/image11.emf"/><Relationship Id="rId28" Type="http://schemas.openxmlformats.org/officeDocument/2006/relationships/image" Target="media/image16.emf"/><Relationship Id="rId10" Type="http://schemas.openxmlformats.org/officeDocument/2006/relationships/footer" Target="footer1.xml"/><Relationship Id="rId19" Type="http://schemas.openxmlformats.org/officeDocument/2006/relationships/image" Target="media/image7.emf"/><Relationship Id="rId31" Type="http://schemas.openxmlformats.org/officeDocument/2006/relationships/image" Target="media/image19.emf"/><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2.xml"/><Relationship Id="rId22" Type="http://schemas.openxmlformats.org/officeDocument/2006/relationships/image" Target="media/image10.emf"/><Relationship Id="rId27" Type="http://schemas.openxmlformats.org/officeDocument/2006/relationships/image" Target="media/image15.emf"/><Relationship Id="rId30" Type="http://schemas.openxmlformats.org/officeDocument/2006/relationships/image" Target="media/image18.emf"/><Relationship Id="rId35"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eur-lex.europa.eu/legal-content/EN/TXT/PDF/?uri=CELEX:52013SC0127&amp;from=EN" TargetMode="External"/><Relationship Id="rId7" Type="http://schemas.openxmlformats.org/officeDocument/2006/relationships/hyperlink" Target="http://ec.europa.eu/eurostat/statistics-explained/index.php/File:Labour_costs_per_hour_in_EUR,_2004-2015_whole_economy_excluding_agriculture_and_public_administration.png" TargetMode="External"/><Relationship Id="rId2" Type="http://schemas.openxmlformats.org/officeDocument/2006/relationships/hyperlink" Target="http://www.blacksunplc.com/corporate/news/articles/619/the_complete_100_making_connections_.html" TargetMode="External"/><Relationship Id="rId1" Type="http://schemas.openxmlformats.org/officeDocument/2006/relationships/hyperlink" Target="http://eur-lex.europa.eu/legal-content/EN/TXT/?uri=uriserv:OJ.L_.2014.330.01.0001.01.ENG" TargetMode="External"/><Relationship Id="rId6" Type="http://schemas.openxmlformats.org/officeDocument/2006/relationships/hyperlink" Target="http://www.ons.gov.uk/employmentandlabourmarket/peopleinwork/earningsandworkinghours/datasets/occupation2digitsocashetable2" TargetMode="External"/><Relationship Id="rId5" Type="http://schemas.openxmlformats.org/officeDocument/2006/relationships/hyperlink" Target="https://www.gov.uk/government/uploads/system/uploads/attachment_data/file/368894/family-test-guidance.pdf" TargetMode="External"/><Relationship Id="rId4" Type="http://schemas.openxmlformats.org/officeDocument/2006/relationships/hyperlink" Target="https://www.gov.uk/government/uploads/system/uploads/attachment_data/file/468831/bis-13-1038-Better-regulation-framework-manual.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E7896C-A1AA-4E49-AB3D-1EC32CFB38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43</Pages>
  <Words>13428</Words>
  <Characters>73944</Characters>
  <Application>Microsoft Office Word</Application>
  <DocSecurity>4</DocSecurity>
  <Lines>616</Lines>
  <Paragraphs>174</Paragraphs>
  <ScaleCrop>false</ScaleCrop>
  <HeadingPairs>
    <vt:vector size="2" baseType="variant">
      <vt:variant>
        <vt:lpstr>Title</vt:lpstr>
      </vt:variant>
      <vt:variant>
        <vt:i4>1</vt:i4>
      </vt:variant>
    </vt:vector>
  </HeadingPairs>
  <TitlesOfParts>
    <vt:vector size="1" baseType="lpstr">
      <vt:lpstr>Impact Assessment</vt:lpstr>
    </vt:vector>
  </TitlesOfParts>
  <Company>BIS</Company>
  <LinksUpToDate>false</LinksUpToDate>
  <CharactersWithSpaces>87198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Impact Assessment</dc:title>
  <dc:creator>Hooma Earp</dc:creator>
  <cp:lastModifiedBy>Lewis Wendy (MPST MIN)</cp:lastModifiedBy>
  <cp:revision>2</cp:revision>
  <cp:lastPrinted>2010-01-04T16:20:00Z</cp:lastPrinted>
  <dcterms:created xsi:type="dcterms:W3CDTF">2016-11-03T15:48:00Z</dcterms:created>
  <dcterms:modified xsi:type="dcterms:W3CDTF">2016-11-03T15:48:00Z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
    <vt:lpwstr/>
  </property>
  <property fmtid="{D5CDD505-2E9C-101B-9397-08002B2CF9AE}" pid="3" name="Stage">
    <vt:lpwstr>Final</vt:lpwstr>
  </property>
</Properties>
</file>